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2D42A" w14:textId="77777777" w:rsidR="00E179E9" w:rsidRPr="00E179E9" w:rsidRDefault="00E179E9" w:rsidP="00E179E9">
      <w:pPr>
        <w:pStyle w:val="Papertitle"/>
        <w:jc w:val="left"/>
        <w:rPr>
          <w:rFonts w:ascii="Garamond" w:hAnsi="Garamond" w:cstheme="minorHAnsi"/>
          <w:b/>
          <w:bCs/>
          <w:sz w:val="28"/>
          <w:szCs w:val="28"/>
          <w:lang w:val="en-GB"/>
        </w:rPr>
      </w:pPr>
      <w:r w:rsidRPr="00E179E9">
        <w:rPr>
          <w:rFonts w:ascii="Garamond" w:hAnsi="Garamond" w:cstheme="minorHAnsi"/>
          <w:b/>
          <w:bCs/>
          <w:sz w:val="28"/>
          <w:szCs w:val="28"/>
          <w:lang w:val="en-GB"/>
        </w:rPr>
        <w:t xml:space="preserve">Calculating vessel capacity from the Neolithic sites of Lugo di Grezzana (VR) and </w:t>
      </w:r>
      <w:proofErr w:type="spellStart"/>
      <w:r w:rsidRPr="00E179E9">
        <w:rPr>
          <w:rFonts w:ascii="Garamond" w:hAnsi="Garamond" w:cstheme="minorHAnsi"/>
          <w:b/>
          <w:bCs/>
          <w:sz w:val="28"/>
          <w:szCs w:val="28"/>
          <w:lang w:val="en-GB"/>
        </w:rPr>
        <w:t>Riparo</w:t>
      </w:r>
      <w:proofErr w:type="spellEnd"/>
      <w:r w:rsidRPr="00E179E9">
        <w:rPr>
          <w:rFonts w:ascii="Garamond" w:hAnsi="Garamond" w:cstheme="minorHAnsi"/>
          <w:b/>
          <w:bCs/>
          <w:sz w:val="28"/>
          <w:szCs w:val="28"/>
          <w:lang w:val="en-GB"/>
        </w:rPr>
        <w:t xml:space="preserve"> Gaban (TN) through 3D graphics software</w:t>
      </w:r>
    </w:p>
    <w:p w14:paraId="64C99FD1" w14:textId="21E051E7" w:rsidR="00FC2EAE" w:rsidRPr="00E179E9" w:rsidRDefault="00FC2EAE" w:rsidP="00FC2EAE">
      <w:pPr>
        <w:rPr>
          <w:rFonts w:ascii="Garamond" w:hAnsi="Garamond"/>
          <w:lang w:val="en-GB" w:eastAsia="zh-CN" w:bidi="hi-IN"/>
        </w:rPr>
      </w:pPr>
      <w:r w:rsidRPr="00E179E9">
        <w:rPr>
          <w:rFonts w:ascii="Garamond" w:hAnsi="Garamond"/>
          <w:lang w:val="en-GB" w:eastAsia="zh-CN" w:bidi="hi-IN"/>
        </w:rPr>
        <w:t xml:space="preserve">After confirming the validity of the method in the previous conference paper (2020 IMEKO TC-4), the development of research </w:t>
      </w:r>
      <w:proofErr w:type="gramStart"/>
      <w:r w:rsidR="00507B77" w:rsidRPr="00E179E9">
        <w:rPr>
          <w:rFonts w:ascii="Garamond" w:hAnsi="Garamond"/>
          <w:lang w:val="en-GB" w:eastAsia="zh-CN" w:bidi="hi-IN"/>
        </w:rPr>
        <w:t>t</w:t>
      </w:r>
      <w:r w:rsidR="00E179E9" w:rsidRPr="00E179E9">
        <w:rPr>
          <w:rFonts w:ascii="Garamond" w:hAnsi="Garamond"/>
          <w:lang w:val="en-GB" w:eastAsia="zh-CN" w:bidi="hi-IN"/>
        </w:rPr>
        <w:t>ook</w:t>
      </w:r>
      <w:r w:rsidR="00507B77" w:rsidRPr="00E179E9">
        <w:rPr>
          <w:rFonts w:ascii="Garamond" w:hAnsi="Garamond"/>
          <w:lang w:val="en-GB" w:eastAsia="zh-CN" w:bidi="hi-IN"/>
        </w:rPr>
        <w:t xml:space="preserve"> into account</w:t>
      </w:r>
      <w:proofErr w:type="gramEnd"/>
      <w:r w:rsidR="00507B77" w:rsidRPr="00E179E9">
        <w:rPr>
          <w:rFonts w:ascii="Garamond" w:hAnsi="Garamond"/>
          <w:lang w:val="en-GB" w:eastAsia="zh-CN" w:bidi="hi-IN"/>
        </w:rPr>
        <w:t>:</w:t>
      </w:r>
    </w:p>
    <w:p w14:paraId="0DFA6417" w14:textId="5F9D25D6" w:rsidR="00507B77" w:rsidRPr="00E179E9" w:rsidRDefault="00507B77" w:rsidP="00507B77">
      <w:pPr>
        <w:pStyle w:val="Paragrafoelenco"/>
        <w:numPr>
          <w:ilvl w:val="0"/>
          <w:numId w:val="3"/>
        </w:numPr>
        <w:rPr>
          <w:rFonts w:ascii="Garamond" w:hAnsi="Garamond"/>
          <w:lang w:val="en-GB" w:eastAsia="zh-CN" w:bidi="hi-IN"/>
        </w:rPr>
      </w:pPr>
      <w:r w:rsidRPr="00E179E9">
        <w:rPr>
          <w:rFonts w:ascii="Garamond" w:hAnsi="Garamond"/>
          <w:lang w:val="en-GB" w:eastAsia="zh-CN" w:bidi="hi-IN"/>
        </w:rPr>
        <w:t>The increase in the number of samples analysed for the Neolithic site of Lugo di Grezzana (Verona – Italy</w:t>
      </w:r>
      <w:proofErr w:type="gramStart"/>
      <w:r w:rsidRPr="00E179E9">
        <w:rPr>
          <w:rFonts w:ascii="Garamond" w:hAnsi="Garamond"/>
          <w:lang w:val="en-GB" w:eastAsia="zh-CN" w:bidi="hi-IN"/>
        </w:rPr>
        <w:t>);</w:t>
      </w:r>
      <w:proofErr w:type="gramEnd"/>
    </w:p>
    <w:p w14:paraId="265F8555" w14:textId="54364B5E" w:rsidR="00507B77" w:rsidRPr="00E179E9" w:rsidRDefault="00507B77" w:rsidP="00507B77">
      <w:pPr>
        <w:pStyle w:val="Paragrafoelenco"/>
        <w:numPr>
          <w:ilvl w:val="0"/>
          <w:numId w:val="3"/>
        </w:numPr>
        <w:rPr>
          <w:rFonts w:ascii="Garamond" w:hAnsi="Garamond"/>
          <w:lang w:val="en-GB" w:eastAsia="zh-CN" w:bidi="hi-IN"/>
        </w:rPr>
      </w:pPr>
      <w:r w:rsidRPr="00E179E9">
        <w:rPr>
          <w:rFonts w:ascii="Garamond" w:hAnsi="Garamond"/>
          <w:lang w:val="en-GB" w:eastAsia="zh-CN" w:bidi="hi-IN"/>
        </w:rPr>
        <w:t xml:space="preserve">The application of the methodological approach to a selection of vessels for the Neolithic site of </w:t>
      </w:r>
      <w:proofErr w:type="spellStart"/>
      <w:r w:rsidRPr="00E179E9">
        <w:rPr>
          <w:rFonts w:ascii="Garamond" w:hAnsi="Garamond"/>
          <w:lang w:val="en-GB" w:eastAsia="zh-CN" w:bidi="hi-IN"/>
        </w:rPr>
        <w:t>Riparo</w:t>
      </w:r>
      <w:proofErr w:type="spellEnd"/>
      <w:r w:rsidRPr="00E179E9">
        <w:rPr>
          <w:rFonts w:ascii="Garamond" w:hAnsi="Garamond"/>
          <w:lang w:val="en-GB" w:eastAsia="zh-CN" w:bidi="hi-IN"/>
        </w:rPr>
        <w:t xml:space="preserve"> Gaban (Trento – Italy</w:t>
      </w:r>
      <w:proofErr w:type="gramStart"/>
      <w:r w:rsidRPr="00E179E9">
        <w:rPr>
          <w:rFonts w:ascii="Garamond" w:hAnsi="Garamond"/>
          <w:lang w:val="en-GB" w:eastAsia="zh-CN" w:bidi="hi-IN"/>
        </w:rPr>
        <w:t>);</w:t>
      </w:r>
      <w:proofErr w:type="gramEnd"/>
    </w:p>
    <w:p w14:paraId="18EEEECF" w14:textId="26D169DA" w:rsidR="00507B77" w:rsidRPr="00E179E9" w:rsidRDefault="00507B77" w:rsidP="00E179E9">
      <w:pPr>
        <w:pStyle w:val="Paragrafoelenco"/>
        <w:numPr>
          <w:ilvl w:val="0"/>
          <w:numId w:val="3"/>
        </w:numPr>
        <w:rPr>
          <w:rFonts w:ascii="Garamond" w:hAnsi="Garamond"/>
          <w:lang w:val="en-GB" w:eastAsia="zh-CN" w:bidi="hi-IN"/>
        </w:rPr>
      </w:pPr>
      <w:r w:rsidRPr="00E179E9">
        <w:rPr>
          <w:rFonts w:ascii="Garamond" w:hAnsi="Garamond"/>
          <w:lang w:val="en-GB" w:eastAsia="zh-CN" w:bidi="hi-IN"/>
        </w:rPr>
        <w:t>The comparison of the data between the two investigated site</w:t>
      </w:r>
      <w:r w:rsidR="00E179E9" w:rsidRPr="00E179E9">
        <w:rPr>
          <w:rFonts w:ascii="Garamond" w:hAnsi="Garamond"/>
          <w:lang w:val="en-GB" w:eastAsia="zh-CN" w:bidi="hi-IN"/>
        </w:rPr>
        <w:t xml:space="preserve">s, highlighting </w:t>
      </w:r>
      <w:r w:rsidR="00E179E9" w:rsidRPr="00E179E9">
        <w:rPr>
          <w:rFonts w:ascii="Garamond" w:hAnsi="Garamond"/>
          <w:lang w:val="en-GB" w:eastAsia="zh-CN" w:bidi="hi-IN"/>
        </w:rPr>
        <w:t>for the most part of typological classes</w:t>
      </w:r>
      <w:r w:rsidR="00E179E9" w:rsidRPr="00E179E9">
        <w:rPr>
          <w:rFonts w:ascii="Garamond" w:hAnsi="Garamond"/>
          <w:lang w:val="en-GB" w:eastAsia="zh-CN" w:bidi="hi-IN"/>
        </w:rPr>
        <w:t xml:space="preserve"> a specific distribution, according to four trends.</w:t>
      </w:r>
    </w:p>
    <w:p w14:paraId="00397E74" w14:textId="77777777" w:rsidR="00E179E9" w:rsidRPr="00E179E9" w:rsidRDefault="00E179E9" w:rsidP="00E179E9">
      <w:pPr>
        <w:pStyle w:val="Paragrafoelenco"/>
        <w:rPr>
          <w:lang w:val="en-GB" w:eastAsia="zh-CN" w:bidi="hi-IN"/>
        </w:rPr>
      </w:pPr>
    </w:p>
    <w:p w14:paraId="7870EDB9" w14:textId="77777777" w:rsidR="006E3ECD" w:rsidRPr="00FC2EAE" w:rsidRDefault="006E3ECD" w:rsidP="006E3ECD">
      <w:pPr>
        <w:rPr>
          <w:lang w:val="en-GB" w:eastAsia="zh-CN" w:bidi="hi-IN"/>
        </w:rPr>
      </w:pPr>
    </w:p>
    <w:sectPr w:rsidR="006E3ECD" w:rsidRPr="00FC2E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5F3964"/>
    <w:multiLevelType w:val="hybridMultilevel"/>
    <w:tmpl w:val="EBF6BD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37175"/>
    <w:multiLevelType w:val="hybridMultilevel"/>
    <w:tmpl w:val="E85CA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D49F9"/>
    <w:multiLevelType w:val="hybridMultilevel"/>
    <w:tmpl w:val="28B888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ECD"/>
    <w:rsid w:val="00507B77"/>
    <w:rsid w:val="006E3ECD"/>
    <w:rsid w:val="00C53E1E"/>
    <w:rsid w:val="00E179E9"/>
    <w:rsid w:val="00FC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35201"/>
  <w15:chartTrackingRefBased/>
  <w15:docId w15:val="{E3B6CE4C-6AD4-40BA-B7DC-DC6A6398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pertitle">
    <w:name w:val="Paper title"/>
    <w:basedOn w:val="Normale"/>
    <w:next w:val="Normale"/>
    <w:rsid w:val="006E3ECD"/>
    <w:pPr>
      <w:widowControl w:val="0"/>
      <w:suppressAutoHyphens/>
      <w:spacing w:after="227" w:line="240" w:lineRule="auto"/>
      <w:jc w:val="center"/>
    </w:pPr>
    <w:rPr>
      <w:rFonts w:ascii="Times New Roman" w:eastAsia="SimSun" w:hAnsi="Times New Roman" w:cs="Mangal"/>
      <w:kern w:val="1"/>
      <w:sz w:val="48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6E3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6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6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54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6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7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35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0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55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33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58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2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9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7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7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94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8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0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8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9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1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2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9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2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5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4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9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8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1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5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64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2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9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0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00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754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5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7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0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1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69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9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0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1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8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14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8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777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9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2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8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32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4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33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75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45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8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655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316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928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5415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246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4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6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9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14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69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0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83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5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5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3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1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2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49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204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15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tavella</dc:creator>
  <cp:keywords/>
  <dc:description/>
  <cp:lastModifiedBy>andrea tavella</cp:lastModifiedBy>
  <cp:revision>1</cp:revision>
  <dcterms:created xsi:type="dcterms:W3CDTF">2021-03-07T09:46:00Z</dcterms:created>
  <dcterms:modified xsi:type="dcterms:W3CDTF">2021-03-07T10:24:00Z</dcterms:modified>
</cp:coreProperties>
</file>