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0D260A" w14:textId="26039E87" w:rsidR="00B62F5C" w:rsidRPr="003E3364" w:rsidRDefault="00B62F5C" w:rsidP="00B62F5C">
      <w:pPr>
        <w:spacing w:after="227"/>
        <w:jc w:val="center"/>
        <w:rPr>
          <w:rFonts w:ascii="Calibri" w:eastAsia="Times New Roman" w:hAnsi="Calibri" w:cs="Calibri"/>
          <w:b/>
          <w:bCs/>
          <w:kern w:val="28"/>
          <w:sz w:val="40"/>
          <w:szCs w:val="40"/>
          <w:lang w:val="en-US" w:eastAsia="en-US" w:bidi="ar-SA"/>
        </w:rPr>
      </w:pPr>
      <w:r w:rsidRPr="003E3364">
        <w:rPr>
          <w:rFonts w:ascii="Calibri" w:eastAsia="Times New Roman" w:hAnsi="Calibri" w:cs="Calibri"/>
          <w:b/>
          <w:bCs/>
          <w:kern w:val="28"/>
          <w:sz w:val="40"/>
          <w:szCs w:val="40"/>
          <w:lang w:val="en-US" w:eastAsia="en-US" w:bidi="ar-SA"/>
        </w:rPr>
        <w:t>The Problem of Residual Compensation E</w:t>
      </w:r>
      <w:r w:rsidR="007A239F" w:rsidRPr="003E3364">
        <w:rPr>
          <w:rFonts w:ascii="Calibri" w:eastAsia="Times New Roman" w:hAnsi="Calibri" w:cs="Calibri"/>
          <w:b/>
          <w:bCs/>
          <w:kern w:val="28"/>
          <w:sz w:val="40"/>
          <w:szCs w:val="40"/>
          <w:lang w:val="en-US" w:eastAsia="en-US" w:bidi="ar-SA"/>
        </w:rPr>
        <w:t>ffect</w:t>
      </w:r>
    </w:p>
    <w:p w14:paraId="524D9678" w14:textId="43AB9262" w:rsidR="00596DF6" w:rsidRPr="009B3356" w:rsidRDefault="00B62F5C">
      <w:pPr>
        <w:pStyle w:val="Authors"/>
        <w:rPr>
          <w:vertAlign w:val="superscript"/>
          <w:lang w:val="en-GB"/>
        </w:rPr>
      </w:pPr>
      <w:r>
        <w:rPr>
          <w:lang w:val="en-GB"/>
        </w:rPr>
        <w:t>Michał Bartyś</w:t>
      </w:r>
    </w:p>
    <w:p w14:paraId="299E4447" w14:textId="77777777" w:rsidR="00B62F5C" w:rsidRDefault="00B62F5C">
      <w:pPr>
        <w:pStyle w:val="Affiliation"/>
        <w:rPr>
          <w:lang w:val="en-GB"/>
        </w:rPr>
      </w:pPr>
      <w:r>
        <w:rPr>
          <w:lang w:val="en-GB"/>
        </w:rPr>
        <w:t>Institute of Automatic Control and Robotics, Warsaw University of Technology, Warsaw, Poland</w:t>
      </w:r>
    </w:p>
    <w:p w14:paraId="5B7A8545" w14:textId="37AE2C50" w:rsidR="00596DF6" w:rsidRDefault="00B62F5C">
      <w:pPr>
        <w:pStyle w:val="Affiliation"/>
        <w:rPr>
          <w:lang w:val="en-GB"/>
        </w:rPr>
      </w:pPr>
      <w:r>
        <w:rPr>
          <w:lang w:val="en-GB"/>
        </w:rPr>
        <w:t xml:space="preserve"> </w:t>
      </w:r>
      <w:proofErr w:type="gramStart"/>
      <w:r>
        <w:rPr>
          <w:lang w:val="en-GB"/>
        </w:rPr>
        <w:t>e-mail</w:t>
      </w:r>
      <w:proofErr w:type="gramEnd"/>
      <w:r>
        <w:rPr>
          <w:lang w:val="en-GB"/>
        </w:rPr>
        <w:t xml:space="preserve">: </w:t>
      </w:r>
      <w:r w:rsidRPr="00B62F5C">
        <w:rPr>
          <w:lang w:val="en-GB"/>
        </w:rPr>
        <w:t>michal.bartys@pw.edu.pl</w:t>
      </w:r>
      <w:r>
        <w:rPr>
          <w:lang w:val="en-GB"/>
        </w:rPr>
        <w:t>, phone: +48 501-697-545</w:t>
      </w:r>
    </w:p>
    <w:p w14:paraId="06577FA9" w14:textId="77777777" w:rsidR="003454C9" w:rsidRDefault="003454C9">
      <w:pPr>
        <w:pStyle w:val="Affiliation"/>
        <w:rPr>
          <w:lang w:val="en-GB"/>
        </w:rPr>
      </w:pPr>
    </w:p>
    <w:p w14:paraId="65C936D5" w14:textId="77777777" w:rsidR="00595416" w:rsidRPr="009B3356" w:rsidRDefault="00595416">
      <w:pPr>
        <w:pStyle w:val="Affiliation"/>
        <w:rPr>
          <w:lang w:val="en-GB"/>
        </w:rPr>
      </w:pPr>
    </w:p>
    <w:p w14:paraId="73496B4F" w14:textId="77777777" w:rsidR="00596DF6" w:rsidRPr="009B3356" w:rsidRDefault="00596DF6">
      <w:pPr>
        <w:rPr>
          <w:lang w:val="en-GB"/>
        </w:rPr>
        <w:sectPr w:rsidR="00596DF6" w:rsidRPr="009B3356" w:rsidSect="005A5652">
          <w:headerReference w:type="even" r:id="rId12"/>
          <w:headerReference w:type="default" r:id="rId13"/>
          <w:footerReference w:type="even" r:id="rId14"/>
          <w:footerReference w:type="default" r:id="rId15"/>
          <w:headerReference w:type="first" r:id="rId16"/>
          <w:footerReference w:type="first" r:id="rId17"/>
          <w:pgSz w:w="11906" w:h="16838"/>
          <w:pgMar w:top="2324" w:right="1134" w:bottom="1417" w:left="1134" w:header="993" w:footer="708" w:gutter="0"/>
          <w:cols w:space="708"/>
          <w:titlePg/>
          <w:docGrid w:linePitch="326"/>
        </w:sectPr>
      </w:pPr>
    </w:p>
    <w:p w14:paraId="62A69F0C" w14:textId="4EB68180" w:rsidR="009F55B9" w:rsidRPr="003E3364" w:rsidRDefault="00596DF6" w:rsidP="009F55B9">
      <w:pPr>
        <w:pStyle w:val="Abstract"/>
        <w:rPr>
          <w:rFonts w:ascii="Calibri" w:eastAsia="Times New Roman" w:hAnsi="Calibri" w:cs="Calibri"/>
          <w:b w:val="0"/>
          <w:kern w:val="0"/>
          <w:sz w:val="18"/>
          <w:lang w:val="en-US" w:eastAsia="en-US" w:bidi="ar-SA"/>
        </w:rPr>
      </w:pPr>
      <w:r w:rsidRPr="00731E04">
        <w:rPr>
          <w:rFonts w:cs="Times New Roman"/>
          <w:i/>
          <w:iCs/>
          <w:szCs w:val="20"/>
          <w:lang w:val="en-GB"/>
        </w:rPr>
        <w:lastRenderedPageBreak/>
        <w:t>Abstract</w:t>
      </w:r>
      <w:r w:rsidR="00125967" w:rsidRPr="00731E04">
        <w:rPr>
          <w:rFonts w:cs="Times New Roman"/>
          <w:szCs w:val="20"/>
          <w:lang w:val="en-GB"/>
        </w:rPr>
        <w:t xml:space="preserve"> – </w:t>
      </w:r>
      <w:r w:rsidR="00FE5B3F" w:rsidRPr="003E3364">
        <w:rPr>
          <w:rFonts w:ascii="Calibri" w:eastAsia="Times New Roman" w:hAnsi="Calibri" w:cs="Calibri"/>
          <w:b w:val="0"/>
          <w:kern w:val="0"/>
          <w:sz w:val="18"/>
          <w:lang w:val="en-US" w:eastAsia="en-US" w:bidi="ar-SA"/>
        </w:rPr>
        <w:t xml:space="preserve">This paper </w:t>
      </w:r>
      <w:r w:rsidR="00ED72FE" w:rsidRPr="003E3364">
        <w:rPr>
          <w:rFonts w:ascii="Calibri" w:eastAsia="Times New Roman" w:hAnsi="Calibri" w:cs="Calibri"/>
          <w:b w:val="0"/>
          <w:kern w:val="0"/>
          <w:sz w:val="18"/>
          <w:lang w:val="en-US" w:eastAsia="en-US" w:bidi="ar-SA"/>
        </w:rPr>
        <w:t>discusses</w:t>
      </w:r>
      <w:r w:rsidR="00FE5B3F" w:rsidRPr="003E3364">
        <w:rPr>
          <w:rFonts w:ascii="Calibri" w:eastAsia="Times New Roman" w:hAnsi="Calibri" w:cs="Calibri"/>
          <w:b w:val="0"/>
          <w:kern w:val="0"/>
          <w:sz w:val="18"/>
          <w:lang w:val="en-US" w:eastAsia="en-US" w:bidi="ar-SA"/>
        </w:rPr>
        <w:t xml:space="preserve"> the problem of </w:t>
      </w:r>
      <w:r w:rsidR="00ED72FE" w:rsidRPr="003E3364">
        <w:rPr>
          <w:rFonts w:ascii="Calibri" w:eastAsia="Times New Roman" w:hAnsi="Calibri" w:cs="Calibri"/>
          <w:b w:val="0"/>
          <w:kern w:val="0"/>
          <w:sz w:val="18"/>
          <w:lang w:val="en-US" w:eastAsia="en-US" w:bidi="ar-SA"/>
        </w:rPr>
        <w:t xml:space="preserve">the </w:t>
      </w:r>
      <w:r w:rsidR="00FE5B3F" w:rsidRPr="003E3364">
        <w:rPr>
          <w:rFonts w:ascii="Calibri" w:eastAsia="Times New Roman" w:hAnsi="Calibri" w:cs="Calibri"/>
          <w:b w:val="0"/>
          <w:kern w:val="0"/>
          <w:sz w:val="18"/>
          <w:lang w:val="en-US" w:eastAsia="en-US" w:bidi="ar-SA"/>
        </w:rPr>
        <w:t>residual compensation effect. The residual compensation effect referred to as the fault compensation effect</w:t>
      </w:r>
      <w:r w:rsidR="00ED72FE" w:rsidRPr="003E3364">
        <w:rPr>
          <w:rFonts w:ascii="Calibri" w:eastAsia="Times New Roman" w:hAnsi="Calibri" w:cs="Calibri"/>
          <w:b w:val="0"/>
          <w:kern w:val="0"/>
          <w:sz w:val="18"/>
          <w:lang w:val="en-US" w:eastAsia="en-US" w:bidi="ar-SA"/>
        </w:rPr>
        <w:t>,</w:t>
      </w:r>
      <w:r w:rsidR="00FE5B3F" w:rsidRPr="003E3364">
        <w:rPr>
          <w:rFonts w:ascii="Calibri" w:eastAsia="Times New Roman" w:hAnsi="Calibri" w:cs="Calibri"/>
          <w:b w:val="0"/>
          <w:kern w:val="0"/>
          <w:sz w:val="18"/>
          <w:lang w:val="en-US" w:eastAsia="en-US" w:bidi="ar-SA"/>
        </w:rPr>
        <w:t xml:space="preserve"> is an underrated issue of a model-based diagnostics. In part, this is justified due to the relatively low probability of such </w:t>
      </w:r>
      <w:r w:rsidR="00AD14DE" w:rsidRPr="003E3364">
        <w:rPr>
          <w:rFonts w:ascii="Calibri" w:eastAsia="Times New Roman" w:hAnsi="Calibri" w:cs="Calibri"/>
          <w:b w:val="0"/>
          <w:kern w:val="0"/>
          <w:sz w:val="18"/>
          <w:lang w:val="en-US" w:eastAsia="en-US" w:bidi="ar-SA"/>
        </w:rPr>
        <w:t>an effect</w:t>
      </w:r>
      <w:r w:rsidR="00FE5B3F" w:rsidRPr="003E3364">
        <w:rPr>
          <w:rFonts w:ascii="Calibri" w:eastAsia="Times New Roman" w:hAnsi="Calibri" w:cs="Calibri"/>
          <w:b w:val="0"/>
          <w:kern w:val="0"/>
          <w:sz w:val="18"/>
          <w:lang w:val="en-US" w:eastAsia="en-US" w:bidi="ar-SA"/>
        </w:rPr>
        <w:t xml:space="preserve">. </w:t>
      </w:r>
      <w:r w:rsidR="00AD14DE" w:rsidRPr="003E3364">
        <w:rPr>
          <w:rFonts w:ascii="Calibri" w:eastAsia="Times New Roman" w:hAnsi="Calibri" w:cs="Calibri"/>
          <w:b w:val="0"/>
          <w:kern w:val="0"/>
          <w:sz w:val="18"/>
          <w:lang w:val="en-US" w:eastAsia="en-US" w:bidi="ar-SA"/>
        </w:rPr>
        <w:t>However</w:t>
      </w:r>
      <w:r w:rsidR="00ED72FE" w:rsidRPr="003E3364">
        <w:rPr>
          <w:rFonts w:ascii="Calibri" w:eastAsia="Times New Roman" w:hAnsi="Calibri" w:cs="Calibri"/>
          <w:b w:val="0"/>
          <w:kern w:val="0"/>
          <w:sz w:val="18"/>
          <w:lang w:val="en-US" w:eastAsia="en-US" w:bidi="ar-SA"/>
        </w:rPr>
        <w:t>, there is a belief</w:t>
      </w:r>
      <w:r w:rsidR="00FE5B3F" w:rsidRPr="003E3364">
        <w:rPr>
          <w:rFonts w:ascii="Calibri" w:eastAsia="Times New Roman" w:hAnsi="Calibri" w:cs="Calibri"/>
          <w:b w:val="0"/>
          <w:kern w:val="0"/>
          <w:sz w:val="18"/>
          <w:lang w:val="en-US" w:eastAsia="en-US" w:bidi="ar-SA"/>
        </w:rPr>
        <w:t xml:space="preserve"> that </w:t>
      </w:r>
      <w:r w:rsidR="00ED72FE" w:rsidRPr="003E3364">
        <w:rPr>
          <w:rFonts w:ascii="Calibri" w:eastAsia="Times New Roman" w:hAnsi="Calibri" w:cs="Calibri"/>
          <w:b w:val="0"/>
          <w:kern w:val="0"/>
          <w:sz w:val="18"/>
          <w:lang w:val="en-US" w:eastAsia="en-US" w:bidi="ar-SA"/>
        </w:rPr>
        <w:t xml:space="preserve">the </w:t>
      </w:r>
      <w:r w:rsidR="00FE5B3F" w:rsidRPr="003E3364">
        <w:rPr>
          <w:rFonts w:ascii="Calibri" w:eastAsia="Times New Roman" w:hAnsi="Calibri" w:cs="Calibri"/>
          <w:b w:val="0"/>
          <w:kern w:val="0"/>
          <w:sz w:val="18"/>
          <w:lang w:val="en-US" w:eastAsia="en-US" w:bidi="ar-SA"/>
        </w:rPr>
        <w:t xml:space="preserve">inability </w:t>
      </w:r>
      <w:r w:rsidR="00AD14DE" w:rsidRPr="003E3364">
        <w:rPr>
          <w:rFonts w:ascii="Calibri" w:eastAsia="Times New Roman" w:hAnsi="Calibri" w:cs="Calibri"/>
          <w:b w:val="0"/>
          <w:kern w:val="0"/>
          <w:sz w:val="18"/>
          <w:lang w:val="en-US" w:eastAsia="en-US" w:bidi="ar-SA"/>
        </w:rPr>
        <w:t>to isolate</w:t>
      </w:r>
      <w:r w:rsidR="00FE5B3F" w:rsidRPr="003E3364">
        <w:rPr>
          <w:rFonts w:ascii="Calibri" w:eastAsia="Times New Roman" w:hAnsi="Calibri" w:cs="Calibri"/>
          <w:b w:val="0"/>
          <w:kern w:val="0"/>
          <w:sz w:val="18"/>
          <w:lang w:val="en-US" w:eastAsia="en-US" w:bidi="ar-SA"/>
        </w:rPr>
        <w:t xml:space="preserve"> faults </w:t>
      </w:r>
      <w:r w:rsidR="00AD14DE" w:rsidRPr="003E3364">
        <w:rPr>
          <w:rFonts w:ascii="Calibri" w:eastAsia="Times New Roman" w:hAnsi="Calibri" w:cs="Calibri"/>
          <w:b w:val="0"/>
          <w:kern w:val="0"/>
          <w:sz w:val="18"/>
          <w:lang w:val="en-US" w:eastAsia="en-US" w:bidi="ar-SA"/>
        </w:rPr>
        <w:t>in case of</w:t>
      </w:r>
      <w:r w:rsidR="00FE5B3F" w:rsidRPr="003E3364">
        <w:rPr>
          <w:rFonts w:ascii="Calibri" w:eastAsia="Times New Roman" w:hAnsi="Calibri" w:cs="Calibri"/>
          <w:b w:val="0"/>
          <w:kern w:val="0"/>
          <w:sz w:val="18"/>
          <w:lang w:val="en-US" w:eastAsia="en-US" w:bidi="ar-SA"/>
        </w:rPr>
        <w:t xml:space="preserve"> the residual compensation effect is the evident drawback of the model-based diagnostics. This paper shows that under some conditions, the problem </w:t>
      </w:r>
      <w:r w:rsidR="00AD14DE" w:rsidRPr="003E3364">
        <w:rPr>
          <w:rFonts w:ascii="Calibri" w:eastAsia="Times New Roman" w:hAnsi="Calibri" w:cs="Calibri"/>
          <w:b w:val="0"/>
          <w:kern w:val="0"/>
          <w:sz w:val="18"/>
          <w:lang w:val="en-US" w:eastAsia="en-US" w:bidi="ar-SA"/>
        </w:rPr>
        <w:t xml:space="preserve">of fault compensation </w:t>
      </w:r>
      <w:r w:rsidR="007D4EB0" w:rsidRPr="003E3364">
        <w:rPr>
          <w:rFonts w:ascii="Calibri" w:eastAsia="Times New Roman" w:hAnsi="Calibri" w:cs="Calibri"/>
          <w:b w:val="0"/>
          <w:kern w:val="0"/>
          <w:sz w:val="18"/>
          <w:lang w:val="en-US" w:eastAsia="en-US" w:bidi="ar-SA"/>
        </w:rPr>
        <w:t>could</w:t>
      </w:r>
      <w:r w:rsidR="00AD14DE" w:rsidRPr="003E3364">
        <w:rPr>
          <w:rFonts w:ascii="Calibri" w:eastAsia="Times New Roman" w:hAnsi="Calibri" w:cs="Calibri"/>
          <w:b w:val="0"/>
          <w:kern w:val="0"/>
          <w:sz w:val="18"/>
          <w:lang w:val="en-US" w:eastAsia="en-US" w:bidi="ar-SA"/>
        </w:rPr>
        <w:t xml:space="preserve"> be </w:t>
      </w:r>
      <w:r w:rsidR="007D4EB0" w:rsidRPr="003E3364">
        <w:rPr>
          <w:rFonts w:ascii="Calibri" w:eastAsia="Times New Roman" w:hAnsi="Calibri" w:cs="Calibri"/>
          <w:b w:val="0"/>
          <w:kern w:val="0"/>
          <w:sz w:val="18"/>
          <w:lang w:val="en-US" w:eastAsia="en-US" w:bidi="ar-SA"/>
        </w:rPr>
        <w:t>overcome</w:t>
      </w:r>
      <w:r w:rsidR="00FE5B3F" w:rsidRPr="003E3364">
        <w:rPr>
          <w:rFonts w:ascii="Calibri" w:eastAsia="Times New Roman" w:hAnsi="Calibri" w:cs="Calibri"/>
          <w:b w:val="0"/>
          <w:kern w:val="0"/>
          <w:sz w:val="18"/>
          <w:lang w:val="en-US" w:eastAsia="en-US" w:bidi="ar-SA"/>
        </w:rPr>
        <w:t xml:space="preserve">. In this connection, the necessary and sufficient conditions </w:t>
      </w:r>
      <w:r w:rsidR="007D4EB0" w:rsidRPr="003E3364">
        <w:rPr>
          <w:rFonts w:ascii="Calibri" w:eastAsia="Times New Roman" w:hAnsi="Calibri" w:cs="Calibri"/>
          <w:b w:val="0"/>
          <w:kern w:val="0"/>
          <w:sz w:val="18"/>
          <w:lang w:val="en-US" w:eastAsia="en-US" w:bidi="ar-SA"/>
        </w:rPr>
        <w:t xml:space="preserve">of fault compensation effect for tri-valued residuals </w:t>
      </w:r>
      <w:r w:rsidR="00AD14DE" w:rsidRPr="003E3364">
        <w:rPr>
          <w:rFonts w:ascii="Calibri" w:eastAsia="Times New Roman" w:hAnsi="Calibri" w:cs="Calibri"/>
          <w:b w:val="0"/>
          <w:kern w:val="0"/>
          <w:sz w:val="18"/>
          <w:lang w:val="en-US" w:eastAsia="en-US" w:bidi="ar-SA"/>
        </w:rPr>
        <w:t>were</w:t>
      </w:r>
      <w:r w:rsidR="00FE5B3F" w:rsidRPr="003E3364">
        <w:rPr>
          <w:rFonts w:ascii="Calibri" w:eastAsia="Times New Roman" w:hAnsi="Calibri" w:cs="Calibri"/>
          <w:b w:val="0"/>
          <w:kern w:val="0"/>
          <w:sz w:val="18"/>
          <w:lang w:val="en-US" w:eastAsia="en-US" w:bidi="ar-SA"/>
        </w:rPr>
        <w:t xml:space="preserve"> formulated</w:t>
      </w:r>
      <w:r w:rsidR="00AD14DE" w:rsidRPr="003E3364">
        <w:rPr>
          <w:rFonts w:ascii="Calibri" w:eastAsia="Times New Roman" w:hAnsi="Calibri" w:cs="Calibri"/>
          <w:b w:val="0"/>
          <w:kern w:val="0"/>
          <w:sz w:val="18"/>
          <w:lang w:val="en-US" w:eastAsia="en-US" w:bidi="ar-SA"/>
        </w:rPr>
        <w:t xml:space="preserve">. Both </w:t>
      </w:r>
      <w:r w:rsidR="007D4EB0" w:rsidRPr="003E3364">
        <w:rPr>
          <w:rFonts w:ascii="Calibri" w:eastAsia="Times New Roman" w:hAnsi="Calibri" w:cs="Calibri"/>
          <w:b w:val="0"/>
          <w:kern w:val="0"/>
          <w:sz w:val="18"/>
          <w:lang w:val="en-US" w:eastAsia="en-US" w:bidi="ar-SA"/>
        </w:rPr>
        <w:t xml:space="preserve">conditions </w:t>
      </w:r>
      <w:r w:rsidR="00AD14DE" w:rsidRPr="003E3364">
        <w:rPr>
          <w:rFonts w:ascii="Calibri" w:eastAsia="Times New Roman" w:hAnsi="Calibri" w:cs="Calibri"/>
          <w:b w:val="0"/>
          <w:kern w:val="0"/>
          <w:sz w:val="18"/>
          <w:lang w:val="en-US" w:eastAsia="en-US" w:bidi="ar-SA"/>
        </w:rPr>
        <w:t>are</w:t>
      </w:r>
      <w:r w:rsidR="00FE5B3F" w:rsidRPr="003E3364">
        <w:rPr>
          <w:rFonts w:ascii="Calibri" w:eastAsia="Times New Roman" w:hAnsi="Calibri" w:cs="Calibri"/>
          <w:b w:val="0"/>
          <w:kern w:val="0"/>
          <w:sz w:val="18"/>
          <w:lang w:val="en-US" w:eastAsia="en-US" w:bidi="ar-SA"/>
        </w:rPr>
        <w:t xml:space="preserve"> </w:t>
      </w:r>
      <w:r w:rsidR="007D4EB0" w:rsidRPr="003E3364">
        <w:rPr>
          <w:rFonts w:ascii="Calibri" w:eastAsia="Times New Roman" w:hAnsi="Calibri" w:cs="Calibri"/>
          <w:b w:val="0"/>
          <w:kern w:val="0"/>
          <w:sz w:val="18"/>
          <w:lang w:val="en-US" w:eastAsia="en-US" w:bidi="ar-SA"/>
        </w:rPr>
        <w:t>explained in the example of</w:t>
      </w:r>
      <w:r w:rsidR="00FE5B3F" w:rsidRPr="003E3364">
        <w:rPr>
          <w:rFonts w:ascii="Calibri" w:eastAsia="Times New Roman" w:hAnsi="Calibri" w:cs="Calibri"/>
          <w:b w:val="0"/>
          <w:kern w:val="0"/>
          <w:sz w:val="18"/>
          <w:lang w:val="en-US" w:eastAsia="en-US" w:bidi="ar-SA"/>
        </w:rPr>
        <w:t xml:space="preserve"> the diagnosing of a simple single buffer tank system in open and closed-loop arrangements. </w:t>
      </w:r>
      <w:r w:rsidR="00AD14DE" w:rsidRPr="003E3364">
        <w:rPr>
          <w:rFonts w:ascii="Calibri" w:eastAsia="Times New Roman" w:hAnsi="Calibri" w:cs="Calibri"/>
          <w:b w:val="0"/>
          <w:kern w:val="0"/>
          <w:sz w:val="18"/>
          <w:lang w:val="en-US" w:eastAsia="en-US" w:bidi="ar-SA"/>
        </w:rPr>
        <w:t>In this regard, i</w:t>
      </w:r>
      <w:r w:rsidR="00FE5B3F" w:rsidRPr="003E3364">
        <w:rPr>
          <w:rFonts w:ascii="Calibri" w:eastAsia="Times New Roman" w:hAnsi="Calibri" w:cs="Calibri"/>
          <w:b w:val="0"/>
          <w:kern w:val="0"/>
          <w:sz w:val="18"/>
          <w:lang w:val="en-US" w:eastAsia="en-US" w:bidi="ar-SA"/>
        </w:rPr>
        <w:t>t was shown the complete disutility of a bi-valued residual evaluation</w:t>
      </w:r>
      <w:r w:rsidR="00AD14DE" w:rsidRPr="003E3364">
        <w:rPr>
          <w:rFonts w:ascii="Calibri" w:eastAsia="Times New Roman" w:hAnsi="Calibri" w:cs="Calibri"/>
          <w:b w:val="0"/>
          <w:kern w:val="0"/>
          <w:sz w:val="18"/>
          <w:lang w:val="en-US" w:eastAsia="en-US" w:bidi="ar-SA"/>
        </w:rPr>
        <w:t xml:space="preserve"> frequently used for fault isolation. I</w:t>
      </w:r>
      <w:r w:rsidR="00FE5B3F" w:rsidRPr="003E3364">
        <w:rPr>
          <w:rFonts w:ascii="Calibri" w:eastAsia="Times New Roman" w:hAnsi="Calibri" w:cs="Calibri"/>
          <w:b w:val="0"/>
          <w:kern w:val="0"/>
          <w:sz w:val="18"/>
          <w:lang w:val="en-US" w:eastAsia="en-US" w:bidi="ar-SA"/>
        </w:rPr>
        <w:t xml:space="preserve">n contrast, the advantages of a tri-valued </w:t>
      </w:r>
      <w:r w:rsidR="00AD14DE" w:rsidRPr="003E3364">
        <w:rPr>
          <w:rFonts w:ascii="Calibri" w:eastAsia="Times New Roman" w:hAnsi="Calibri" w:cs="Calibri"/>
          <w:b w:val="0"/>
          <w:kern w:val="0"/>
          <w:sz w:val="18"/>
          <w:lang w:val="en-US" w:eastAsia="en-US" w:bidi="ar-SA"/>
        </w:rPr>
        <w:t xml:space="preserve">residual </w:t>
      </w:r>
      <w:r w:rsidR="00FE5B3F" w:rsidRPr="003E3364">
        <w:rPr>
          <w:rFonts w:ascii="Calibri" w:eastAsia="Times New Roman" w:hAnsi="Calibri" w:cs="Calibri"/>
          <w:b w:val="0"/>
          <w:kern w:val="0"/>
          <w:sz w:val="18"/>
          <w:lang w:val="en-US" w:eastAsia="en-US" w:bidi="ar-SA"/>
        </w:rPr>
        <w:t>evaluation</w:t>
      </w:r>
      <w:r w:rsidR="00AD14DE" w:rsidRPr="003E3364">
        <w:rPr>
          <w:rFonts w:ascii="Calibri" w:eastAsia="Times New Roman" w:hAnsi="Calibri" w:cs="Calibri"/>
          <w:b w:val="0"/>
          <w:kern w:val="0"/>
          <w:sz w:val="18"/>
          <w:lang w:val="en-US" w:eastAsia="en-US" w:bidi="ar-SA"/>
        </w:rPr>
        <w:t xml:space="preserve"> were outlined</w:t>
      </w:r>
      <w:r w:rsidR="00FE5B3F" w:rsidRPr="003E3364">
        <w:rPr>
          <w:rFonts w:ascii="Calibri" w:eastAsia="Times New Roman" w:hAnsi="Calibri" w:cs="Calibri"/>
          <w:b w:val="0"/>
          <w:kern w:val="0"/>
          <w:sz w:val="18"/>
          <w:lang w:val="en-US" w:eastAsia="en-US" w:bidi="ar-SA"/>
        </w:rPr>
        <w:t xml:space="preserve">. This paper </w:t>
      </w:r>
      <w:r w:rsidR="00ED72FE" w:rsidRPr="003E3364">
        <w:rPr>
          <w:rFonts w:ascii="Calibri" w:eastAsia="Times New Roman" w:hAnsi="Calibri" w:cs="Calibri"/>
          <w:b w:val="0"/>
          <w:kern w:val="0"/>
          <w:sz w:val="18"/>
          <w:lang w:val="en-US" w:eastAsia="en-US" w:bidi="ar-SA"/>
        </w:rPr>
        <w:t>also brings</w:t>
      </w:r>
      <w:r w:rsidR="00FE5B3F" w:rsidRPr="003E3364">
        <w:rPr>
          <w:rFonts w:ascii="Calibri" w:eastAsia="Times New Roman" w:hAnsi="Calibri" w:cs="Calibri"/>
          <w:b w:val="0"/>
          <w:kern w:val="0"/>
          <w:sz w:val="18"/>
          <w:lang w:val="en-US" w:eastAsia="en-US" w:bidi="ar-SA"/>
        </w:rPr>
        <w:t xml:space="preserve"> a series of practical conclusions allowing for a better understanding of </w:t>
      </w:r>
      <w:r w:rsidR="00AD14DE" w:rsidRPr="003E3364">
        <w:rPr>
          <w:rFonts w:ascii="Calibri" w:eastAsia="Times New Roman" w:hAnsi="Calibri" w:cs="Calibri"/>
          <w:b w:val="0"/>
          <w:kern w:val="0"/>
          <w:sz w:val="18"/>
          <w:lang w:val="en-US" w:eastAsia="en-US" w:bidi="ar-SA"/>
        </w:rPr>
        <w:t xml:space="preserve">the </w:t>
      </w:r>
      <w:r w:rsidR="00FE5B3F" w:rsidRPr="003E3364">
        <w:rPr>
          <w:rFonts w:ascii="Calibri" w:eastAsia="Times New Roman" w:hAnsi="Calibri" w:cs="Calibri"/>
          <w:b w:val="0"/>
          <w:kern w:val="0"/>
          <w:sz w:val="18"/>
          <w:lang w:val="en-US" w:eastAsia="en-US" w:bidi="ar-SA"/>
        </w:rPr>
        <w:t xml:space="preserve">residual compensation effect. </w:t>
      </w:r>
    </w:p>
    <w:p w14:paraId="2D30782F" w14:textId="77777777" w:rsidR="00143C29" w:rsidRPr="00731E04" w:rsidRDefault="00143C29">
      <w:pPr>
        <w:pStyle w:val="Abstract"/>
        <w:rPr>
          <w:rFonts w:cs="Times New Roman"/>
          <w:szCs w:val="20"/>
          <w:lang w:val="en-GB"/>
        </w:rPr>
      </w:pPr>
    </w:p>
    <w:p w14:paraId="377F8156" w14:textId="20FCD857" w:rsidR="00596DF6" w:rsidRPr="00731E04" w:rsidRDefault="00596DF6">
      <w:pPr>
        <w:pStyle w:val="Abstract"/>
        <w:rPr>
          <w:rFonts w:cs="Times New Roman"/>
          <w:i/>
          <w:szCs w:val="20"/>
          <w:lang w:val="en-GB"/>
        </w:rPr>
      </w:pPr>
      <w:r w:rsidRPr="00731E04">
        <w:rPr>
          <w:rFonts w:cs="Times New Roman"/>
          <w:i/>
          <w:iCs/>
          <w:szCs w:val="20"/>
          <w:lang w:val="en-GB"/>
        </w:rPr>
        <w:t xml:space="preserve">Keywords </w:t>
      </w:r>
      <w:r w:rsidRPr="00731E04">
        <w:rPr>
          <w:rFonts w:cs="Times New Roman"/>
          <w:szCs w:val="20"/>
          <w:lang w:val="en-GB"/>
        </w:rPr>
        <w:t>–</w:t>
      </w:r>
      <w:r w:rsidR="007A239F">
        <w:rPr>
          <w:rFonts w:cs="Times New Roman"/>
          <w:bCs/>
          <w:i/>
          <w:color w:val="000000" w:themeColor="text1"/>
          <w:szCs w:val="20"/>
          <w:lang w:val="en-US"/>
        </w:rPr>
        <w:t xml:space="preserve"> </w:t>
      </w:r>
      <w:r w:rsidR="00B62F5C" w:rsidRPr="00731E04">
        <w:rPr>
          <w:rFonts w:cs="Times New Roman"/>
          <w:bCs/>
          <w:i/>
          <w:color w:val="000000" w:themeColor="text1"/>
          <w:szCs w:val="20"/>
          <w:lang w:val="en-US"/>
        </w:rPr>
        <w:t xml:space="preserve">fault compensation effect, </w:t>
      </w:r>
      <w:r w:rsidR="007A239F" w:rsidRPr="00731E04">
        <w:rPr>
          <w:rFonts w:cs="Times New Roman"/>
          <w:bCs/>
          <w:i/>
          <w:color w:val="000000" w:themeColor="text1"/>
          <w:szCs w:val="20"/>
          <w:lang w:val="en-US"/>
        </w:rPr>
        <w:t xml:space="preserve">fault isolation, </w:t>
      </w:r>
      <w:r w:rsidR="00B62F5C" w:rsidRPr="00731E04">
        <w:rPr>
          <w:rFonts w:cs="Times New Roman"/>
          <w:bCs/>
          <w:i/>
          <w:color w:val="000000" w:themeColor="text1"/>
          <w:szCs w:val="20"/>
          <w:lang w:val="en-US"/>
        </w:rPr>
        <w:t>bi-valued residuals, t</w:t>
      </w:r>
      <w:r w:rsidR="00AD14DE">
        <w:rPr>
          <w:rFonts w:cs="Times New Roman"/>
          <w:bCs/>
          <w:i/>
          <w:color w:val="000000" w:themeColor="text1"/>
          <w:szCs w:val="20"/>
          <w:lang w:val="en-US"/>
        </w:rPr>
        <w:t>ri</w:t>
      </w:r>
      <w:r w:rsidR="00B62F5C" w:rsidRPr="00731E04">
        <w:rPr>
          <w:rFonts w:cs="Times New Roman"/>
          <w:bCs/>
          <w:i/>
          <w:color w:val="000000" w:themeColor="text1"/>
          <w:szCs w:val="20"/>
          <w:lang w:val="en-US"/>
        </w:rPr>
        <w:t>-valued residuals, diagnostics of processes, simulation model</w:t>
      </w:r>
      <w:proofErr w:type="gramStart"/>
      <w:r w:rsidR="00B62F5C" w:rsidRPr="00731E04">
        <w:rPr>
          <w:rFonts w:cs="Times New Roman"/>
          <w:bCs/>
          <w:i/>
          <w:color w:val="000000" w:themeColor="text1"/>
          <w:szCs w:val="20"/>
          <w:lang w:val="en-US"/>
        </w:rPr>
        <w:t>,  fault</w:t>
      </w:r>
      <w:proofErr w:type="gramEnd"/>
      <w:r w:rsidR="00B62F5C" w:rsidRPr="00731E04">
        <w:rPr>
          <w:rFonts w:cs="Times New Roman"/>
          <w:bCs/>
          <w:i/>
          <w:color w:val="000000" w:themeColor="text1"/>
          <w:szCs w:val="20"/>
          <w:lang w:val="en-US"/>
        </w:rPr>
        <w:t xml:space="preserve"> distinguishability</w:t>
      </w:r>
    </w:p>
    <w:p w14:paraId="36F6CA27" w14:textId="77777777" w:rsidR="00596DF6" w:rsidRPr="00731E04" w:rsidRDefault="00596DF6" w:rsidP="00B81541">
      <w:pPr>
        <w:pStyle w:val="Sectionheading"/>
        <w:rPr>
          <w:rFonts w:cs="Times New Roman"/>
          <w:szCs w:val="20"/>
        </w:rPr>
      </w:pPr>
      <w:r w:rsidRPr="00731E04">
        <w:rPr>
          <w:rFonts w:cs="Times New Roman"/>
          <w:szCs w:val="20"/>
        </w:rPr>
        <w:t>Introduction</w:t>
      </w:r>
    </w:p>
    <w:p w14:paraId="357810E3" w14:textId="01B44C06" w:rsidR="00FE5B3F" w:rsidRPr="00FE5B3F" w:rsidRDefault="00FE5B3F" w:rsidP="00FE5B3F">
      <w:pPr>
        <w:pStyle w:val="Bodytextfirst"/>
        <w:rPr>
          <w:sz w:val="20"/>
          <w:szCs w:val="20"/>
        </w:rPr>
      </w:pPr>
      <w:r w:rsidRPr="00FE5B3F">
        <w:rPr>
          <w:sz w:val="20"/>
          <w:szCs w:val="20"/>
        </w:rPr>
        <w:t xml:space="preserve">The model-based diagnostics of industrial processes intensively make use of residuals expressing how </w:t>
      </w:r>
      <w:proofErr w:type="gramStart"/>
      <w:r w:rsidRPr="00FE5B3F">
        <w:rPr>
          <w:sz w:val="20"/>
          <w:szCs w:val="20"/>
        </w:rPr>
        <w:t>much observations</w:t>
      </w:r>
      <w:proofErr w:type="gramEnd"/>
      <w:r w:rsidRPr="00FE5B3F">
        <w:rPr>
          <w:sz w:val="20"/>
          <w:szCs w:val="20"/>
        </w:rPr>
        <w:t xml:space="preserve"> (measurements) and outputs of a diagnosed system differ from the reference models. Fig. 1 depicts the general block scheme of the model-based diagnostics. It </w:t>
      </w:r>
      <w:r w:rsidR="00ED72FE">
        <w:rPr>
          <w:sz w:val="20"/>
          <w:szCs w:val="20"/>
        </w:rPr>
        <w:t>generally consists</w:t>
      </w:r>
      <w:r w:rsidRPr="00FE5B3F">
        <w:rPr>
          <w:sz w:val="20"/>
          <w:szCs w:val="20"/>
        </w:rPr>
        <w:t xml:space="preserve"> of three consecutive phases: detection, isolation, and identification of faults. Frequently, the fault identification is not of concern in industrial applications. Therefore, this </w:t>
      </w:r>
      <w:r w:rsidR="00AD14DE">
        <w:rPr>
          <w:sz w:val="20"/>
          <w:szCs w:val="20"/>
        </w:rPr>
        <w:t>phase</w:t>
      </w:r>
      <w:r w:rsidRPr="00FE5B3F">
        <w:rPr>
          <w:sz w:val="20"/>
          <w:szCs w:val="20"/>
        </w:rPr>
        <w:t xml:space="preserve"> </w:t>
      </w:r>
      <w:r w:rsidR="00AD14DE">
        <w:rPr>
          <w:sz w:val="20"/>
          <w:szCs w:val="20"/>
        </w:rPr>
        <w:t>was</w:t>
      </w:r>
      <w:r w:rsidRPr="00FE5B3F">
        <w:rPr>
          <w:sz w:val="20"/>
          <w:szCs w:val="20"/>
        </w:rPr>
        <w:t xml:space="preserve"> omitted in Fig. 1. </w:t>
      </w:r>
    </w:p>
    <w:p w14:paraId="1DFC6E23" w14:textId="18EF39E7" w:rsidR="00E96E84" w:rsidRPr="00731E04" w:rsidRDefault="00ED72FE" w:rsidP="00763A95">
      <w:pPr>
        <w:pStyle w:val="Bodytextfirst"/>
        <w:rPr>
          <w:sz w:val="20"/>
          <w:szCs w:val="20"/>
        </w:rPr>
      </w:pPr>
      <w:r>
        <w:rPr>
          <w:sz w:val="20"/>
          <w:szCs w:val="20"/>
        </w:rPr>
        <w:t>T</w:t>
      </w:r>
      <w:r w:rsidR="00FE5B3F" w:rsidRPr="00FE5B3F">
        <w:rPr>
          <w:sz w:val="20"/>
          <w:szCs w:val="20"/>
        </w:rPr>
        <w:t xml:space="preserve">o react </w:t>
      </w:r>
      <w:r>
        <w:rPr>
          <w:sz w:val="20"/>
          <w:szCs w:val="20"/>
        </w:rPr>
        <w:t>appropriate</w:t>
      </w:r>
      <w:r w:rsidR="00FE5B3F" w:rsidRPr="00FE5B3F">
        <w:rPr>
          <w:sz w:val="20"/>
          <w:szCs w:val="20"/>
        </w:rPr>
        <w:t xml:space="preserve">ly on faults, the process operator or fault-tolerant control system demands univocal isolation of faults. However, this is not a trivial task. Any discrepancy r (residual) between model </w:t>
      </w:r>
      <m:oMath>
        <m:acc>
          <m:accPr>
            <m:ctrlPr>
              <w:rPr>
                <w:rFonts w:ascii="Cambria Math" w:hAnsi="Cambria Math"/>
                <w:i/>
                <w:sz w:val="20"/>
                <w:szCs w:val="20"/>
              </w:rPr>
            </m:ctrlPr>
          </m:accPr>
          <m:e>
            <m:r>
              <m:rPr>
                <m:sty m:val="bi"/>
              </m:rPr>
              <w:rPr>
                <w:rFonts w:ascii="Cambria Math" w:hAnsi="Cambria Math"/>
                <w:sz w:val="20"/>
                <w:szCs w:val="20"/>
              </w:rPr>
              <m:t>V</m:t>
            </m:r>
          </m:e>
        </m:acc>
      </m:oMath>
      <w:r w:rsidR="00FE5B3F" w:rsidRPr="00FE5B3F">
        <w:rPr>
          <w:sz w:val="20"/>
          <w:szCs w:val="20"/>
        </w:rPr>
        <w:t xml:space="preserve"> and process </w:t>
      </w:r>
      <m:oMath>
        <m:r>
          <m:rPr>
            <m:sty m:val="bi"/>
          </m:rPr>
          <w:rPr>
            <w:rFonts w:ascii="Cambria Math" w:hAnsi="Cambria Math"/>
            <w:sz w:val="20"/>
            <w:szCs w:val="20"/>
          </w:rPr>
          <m:t>V</m:t>
        </m:r>
      </m:oMath>
      <w:r w:rsidR="00FE5B3F" w:rsidRPr="00FE5B3F">
        <w:rPr>
          <w:sz w:val="20"/>
          <w:szCs w:val="20"/>
        </w:rPr>
        <w:t xml:space="preserve"> outputs is assumed to be a potential symptom of</w:t>
      </w:r>
      <w:r>
        <w:rPr>
          <w:sz w:val="20"/>
          <w:szCs w:val="20"/>
        </w:rPr>
        <w:t xml:space="preserve"> a fault or faults. T</w:t>
      </w:r>
      <w:r w:rsidR="00FE5B3F" w:rsidRPr="00FE5B3F">
        <w:rPr>
          <w:sz w:val="20"/>
          <w:szCs w:val="20"/>
        </w:rPr>
        <w:t>he residuals</w:t>
      </w:r>
      <w:r>
        <w:rPr>
          <w:sz w:val="20"/>
          <w:szCs w:val="20"/>
        </w:rPr>
        <w:t>,</w:t>
      </w:r>
      <w:r w:rsidR="00FE5B3F" w:rsidRPr="00FE5B3F">
        <w:rPr>
          <w:sz w:val="20"/>
          <w:szCs w:val="20"/>
        </w:rPr>
        <w:t xml:space="preserve"> even in the fault-free state of the diagnosed system, are fluctuating around </w:t>
      </w:r>
      <w:r>
        <w:rPr>
          <w:sz w:val="20"/>
          <w:szCs w:val="20"/>
        </w:rPr>
        <w:t>zero values. It</w:t>
      </w:r>
      <w:r w:rsidR="00763A95" w:rsidRPr="00731E04">
        <w:rPr>
          <w:sz w:val="20"/>
          <w:szCs w:val="20"/>
        </w:rPr>
        <w:t xml:space="preserve"> </w:t>
      </w:r>
      <w:r w:rsidR="00AF12F2">
        <w:rPr>
          <w:sz w:val="20"/>
          <w:szCs w:val="20"/>
        </w:rPr>
        <w:t>results</w:t>
      </w:r>
      <w:r w:rsidR="00763A95" w:rsidRPr="00731E04">
        <w:rPr>
          <w:sz w:val="20"/>
          <w:szCs w:val="20"/>
        </w:rPr>
        <w:t xml:space="preserve"> mainly </w:t>
      </w:r>
      <w:r w:rsidR="00763A95">
        <w:rPr>
          <w:sz w:val="20"/>
          <w:szCs w:val="20"/>
        </w:rPr>
        <w:t>due to</w:t>
      </w:r>
      <w:r w:rsidR="00AF12F2">
        <w:rPr>
          <w:sz w:val="20"/>
          <w:szCs w:val="20"/>
        </w:rPr>
        <w:t xml:space="preserve"> </w:t>
      </w:r>
      <w:r w:rsidR="00763A95">
        <w:rPr>
          <w:sz w:val="20"/>
          <w:szCs w:val="20"/>
        </w:rPr>
        <w:t xml:space="preserve">process </w:t>
      </w:r>
      <w:r w:rsidR="00763A95" w:rsidRPr="00731E04">
        <w:rPr>
          <w:sz w:val="20"/>
          <w:szCs w:val="20"/>
        </w:rPr>
        <w:t xml:space="preserve">disturbances, </w:t>
      </w:r>
      <w:r w:rsidR="007A239F">
        <w:rPr>
          <w:noProof/>
          <w:sz w:val="20"/>
          <w:szCs w:val="20"/>
          <w:lang w:val="pl-PL" w:eastAsia="pl-PL" w:bidi="ar-SA"/>
        </w:rPr>
        <w:lastRenderedPageBreak/>
        <w:drawing>
          <wp:inline distT="0" distB="0" distL="0" distR="0" wp14:anchorId="4CCACBDB" wp14:editId="31C301E7">
            <wp:extent cx="2088000" cy="1630800"/>
            <wp:effectExtent l="0" t="0" r="7620"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8000" cy="1630800"/>
                    </a:xfrm>
                    <a:prstGeom prst="rect">
                      <a:avLst/>
                    </a:prstGeom>
                  </pic:spPr>
                </pic:pic>
              </a:graphicData>
            </a:graphic>
          </wp:inline>
        </w:drawing>
      </w:r>
    </w:p>
    <w:p w14:paraId="43B1FFC1" w14:textId="333C5A4B" w:rsidR="00BA7831" w:rsidRPr="007A239F" w:rsidRDefault="00E96E84" w:rsidP="00BA7831">
      <w:pPr>
        <w:pStyle w:val="Legenda"/>
        <w:rPr>
          <w:rFonts w:cs="Times New Roman"/>
          <w:lang w:val="en-US"/>
        </w:rPr>
      </w:pPr>
      <w:proofErr w:type="gramStart"/>
      <w:r w:rsidRPr="007A239F">
        <w:rPr>
          <w:rFonts w:cs="Times New Roman"/>
          <w:lang w:val="en-US"/>
        </w:rPr>
        <w:t>Fig.</w:t>
      </w:r>
      <w:proofErr w:type="gramEnd"/>
      <w:r w:rsidRPr="007A239F">
        <w:rPr>
          <w:rFonts w:cs="Times New Roman"/>
          <w:lang w:val="en-US"/>
        </w:rPr>
        <w:t xml:space="preserve"> </w:t>
      </w:r>
      <w:r w:rsidRPr="007A239F">
        <w:rPr>
          <w:rFonts w:cs="Times New Roman"/>
        </w:rPr>
        <w:fldChar w:fldCharType="begin"/>
      </w:r>
      <w:r w:rsidRPr="007A239F">
        <w:rPr>
          <w:rFonts w:cs="Times New Roman"/>
          <w:lang w:val="en-US"/>
        </w:rPr>
        <w:instrText xml:space="preserve"> SEQ ábra \* ARABIC </w:instrText>
      </w:r>
      <w:r w:rsidRPr="007A239F">
        <w:rPr>
          <w:rFonts w:cs="Times New Roman"/>
        </w:rPr>
        <w:fldChar w:fldCharType="separate"/>
      </w:r>
      <w:r w:rsidR="00475443">
        <w:rPr>
          <w:rFonts w:cs="Times New Roman"/>
          <w:noProof/>
          <w:lang w:val="en-US"/>
        </w:rPr>
        <w:t>1</w:t>
      </w:r>
      <w:r w:rsidRPr="007A239F">
        <w:rPr>
          <w:rFonts w:cs="Times New Roman"/>
        </w:rPr>
        <w:fldChar w:fldCharType="end"/>
      </w:r>
      <w:r w:rsidRPr="007A239F">
        <w:rPr>
          <w:rFonts w:cs="Times New Roman"/>
          <w:lang w:val="en-US"/>
        </w:rPr>
        <w:t>. A block diagram</w:t>
      </w:r>
      <w:r w:rsidR="00FE5B3F">
        <w:rPr>
          <w:rFonts w:cs="Times New Roman"/>
          <w:lang w:val="en-US"/>
        </w:rPr>
        <w:t xml:space="preserve"> of the basic workflow in model-</w:t>
      </w:r>
      <w:r w:rsidRPr="007A239F">
        <w:rPr>
          <w:rFonts w:cs="Times New Roman"/>
          <w:lang w:val="en-US"/>
        </w:rPr>
        <w:t xml:space="preserve">based </w:t>
      </w:r>
      <w:proofErr w:type="gramStart"/>
      <w:r w:rsidRPr="007A239F">
        <w:rPr>
          <w:rFonts w:cs="Times New Roman"/>
          <w:lang w:val="en-US"/>
        </w:rPr>
        <w:t>fault</w:t>
      </w:r>
      <w:proofErr w:type="gramEnd"/>
      <w:r w:rsidRPr="007A239F">
        <w:rPr>
          <w:rFonts w:cs="Times New Roman"/>
          <w:lang w:val="en-US"/>
        </w:rPr>
        <w:t xml:space="preserve"> de</w:t>
      </w:r>
      <w:r w:rsidR="00BA7831" w:rsidRPr="007A239F">
        <w:rPr>
          <w:rFonts w:cs="Times New Roman"/>
          <w:lang w:val="en-US"/>
        </w:rPr>
        <w:t>tection and isolation approach</w:t>
      </w:r>
      <w:r w:rsidRPr="007A239F">
        <w:rPr>
          <w:rFonts w:cs="Times New Roman"/>
          <w:lang w:val="en-US"/>
        </w:rPr>
        <w:t xml:space="preserve"> (FDI).</w:t>
      </w:r>
      <w:r w:rsidR="00BA7831" w:rsidRPr="007A239F">
        <w:rPr>
          <w:rFonts w:cs="Times New Roman"/>
          <w:lang w:val="en-US"/>
        </w:rPr>
        <w:t xml:space="preserve"> Notions</w:t>
      </w:r>
      <w:r w:rsidR="00BA7831" w:rsidRPr="007A239F">
        <w:rPr>
          <w:rFonts w:cs="Times New Roman"/>
          <w:i w:val="0"/>
          <w:lang w:val="en-US"/>
        </w:rPr>
        <w:t>:</w:t>
      </w:r>
      <w:r w:rsidRPr="007A239F">
        <w:rPr>
          <w:rFonts w:cs="Times New Roman"/>
          <w:i w:val="0"/>
          <w:lang w:val="en-US"/>
        </w:rPr>
        <w:t xml:space="preserve"> </w:t>
      </w:r>
      <w:r w:rsidR="00BA7831" w:rsidRPr="007A239F">
        <w:rPr>
          <w:rFonts w:cs="Times New Roman"/>
          <w:b/>
          <w:bCs/>
          <w:color w:val="000000" w:themeColor="text1"/>
          <w:lang w:val="en-US"/>
        </w:rPr>
        <w:t>r</w:t>
      </w:r>
      <w:r w:rsidR="00BA7831" w:rsidRPr="007A239F">
        <w:rPr>
          <w:rFonts w:cs="Times New Roman"/>
          <w:bCs/>
          <w:color w:val="000000" w:themeColor="text1"/>
          <w:lang w:val="en-US"/>
        </w:rPr>
        <w:t xml:space="preserve"> </w:t>
      </w:r>
      <w:r w:rsidR="00BA7831" w:rsidRPr="007A239F">
        <w:rPr>
          <w:rFonts w:cs="Times New Roman"/>
          <w:bCs/>
          <w:color w:val="000000" w:themeColor="text1"/>
          <w:lang w:val="en-US"/>
        </w:rPr>
        <w:noBreakHyphen/>
        <w:t xml:space="preserve"> residuals, </w:t>
      </w:r>
      <m:oMath>
        <m:r>
          <m:rPr>
            <m:sty m:val="bi"/>
          </m:rPr>
          <w:rPr>
            <w:rFonts w:ascii="Cambria Math" w:hAnsi="Cambria Math" w:cs="Times New Roman"/>
            <w:color w:val="000000" w:themeColor="text1"/>
            <w:lang w:val="en-US"/>
          </w:rPr>
          <m:t>V</m:t>
        </m:r>
      </m:oMath>
      <w:r w:rsidR="00BA7831" w:rsidRPr="007A239F">
        <w:rPr>
          <w:rFonts w:cs="Times New Roman"/>
          <w:bCs/>
          <w:color w:val="000000" w:themeColor="text1"/>
          <w:lang w:val="en-US"/>
        </w:rPr>
        <w:t xml:space="preserve"> - process </w:t>
      </w:r>
      <m:oMath>
        <m:r>
          <w:rPr>
            <w:rFonts w:ascii="Cambria Math" w:hAnsi="Cambria Math" w:cs="Times New Roman"/>
            <w:color w:val="000000" w:themeColor="text1"/>
            <w:lang w:val="en-US"/>
          </w:rPr>
          <m:t xml:space="preserve"> </m:t>
        </m:r>
      </m:oMath>
      <w:r w:rsidR="00BA7831" w:rsidRPr="007A239F">
        <w:rPr>
          <w:rFonts w:cs="Times New Roman"/>
          <w:bCs/>
          <w:color w:val="000000" w:themeColor="text1"/>
          <w:lang w:val="en-US"/>
        </w:rPr>
        <w:t xml:space="preserve">outputs, </w:t>
      </w:r>
      <m:oMath>
        <m:acc>
          <m:accPr>
            <m:ctrlPr>
              <w:rPr>
                <w:rFonts w:ascii="Cambria Math" w:hAnsi="Cambria Math" w:cs="Times New Roman"/>
                <w:bCs/>
                <w:iCs w:val="0"/>
                <w:color w:val="000000" w:themeColor="text1"/>
                <w:kern w:val="0"/>
                <w:lang w:val="en-US"/>
              </w:rPr>
            </m:ctrlPr>
          </m:accPr>
          <m:e>
            <m:r>
              <m:rPr>
                <m:sty m:val="bi"/>
              </m:rPr>
              <w:rPr>
                <w:rFonts w:ascii="Cambria Math" w:hAnsi="Cambria Math" w:cs="Times New Roman"/>
                <w:color w:val="000000" w:themeColor="text1"/>
                <w:lang w:val="en-US"/>
              </w:rPr>
              <m:t>V</m:t>
            </m:r>
          </m:e>
        </m:acc>
      </m:oMath>
      <w:r w:rsidR="00BA7831" w:rsidRPr="007A239F">
        <w:rPr>
          <w:rFonts w:cs="Times New Roman"/>
          <w:bCs/>
          <w:color w:val="000000" w:themeColor="text1"/>
          <w:lang w:val="en-US"/>
        </w:rPr>
        <w:t xml:space="preserve"> - model outputs, </w:t>
      </w:r>
      <w:r w:rsidR="00BA7831" w:rsidRPr="007A239F">
        <w:rPr>
          <w:rFonts w:cs="Times New Roman"/>
          <w:b/>
          <w:bCs/>
          <w:color w:val="000000" w:themeColor="text1"/>
          <w:lang w:val="en-US"/>
        </w:rPr>
        <w:t>s</w:t>
      </w:r>
      <w:r w:rsidR="00BA7831" w:rsidRPr="007A239F">
        <w:rPr>
          <w:rFonts w:cs="Times New Roman"/>
          <w:bCs/>
          <w:color w:val="000000" w:themeColor="text1"/>
          <w:lang w:val="en-US"/>
        </w:rPr>
        <w:t xml:space="preserve"> – diagnostic signals, </w:t>
      </w:r>
      <w:r w:rsidR="00BA7831" w:rsidRPr="007A239F">
        <w:rPr>
          <w:rFonts w:cs="Times New Roman"/>
          <w:b/>
          <w:bCs/>
          <w:color w:val="000000" w:themeColor="text1"/>
          <w:lang w:val="en-US"/>
        </w:rPr>
        <w:t>f</w:t>
      </w:r>
      <w:r w:rsidR="00574D65">
        <w:rPr>
          <w:rFonts w:cs="Times New Roman"/>
          <w:bCs/>
          <w:color w:val="000000" w:themeColor="text1"/>
          <w:lang w:val="en-US"/>
        </w:rPr>
        <w:t xml:space="preserve"> – faults.</w:t>
      </w:r>
    </w:p>
    <w:p w14:paraId="73270368" w14:textId="29C51153" w:rsidR="0043114F" w:rsidRPr="00731E04" w:rsidRDefault="00ED72FE" w:rsidP="00B7490D">
      <w:pPr>
        <w:pStyle w:val="Bodytextfirst"/>
        <w:rPr>
          <w:sz w:val="20"/>
          <w:szCs w:val="20"/>
        </w:rPr>
      </w:pPr>
      <w:proofErr w:type="gramStart"/>
      <w:r>
        <w:rPr>
          <w:sz w:val="20"/>
          <w:szCs w:val="20"/>
        </w:rPr>
        <w:t>u</w:t>
      </w:r>
      <w:r w:rsidR="00FE5B3F" w:rsidRPr="00FE5B3F">
        <w:rPr>
          <w:sz w:val="20"/>
          <w:szCs w:val="20"/>
        </w:rPr>
        <w:t>ncertainty</w:t>
      </w:r>
      <w:proofErr w:type="gramEnd"/>
      <w:r w:rsidR="00FE5B3F" w:rsidRPr="00FE5B3F">
        <w:rPr>
          <w:sz w:val="20"/>
          <w:szCs w:val="20"/>
        </w:rPr>
        <w:t xml:space="preserve"> of measurements and uncertainty of reference models. In practice, the residuals are filtered and discretized </w:t>
      </w:r>
      <w:r>
        <w:rPr>
          <w:sz w:val="20"/>
          <w:szCs w:val="20"/>
        </w:rPr>
        <w:t>through</w:t>
      </w:r>
      <w:r w:rsidR="00FE5B3F" w:rsidRPr="00FE5B3F">
        <w:rPr>
          <w:sz w:val="20"/>
          <w:szCs w:val="20"/>
        </w:rPr>
        <w:t xml:space="preserve"> the constant [1] or adaptive thresholding approaches [2]. As a result, the continuous or piecewise continuous residuals are converted into bi- a</w:t>
      </w:r>
      <w:r w:rsidR="00AD14DE">
        <w:rPr>
          <w:sz w:val="20"/>
          <w:szCs w:val="20"/>
        </w:rPr>
        <w:t>nd</w:t>
      </w:r>
      <w:r w:rsidR="00FE5B3F" w:rsidRPr="00FE5B3F">
        <w:rPr>
          <w:sz w:val="20"/>
          <w:szCs w:val="20"/>
        </w:rPr>
        <w:t xml:space="preserve"> tri-valued crispy or fuzzy values referred to as diagnostic signals [1, 3, </w:t>
      </w:r>
      <w:proofErr w:type="gramStart"/>
      <w:r w:rsidR="00FE5B3F" w:rsidRPr="00FE5B3F">
        <w:rPr>
          <w:sz w:val="20"/>
          <w:szCs w:val="20"/>
        </w:rPr>
        <w:t>4</w:t>
      </w:r>
      <w:proofErr w:type="gramEnd"/>
      <w:r w:rsidR="00FE5B3F" w:rsidRPr="00FE5B3F">
        <w:rPr>
          <w:sz w:val="20"/>
          <w:szCs w:val="20"/>
        </w:rPr>
        <w:t>].  A set of diagnostic signal values associated with each particular fault creates its specific pattern (signature)</w:t>
      </w:r>
      <w:r>
        <w:rPr>
          <w:sz w:val="20"/>
          <w:szCs w:val="20"/>
        </w:rPr>
        <w:t>,</w:t>
      </w:r>
      <w:r w:rsidR="00FE5B3F" w:rsidRPr="00FE5B3F">
        <w:rPr>
          <w:sz w:val="20"/>
          <w:szCs w:val="20"/>
        </w:rPr>
        <w:t xml:space="preserve"> which t</w:t>
      </w:r>
      <w:r>
        <w:rPr>
          <w:sz w:val="20"/>
          <w:szCs w:val="20"/>
        </w:rPr>
        <w:t>ypically takes</w:t>
      </w:r>
      <w:r w:rsidR="00FE5B3F" w:rsidRPr="00FE5B3F">
        <w:rPr>
          <w:sz w:val="20"/>
          <w:szCs w:val="20"/>
        </w:rPr>
        <w:t xml:space="preserve"> a form of </w:t>
      </w:r>
      <w:r w:rsidR="00AD14DE">
        <w:rPr>
          <w:sz w:val="20"/>
          <w:szCs w:val="20"/>
        </w:rPr>
        <w:t>a</w:t>
      </w:r>
      <w:r w:rsidR="00FE5B3F" w:rsidRPr="00FE5B3F">
        <w:rPr>
          <w:sz w:val="20"/>
          <w:szCs w:val="20"/>
        </w:rPr>
        <w:t xml:space="preserve"> column vector. The structure of all fault signatures is referred to as the incidence matrix or </w:t>
      </w:r>
      <w:r w:rsidR="00AD14DE">
        <w:rPr>
          <w:sz w:val="20"/>
          <w:szCs w:val="20"/>
        </w:rPr>
        <w:t>structure</w:t>
      </w:r>
      <w:r w:rsidR="00FE5B3F" w:rsidRPr="00FE5B3F">
        <w:rPr>
          <w:sz w:val="20"/>
          <w:szCs w:val="20"/>
        </w:rPr>
        <w:t xml:space="preserve"> of residual sets or diagnostic matrix [3, 5, </w:t>
      </w:r>
      <w:proofErr w:type="gramStart"/>
      <w:r w:rsidR="00FE5B3F" w:rsidRPr="00FE5B3F">
        <w:rPr>
          <w:sz w:val="20"/>
          <w:szCs w:val="20"/>
        </w:rPr>
        <w:t>6</w:t>
      </w:r>
      <w:proofErr w:type="gramEnd"/>
      <w:r w:rsidR="00FE5B3F" w:rsidRPr="00FE5B3F">
        <w:rPr>
          <w:sz w:val="20"/>
          <w:szCs w:val="20"/>
        </w:rPr>
        <w:t>].</w:t>
      </w:r>
    </w:p>
    <w:p w14:paraId="0501F27F" w14:textId="1868D101" w:rsidR="001D024E" w:rsidRDefault="0043114F" w:rsidP="00B7490D">
      <w:pPr>
        <w:pStyle w:val="Bodytextfirst"/>
        <w:rPr>
          <w:sz w:val="20"/>
          <w:szCs w:val="20"/>
        </w:rPr>
      </w:pPr>
      <w:r w:rsidRPr="00731E04">
        <w:rPr>
          <w:sz w:val="20"/>
          <w:szCs w:val="20"/>
        </w:rPr>
        <w:t xml:space="preserve"> </w:t>
      </w:r>
      <w:r w:rsidR="00FE5B3F" w:rsidRPr="00FE5B3F">
        <w:rPr>
          <w:sz w:val="20"/>
          <w:szCs w:val="20"/>
        </w:rPr>
        <w:t>The signatures allow for distinguishing among the faults, however, under the condition that all signatures are unique. In general, this condition is not</w:t>
      </w:r>
      <w:r w:rsidR="00AD14DE">
        <w:rPr>
          <w:sz w:val="20"/>
          <w:szCs w:val="20"/>
        </w:rPr>
        <w:t xml:space="preserve"> always</w:t>
      </w:r>
      <w:r w:rsidR="00FE5B3F" w:rsidRPr="00FE5B3F">
        <w:rPr>
          <w:sz w:val="20"/>
          <w:szCs w:val="20"/>
        </w:rPr>
        <w:t xml:space="preserve"> </w:t>
      </w:r>
      <w:r w:rsidR="00ED72FE">
        <w:rPr>
          <w:sz w:val="20"/>
          <w:szCs w:val="20"/>
        </w:rPr>
        <w:t>met</w:t>
      </w:r>
      <w:r w:rsidR="00FE5B3F" w:rsidRPr="00FE5B3F">
        <w:rPr>
          <w:sz w:val="20"/>
          <w:szCs w:val="20"/>
        </w:rPr>
        <w:t xml:space="preserve">. Therefore, some faults remain indistinguishable. </w:t>
      </w:r>
      <w:r w:rsidR="00ED72FE">
        <w:rPr>
          <w:sz w:val="20"/>
          <w:szCs w:val="20"/>
        </w:rPr>
        <w:t>It</w:t>
      </w:r>
      <w:r w:rsidR="00FE5B3F" w:rsidRPr="00FE5B3F">
        <w:rPr>
          <w:sz w:val="20"/>
          <w:szCs w:val="20"/>
        </w:rPr>
        <w:t xml:space="preserve"> is the se</w:t>
      </w:r>
      <w:r w:rsidR="00AD14DE">
        <w:rPr>
          <w:sz w:val="20"/>
          <w:szCs w:val="20"/>
        </w:rPr>
        <w:t>vere</w:t>
      </w:r>
      <w:r w:rsidR="00FE5B3F" w:rsidRPr="00FE5B3F">
        <w:rPr>
          <w:sz w:val="20"/>
          <w:szCs w:val="20"/>
        </w:rPr>
        <w:t xml:space="preserve"> drawback of </w:t>
      </w:r>
      <w:r w:rsidR="00ED72FE">
        <w:rPr>
          <w:sz w:val="20"/>
          <w:szCs w:val="20"/>
        </w:rPr>
        <w:t>the Fault Detection and Isolation (</w:t>
      </w:r>
      <w:r w:rsidR="00FE5B3F" w:rsidRPr="00FE5B3F">
        <w:rPr>
          <w:sz w:val="20"/>
          <w:szCs w:val="20"/>
        </w:rPr>
        <w:t>FDI</w:t>
      </w:r>
      <w:r w:rsidR="00ED72FE">
        <w:rPr>
          <w:sz w:val="20"/>
          <w:szCs w:val="20"/>
        </w:rPr>
        <w:t>) approach</w:t>
      </w:r>
      <w:r w:rsidR="00FE5B3F" w:rsidRPr="00FE5B3F">
        <w:rPr>
          <w:sz w:val="20"/>
          <w:szCs w:val="20"/>
        </w:rPr>
        <w:t xml:space="preserve">. There were </w:t>
      </w:r>
      <w:r w:rsidR="00AD14DE">
        <w:rPr>
          <w:sz w:val="20"/>
          <w:szCs w:val="20"/>
        </w:rPr>
        <w:t>many</w:t>
      </w:r>
      <w:r w:rsidR="00FE5B3F" w:rsidRPr="00FE5B3F">
        <w:rPr>
          <w:sz w:val="20"/>
          <w:szCs w:val="20"/>
        </w:rPr>
        <w:t xml:space="preserve"> </w:t>
      </w:r>
      <w:r w:rsidR="00ED72FE">
        <w:rPr>
          <w:sz w:val="20"/>
          <w:szCs w:val="20"/>
        </w:rPr>
        <w:t>method</w:t>
      </w:r>
      <w:r w:rsidR="00FE5B3F" w:rsidRPr="00FE5B3F">
        <w:rPr>
          <w:sz w:val="20"/>
          <w:szCs w:val="20"/>
        </w:rPr>
        <w:t xml:space="preserve">s </w:t>
      </w:r>
      <w:r w:rsidR="00ED72FE">
        <w:rPr>
          <w:sz w:val="20"/>
          <w:szCs w:val="20"/>
        </w:rPr>
        <w:t xml:space="preserve">developed </w:t>
      </w:r>
      <w:r w:rsidR="00FE5B3F" w:rsidRPr="00FE5B3F">
        <w:rPr>
          <w:sz w:val="20"/>
          <w:szCs w:val="20"/>
        </w:rPr>
        <w:t>that increase fault distinguishability</w:t>
      </w:r>
      <w:r w:rsidR="00ED72FE">
        <w:rPr>
          <w:sz w:val="20"/>
          <w:szCs w:val="20"/>
        </w:rPr>
        <w:t>. H</w:t>
      </w:r>
      <w:r w:rsidR="00FE5B3F" w:rsidRPr="00FE5B3F">
        <w:rPr>
          <w:sz w:val="20"/>
          <w:szCs w:val="20"/>
        </w:rPr>
        <w:t>owever, it was proven, that in general, this task is unsolvable [4].</w:t>
      </w:r>
    </w:p>
    <w:p w14:paraId="129F762D" w14:textId="3BDAE94A" w:rsidR="001D024E" w:rsidRPr="00731E04" w:rsidRDefault="001D024E" w:rsidP="001D024E">
      <w:pPr>
        <w:pStyle w:val="Sectionheading"/>
        <w:rPr>
          <w:rFonts w:cs="Times New Roman"/>
          <w:szCs w:val="20"/>
        </w:rPr>
      </w:pPr>
      <w:r>
        <w:rPr>
          <w:rFonts w:cs="Times New Roman"/>
          <w:szCs w:val="20"/>
        </w:rPr>
        <w:t>The nominal model of the system</w:t>
      </w:r>
    </w:p>
    <w:p w14:paraId="59996664" w14:textId="47669971" w:rsidR="00036701" w:rsidRPr="00036701" w:rsidRDefault="00036701" w:rsidP="00036701">
      <w:pPr>
        <w:pStyle w:val="Bodytextfirst"/>
        <w:rPr>
          <w:sz w:val="20"/>
          <w:szCs w:val="20"/>
        </w:rPr>
      </w:pPr>
      <w:r w:rsidRPr="00036701">
        <w:rPr>
          <w:sz w:val="20"/>
          <w:szCs w:val="20"/>
        </w:rPr>
        <w:t xml:space="preserve">The problem of residual compensation will be characterized based on the example of the model-based diagnosing workflow of a simple open-loop control system shown in Fig. 2. The diagnostic problem is to isolate two single faults: leakage in the tank </w:t>
      </w:r>
      <w:r w:rsidR="00FB6935" w:rsidRPr="00731E04">
        <w:rPr>
          <w:sz w:val="20"/>
          <w:szCs w:val="20"/>
        </w:rPr>
        <w:t>(</w:t>
      </w:r>
      <w:proofErr w:type="gramStart"/>
      <w:r w:rsidR="00FB6935" w:rsidRPr="00731E04">
        <w:rPr>
          <w:sz w:val="20"/>
          <w:szCs w:val="20"/>
        </w:rPr>
        <w:t xml:space="preserve">fault </w:t>
      </w:r>
      <w:proofErr w:type="gramEnd"/>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oMath>
      <w:r w:rsidR="00111A6F">
        <w:rPr>
          <w:sz w:val="20"/>
          <w:szCs w:val="20"/>
        </w:rPr>
        <w:t>) and</w:t>
      </w:r>
      <w:r w:rsidR="00FB6935" w:rsidRPr="00731E04">
        <w:rPr>
          <w:sz w:val="20"/>
          <w:szCs w:val="20"/>
        </w:rPr>
        <w:t xml:space="preserve"> obliteration of the outlet pipe (fault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oMath>
      <w:r w:rsidR="00FB6935" w:rsidRPr="00731E04">
        <w:rPr>
          <w:sz w:val="20"/>
          <w:szCs w:val="20"/>
        </w:rPr>
        <w:t xml:space="preserve">) </w:t>
      </w:r>
      <w:r w:rsidR="00111A6F">
        <w:rPr>
          <w:sz w:val="20"/>
          <w:szCs w:val="20"/>
        </w:rPr>
        <w:t>as well as one</w:t>
      </w:r>
      <w:r w:rsidR="00FB6935" w:rsidRPr="00731E04">
        <w:rPr>
          <w:sz w:val="20"/>
          <w:szCs w:val="20"/>
        </w:rPr>
        <w:t xml:space="preserve"> double fault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e>
        </m:d>
      </m:oMath>
      <w:r w:rsidR="00ED72FE">
        <w:rPr>
          <w:sz w:val="20"/>
          <w:szCs w:val="20"/>
        </w:rPr>
        <w:t xml:space="preserve">. The double fault represents </w:t>
      </w:r>
      <w:r w:rsidRPr="00036701">
        <w:rPr>
          <w:sz w:val="20"/>
          <w:szCs w:val="20"/>
        </w:rPr>
        <w:t>the state where the leakage and obliteration take place</w:t>
      </w:r>
      <w:r w:rsidR="00ED72FE" w:rsidRPr="00ED72FE">
        <w:rPr>
          <w:sz w:val="20"/>
          <w:szCs w:val="20"/>
        </w:rPr>
        <w:t xml:space="preserve"> </w:t>
      </w:r>
      <w:r w:rsidR="00ED72FE" w:rsidRPr="00036701">
        <w:rPr>
          <w:sz w:val="20"/>
          <w:szCs w:val="20"/>
        </w:rPr>
        <w:lastRenderedPageBreak/>
        <w:t>simultaneously</w:t>
      </w:r>
      <w:r w:rsidRPr="00036701">
        <w:rPr>
          <w:sz w:val="20"/>
          <w:szCs w:val="20"/>
        </w:rPr>
        <w:t xml:space="preserve">. For simplicity, we assume that measurement instruments are infallible. Firstly, according to the scheme shown in Fig. 1, we develop the nominal (reference) model of the process in a fault-free state. In this case, </w:t>
      </w:r>
      <w:r w:rsidR="00ED72FE">
        <w:rPr>
          <w:sz w:val="20"/>
          <w:szCs w:val="20"/>
        </w:rPr>
        <w:t xml:space="preserve">we will use </w:t>
      </w:r>
      <w:r w:rsidRPr="00036701">
        <w:rPr>
          <w:sz w:val="20"/>
          <w:szCs w:val="20"/>
        </w:rPr>
        <w:t>an analytical</w:t>
      </w:r>
      <w:proofErr w:type="gramStart"/>
      <w:r w:rsidRPr="00036701">
        <w:rPr>
          <w:sz w:val="20"/>
          <w:szCs w:val="20"/>
        </w:rPr>
        <w:t>,  phenomenological</w:t>
      </w:r>
      <w:proofErr w:type="gramEnd"/>
      <w:r w:rsidRPr="00036701">
        <w:rPr>
          <w:sz w:val="20"/>
          <w:szCs w:val="20"/>
        </w:rPr>
        <w:t xml:space="preserve"> model of the process. This model will be exploited further for the closed-loop control system.</w:t>
      </w:r>
    </w:p>
    <w:p w14:paraId="3FBB7964" w14:textId="798B2BEE" w:rsidR="00F65723" w:rsidRPr="00731E04" w:rsidRDefault="00ED72FE" w:rsidP="00036701">
      <w:pPr>
        <w:pStyle w:val="Bodytextfirst"/>
        <w:rPr>
          <w:sz w:val="20"/>
          <w:szCs w:val="20"/>
        </w:rPr>
      </w:pPr>
      <w:r>
        <w:rPr>
          <w:sz w:val="20"/>
          <w:szCs w:val="20"/>
        </w:rPr>
        <w:t>T</w:t>
      </w:r>
      <w:r w:rsidR="00036701" w:rsidRPr="00036701">
        <w:rPr>
          <w:sz w:val="20"/>
          <w:szCs w:val="20"/>
        </w:rPr>
        <w:t xml:space="preserve">here are many other models imaginable in this stage, including these, based on heuristic knowledge, fuzzy sets theory, fuzzy neural networks, </w:t>
      </w:r>
      <w:r w:rsidR="00AD14DE">
        <w:rPr>
          <w:sz w:val="20"/>
          <w:szCs w:val="20"/>
        </w:rPr>
        <w:t xml:space="preserve">neural networks, </w:t>
      </w:r>
      <w:r w:rsidR="00036701" w:rsidRPr="00036701">
        <w:rPr>
          <w:sz w:val="20"/>
          <w:szCs w:val="20"/>
        </w:rPr>
        <w:t xml:space="preserve">etc. Firstly, we assume the availability of measurement instruments as in Tab. 1, </w:t>
      </w:r>
      <w:r>
        <w:rPr>
          <w:sz w:val="20"/>
          <w:szCs w:val="20"/>
        </w:rPr>
        <w:t>except for</w:t>
      </w:r>
      <w:r w:rsidR="00036701" w:rsidRPr="00036701">
        <w:rPr>
          <w:sz w:val="20"/>
          <w:szCs w:val="20"/>
        </w:rPr>
        <w:t xml:space="preserve"> optional flow r</w:t>
      </w:r>
      <w:r w:rsidR="00AD14DE">
        <w:rPr>
          <w:sz w:val="20"/>
          <w:szCs w:val="20"/>
        </w:rPr>
        <w:t xml:space="preserve">ate meter </w:t>
      </w:r>
      <w:r w:rsidR="00036701" w:rsidRPr="00036701">
        <w:rPr>
          <w:i/>
          <w:sz w:val="20"/>
          <w:szCs w:val="20"/>
        </w:rPr>
        <w:t>F</w:t>
      </w:r>
      <w:r w:rsidR="00036701" w:rsidRPr="00036701">
        <w:rPr>
          <w:i/>
          <w:sz w:val="20"/>
          <w:szCs w:val="20"/>
          <w:vertAlign w:val="subscript"/>
        </w:rPr>
        <w:t>1</w:t>
      </w:r>
      <w:r w:rsidR="00036701" w:rsidRPr="00036701">
        <w:rPr>
          <w:sz w:val="20"/>
          <w:szCs w:val="20"/>
        </w:rPr>
        <w:t>. In the case of a fault-free state, for incompressible, inviscid liquid</w:t>
      </w:r>
      <w:r>
        <w:rPr>
          <w:sz w:val="20"/>
          <w:szCs w:val="20"/>
        </w:rPr>
        <w:t>,</w:t>
      </w:r>
      <w:r w:rsidR="00036701" w:rsidRPr="00036701">
        <w:rPr>
          <w:sz w:val="20"/>
          <w:szCs w:val="20"/>
        </w:rPr>
        <w:t xml:space="preserve"> the accumulation of </w:t>
      </w:r>
      <w:r>
        <w:rPr>
          <w:sz w:val="20"/>
          <w:szCs w:val="20"/>
        </w:rPr>
        <w:t>fl</w:t>
      </w:r>
      <w:r w:rsidR="00036701" w:rsidRPr="00036701">
        <w:rPr>
          <w:sz w:val="20"/>
          <w:szCs w:val="20"/>
        </w:rPr>
        <w:t>uid in the tank is equal to the difference between in</w:t>
      </w:r>
      <w:r>
        <w:rPr>
          <w:sz w:val="20"/>
          <w:szCs w:val="20"/>
        </w:rPr>
        <w:t>flow and outflow volumes. Hence</w:t>
      </w:r>
      <w:r w:rsidR="00BF032C">
        <w:rPr>
          <w:sz w:val="20"/>
          <w:szCs w:val="20"/>
        </w:rPr>
        <w:t>:</w:t>
      </w:r>
      <w:r w:rsidR="001F5B78" w:rsidRPr="00731E04">
        <w:rPr>
          <w:sz w:val="20"/>
          <w:szCs w:val="20"/>
        </w:rPr>
        <w:t xml:space="preserve"> </w:t>
      </w:r>
    </w:p>
    <w:p w14:paraId="21573CF9" w14:textId="33A893F1" w:rsidR="00BD3665" w:rsidRPr="00E510D3" w:rsidRDefault="00BD3665" w:rsidP="00BD3665">
      <w:pPr>
        <w:pStyle w:val="equation0"/>
        <w:tabs>
          <w:tab w:val="clear" w:pos="5040"/>
          <w:tab w:val="right" w:pos="4678"/>
        </w:tabs>
        <w:ind w:right="113"/>
        <w:rPr>
          <w:sz w:val="18"/>
          <w:szCs w:val="18"/>
        </w:rPr>
      </w:pPr>
      <w:r w:rsidRPr="004857A6">
        <w:rPr>
          <w:color w:val="00B050"/>
        </w:rPr>
        <w:tab/>
      </w:r>
      <m:oMath>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m:t>
            </m:r>
          </m:sub>
        </m:sSub>
        <m:r>
          <w:rPr>
            <w:rFonts w:ascii="Cambria Math" w:hAnsi="Cambria Math" w:cs="Times New Roman"/>
            <w:sz w:val="18"/>
            <w:szCs w:val="18"/>
          </w:rPr>
          <m:t>=A</m:t>
        </m:r>
        <m:f>
          <m:fPr>
            <m:ctrlPr>
              <w:rPr>
                <w:rFonts w:ascii="Cambria Math" w:hAnsi="Cambria Math" w:cs="Times New Roman"/>
                <w:i/>
                <w:sz w:val="18"/>
                <w:szCs w:val="18"/>
              </w:rPr>
            </m:ctrlPr>
          </m:fPr>
          <m:num>
            <m:r>
              <w:rPr>
                <w:rFonts w:ascii="Cambria Math" w:hAnsi="Cambria Math" w:cs="Times New Roman"/>
                <w:sz w:val="18"/>
                <w:szCs w:val="18"/>
              </w:rPr>
              <m:t>dL</m:t>
            </m:r>
          </m:num>
          <m:den>
            <m:r>
              <w:rPr>
                <w:rFonts w:ascii="Cambria Math" w:hAnsi="Cambria Math" w:cs="Times New Roman"/>
                <w:sz w:val="18"/>
                <w:szCs w:val="18"/>
              </w:rPr>
              <m:t>dt</m:t>
            </m:r>
          </m:den>
        </m:f>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oMath>
      <w:r w:rsidRPr="00E510D3">
        <w:rPr>
          <w:sz w:val="18"/>
          <w:szCs w:val="18"/>
        </w:rPr>
        <w:t></w:t>
      </w:r>
      <w:r w:rsidRPr="00E510D3">
        <w:rPr>
          <w:color w:val="00B050"/>
          <w:sz w:val="18"/>
          <w:szCs w:val="18"/>
        </w:rPr>
        <w:tab/>
      </w:r>
      <w:r w:rsidRPr="00E510D3">
        <w:rPr>
          <w:sz w:val="18"/>
          <w:szCs w:val="18"/>
        </w:rPr>
        <w:t></w:t>
      </w:r>
      <w:r w:rsidRPr="00E510D3">
        <w:rPr>
          <w:rFonts w:hint="eastAsia"/>
          <w:sz w:val="18"/>
          <w:szCs w:val="18"/>
        </w:rPr>
        <w:fldChar w:fldCharType="begin"/>
      </w:r>
      <w:r w:rsidRPr="00E510D3">
        <w:rPr>
          <w:rFonts w:hint="eastAsia"/>
          <w:sz w:val="18"/>
          <w:szCs w:val="18"/>
        </w:rPr>
        <w:instrText xml:space="preserve"> </w:instrText>
      </w:r>
      <w:r w:rsidRPr="00E510D3">
        <w:rPr>
          <w:sz w:val="18"/>
          <w:szCs w:val="18"/>
        </w:rPr>
        <w:instrText>SEQ Eq2 \* MERGEFORMAT</w:instrText>
      </w:r>
      <w:r w:rsidRPr="00E510D3">
        <w:rPr>
          <w:rFonts w:hint="eastAsia"/>
          <w:sz w:val="18"/>
          <w:szCs w:val="18"/>
        </w:rPr>
        <w:instrText xml:space="preserve"> </w:instrText>
      </w:r>
      <w:r w:rsidRPr="00E510D3">
        <w:rPr>
          <w:rFonts w:hint="eastAsia"/>
          <w:sz w:val="18"/>
          <w:szCs w:val="18"/>
        </w:rPr>
        <w:fldChar w:fldCharType="separate"/>
      </w:r>
      <w:r w:rsidR="00475443">
        <w:rPr>
          <w:rFonts w:hint="eastAsia"/>
          <w:noProof/>
          <w:sz w:val="18"/>
          <w:szCs w:val="18"/>
        </w:rPr>
        <w:t>1</w:t>
      </w:r>
      <w:r w:rsidRPr="00E510D3">
        <w:rPr>
          <w:rFonts w:hint="eastAsia"/>
          <w:sz w:val="18"/>
          <w:szCs w:val="18"/>
        </w:rPr>
        <w:fldChar w:fldCharType="end"/>
      </w:r>
      <w:r w:rsidRPr="00E510D3">
        <w:rPr>
          <w:sz w:val="18"/>
          <w:szCs w:val="18"/>
        </w:rPr>
        <w:t></w:t>
      </w:r>
    </w:p>
    <w:p w14:paraId="0CD4CB37" w14:textId="6B214E02" w:rsidR="008952FF" w:rsidRPr="00731E04" w:rsidRDefault="008952FF" w:rsidP="00B7490D">
      <w:pPr>
        <w:pStyle w:val="Bodytextfirst"/>
        <w:rPr>
          <w:sz w:val="20"/>
          <w:szCs w:val="20"/>
        </w:rPr>
      </w:pPr>
      <w:proofErr w:type="gramStart"/>
      <w:r w:rsidRPr="00731E04">
        <w:rPr>
          <w:sz w:val="20"/>
          <w:szCs w:val="20"/>
        </w:rPr>
        <w:t>where</w:t>
      </w:r>
      <w:proofErr w:type="gramEnd"/>
      <w:r w:rsidRPr="00731E04">
        <w:rPr>
          <w:sz w:val="20"/>
          <w:szCs w:val="20"/>
        </w:rPr>
        <w:t xml:space="preserve">: </w:t>
      </w:r>
      <w:r w:rsidRPr="00731E04">
        <w:rPr>
          <w:i/>
          <w:sz w:val="20"/>
          <w:szCs w:val="20"/>
        </w:rPr>
        <w:t>α</w:t>
      </w:r>
      <w:r w:rsidRPr="00731E04">
        <w:rPr>
          <w:sz w:val="20"/>
          <w:szCs w:val="20"/>
        </w:rPr>
        <w:t xml:space="preserve"> </w:t>
      </w:r>
      <w:r w:rsidR="00AD14DE">
        <w:rPr>
          <w:sz w:val="20"/>
          <w:szCs w:val="20"/>
        </w:rPr>
        <w:t>i</w:t>
      </w:r>
      <w:r w:rsidR="00036701" w:rsidRPr="00036701">
        <w:rPr>
          <w:sz w:val="20"/>
          <w:szCs w:val="20"/>
        </w:rPr>
        <w:t xml:space="preserve">s the flow contraction coefficient, </w:t>
      </w:r>
      <w:r w:rsidR="00036701" w:rsidRPr="00AD14DE">
        <w:rPr>
          <w:i/>
          <w:sz w:val="20"/>
          <w:szCs w:val="20"/>
        </w:rPr>
        <w:t>S</w:t>
      </w:r>
      <w:r w:rsidR="00036701" w:rsidRPr="00036701">
        <w:rPr>
          <w:sz w:val="20"/>
          <w:szCs w:val="20"/>
        </w:rPr>
        <w:t xml:space="preserve"> is the cross-sectional area of the outlet pipe</w:t>
      </w:r>
      <w:r w:rsidR="00ED72FE">
        <w:rPr>
          <w:sz w:val="20"/>
          <w:szCs w:val="20"/>
        </w:rPr>
        <w:t>,</w:t>
      </w:r>
      <w:r w:rsidR="00036701" w:rsidRPr="00036701">
        <w:rPr>
          <w:sz w:val="20"/>
          <w:szCs w:val="20"/>
        </w:rPr>
        <w:t xml:space="preserve"> and </w:t>
      </w:r>
      <w:r w:rsidR="00036701" w:rsidRPr="00AD14DE">
        <w:rPr>
          <w:i/>
          <w:sz w:val="20"/>
          <w:szCs w:val="20"/>
        </w:rPr>
        <w:t>g</w:t>
      </w:r>
      <w:r w:rsidR="00036701" w:rsidRPr="00036701">
        <w:rPr>
          <w:sz w:val="20"/>
          <w:szCs w:val="20"/>
        </w:rPr>
        <w:t xml:space="preserve"> is the gravitational constant.  Eq. (1</w:t>
      </w:r>
      <w:proofErr w:type="gramStart"/>
      <w:r w:rsidR="00036701" w:rsidRPr="00036701">
        <w:rPr>
          <w:sz w:val="20"/>
          <w:szCs w:val="20"/>
        </w:rPr>
        <w:t>)  will</w:t>
      </w:r>
      <w:proofErr w:type="gramEnd"/>
      <w:r w:rsidR="00036701" w:rsidRPr="00036701">
        <w:rPr>
          <w:sz w:val="20"/>
          <w:szCs w:val="20"/>
        </w:rPr>
        <w:t xml:space="preserve"> be further referred to as the nominal model of the process</w:t>
      </w:r>
      <w:r w:rsidR="00036701">
        <w:rPr>
          <w:sz w:val="20"/>
          <w:szCs w:val="20"/>
        </w:rPr>
        <w:t>.</w:t>
      </w:r>
    </w:p>
    <w:p w14:paraId="69725404" w14:textId="77777777" w:rsidR="00F65723" w:rsidRPr="00731E04" w:rsidRDefault="00F65723" w:rsidP="00D251FB">
      <w:pPr>
        <w:pStyle w:val="Bodytextfirst"/>
        <w:jc w:val="center"/>
        <w:rPr>
          <w:noProof/>
          <w:sz w:val="20"/>
          <w:szCs w:val="20"/>
          <w:lang w:eastAsia="pl-PL" w:bidi="ar-SA"/>
        </w:rPr>
      </w:pPr>
      <w:r w:rsidRPr="00731E04">
        <w:rPr>
          <w:noProof/>
          <w:sz w:val="20"/>
          <w:szCs w:val="20"/>
          <w:lang w:val="pl-PL" w:eastAsia="pl-PL" w:bidi="ar-SA"/>
        </w:rPr>
        <w:drawing>
          <wp:inline distT="0" distB="0" distL="0" distR="0" wp14:anchorId="4DB4FFD4" wp14:editId="3230DBF3">
            <wp:extent cx="1800000" cy="1774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0" cy="1774800"/>
                    </a:xfrm>
                    <a:prstGeom prst="rect">
                      <a:avLst/>
                    </a:prstGeom>
                  </pic:spPr>
                </pic:pic>
              </a:graphicData>
            </a:graphic>
          </wp:inline>
        </w:drawing>
      </w:r>
    </w:p>
    <w:p w14:paraId="620DFD23" w14:textId="22373A16" w:rsidR="00F65723" w:rsidRPr="00BF032C" w:rsidRDefault="00F65723" w:rsidP="00BF032C">
      <w:pPr>
        <w:pStyle w:val="Bodytextfirst"/>
        <w:jc w:val="center"/>
        <w:rPr>
          <w:i/>
        </w:rPr>
      </w:pPr>
      <w:proofErr w:type="gramStart"/>
      <w:r w:rsidRPr="00BF032C">
        <w:rPr>
          <w:i/>
        </w:rPr>
        <w:t>Fig. 2.</w:t>
      </w:r>
      <w:proofErr w:type="gramEnd"/>
      <w:r w:rsidRPr="00BF032C">
        <w:rPr>
          <w:i/>
        </w:rPr>
        <w:t xml:space="preserve"> </w:t>
      </w:r>
      <w:proofErr w:type="gramStart"/>
      <w:r w:rsidRPr="00BF032C">
        <w:rPr>
          <w:i/>
        </w:rPr>
        <w:t>An</w:t>
      </w:r>
      <w:r w:rsidR="00036701">
        <w:rPr>
          <w:i/>
        </w:rPr>
        <w:t xml:space="preserve"> illustration to an example of </w:t>
      </w:r>
      <w:r w:rsidRPr="00BF032C">
        <w:rPr>
          <w:i/>
        </w:rPr>
        <w:t xml:space="preserve">diagnosing of single and double </w:t>
      </w:r>
      <w:r w:rsidR="001F5B78" w:rsidRPr="00BF032C">
        <w:rPr>
          <w:i/>
        </w:rPr>
        <w:t>fault</w:t>
      </w:r>
      <w:r w:rsidRPr="00BF032C">
        <w:rPr>
          <w:i/>
        </w:rPr>
        <w:t xml:space="preserve"> in a buffer tank.</w:t>
      </w:r>
      <w:proofErr w:type="gramEnd"/>
    </w:p>
    <w:p w14:paraId="7710D04A" w14:textId="14C75D1D" w:rsidR="00F65723" w:rsidRPr="00BF032C" w:rsidRDefault="00F65723" w:rsidP="00F65723">
      <w:pPr>
        <w:pStyle w:val="Legenda"/>
        <w:keepNext/>
        <w:rPr>
          <w:rFonts w:cs="Times New Roman"/>
          <w:lang w:val="en-US"/>
        </w:rPr>
      </w:pPr>
      <w:proofErr w:type="gramStart"/>
      <w:r w:rsidRPr="00BF032C">
        <w:rPr>
          <w:rFonts w:cs="Times New Roman"/>
          <w:lang w:val="en-US"/>
        </w:rPr>
        <w:t xml:space="preserve">Table </w:t>
      </w:r>
      <w:r w:rsidRPr="00BF032C">
        <w:rPr>
          <w:rFonts w:cs="Times New Roman"/>
          <w:lang w:val="en-US"/>
        </w:rPr>
        <w:fldChar w:fldCharType="begin"/>
      </w:r>
      <w:r w:rsidRPr="00BF032C">
        <w:rPr>
          <w:rFonts w:cs="Times New Roman"/>
          <w:lang w:val="en-US"/>
        </w:rPr>
        <w:instrText xml:space="preserve"> SEQ Table \* ARABIC </w:instrText>
      </w:r>
      <w:r w:rsidRPr="00BF032C">
        <w:rPr>
          <w:rFonts w:cs="Times New Roman"/>
          <w:lang w:val="en-US"/>
        </w:rPr>
        <w:fldChar w:fldCharType="separate"/>
      </w:r>
      <w:r w:rsidR="00475443">
        <w:rPr>
          <w:rFonts w:cs="Times New Roman"/>
          <w:noProof/>
          <w:lang w:val="en-US"/>
        </w:rPr>
        <w:t>1</w:t>
      </w:r>
      <w:r w:rsidRPr="00BF032C">
        <w:rPr>
          <w:rFonts w:cs="Times New Roman"/>
          <w:lang w:val="en-US"/>
        </w:rPr>
        <w:fldChar w:fldCharType="end"/>
      </w:r>
      <w:r w:rsidRPr="00BF032C">
        <w:rPr>
          <w:rFonts w:cs="Times New Roman"/>
          <w:lang w:val="en-US"/>
        </w:rPr>
        <w:t>.</w:t>
      </w:r>
      <w:proofErr w:type="gramEnd"/>
      <w:r w:rsidRPr="00BF032C">
        <w:rPr>
          <w:rFonts w:cs="Times New Roman"/>
          <w:lang w:val="en-US"/>
        </w:rPr>
        <w:t xml:space="preserve">  </w:t>
      </w:r>
      <w:proofErr w:type="gramStart"/>
      <w:r w:rsidRPr="00BF032C">
        <w:rPr>
          <w:rFonts w:cs="Times New Roman"/>
          <w:lang w:val="en-US"/>
        </w:rPr>
        <w:t>List of available measurements.</w:t>
      </w:r>
      <w:proofErr w:type="gramEnd"/>
    </w:p>
    <w:tbl>
      <w:tblPr>
        <w:tblStyle w:val="Tabela-Siatka"/>
        <w:tblW w:w="0" w:type="auto"/>
        <w:tblInd w:w="108" w:type="dxa"/>
        <w:tblLook w:val="04A0" w:firstRow="1" w:lastRow="0" w:firstColumn="1" w:lastColumn="0" w:noHBand="0" w:noVBand="1"/>
      </w:tblPr>
      <w:tblGrid>
        <w:gridCol w:w="542"/>
        <w:gridCol w:w="876"/>
        <w:gridCol w:w="3339"/>
      </w:tblGrid>
      <w:tr w:rsidR="00F65723" w:rsidRPr="00BF032C" w14:paraId="19B715DF" w14:textId="77777777" w:rsidTr="00BF032C">
        <w:tc>
          <w:tcPr>
            <w:tcW w:w="542" w:type="dxa"/>
            <w:tcBorders>
              <w:top w:val="single" w:sz="4" w:space="0" w:color="auto"/>
              <w:left w:val="single" w:sz="4" w:space="0" w:color="auto"/>
            </w:tcBorders>
            <w:vAlign w:val="center"/>
          </w:tcPr>
          <w:p w14:paraId="5B1397E0" w14:textId="23043CFB" w:rsidR="00F65723" w:rsidRPr="00BF032C" w:rsidRDefault="001F58C2" w:rsidP="00BF032C">
            <w:pPr>
              <w:pStyle w:val="Bodytextfirst"/>
              <w:jc w:val="center"/>
            </w:pPr>
            <w:r w:rsidRPr="00BF032C">
              <w:t>i</w:t>
            </w:r>
            <w:r w:rsidR="00F65723" w:rsidRPr="00BF032C">
              <w:t>tem</w:t>
            </w:r>
          </w:p>
        </w:tc>
        <w:tc>
          <w:tcPr>
            <w:tcW w:w="876" w:type="dxa"/>
            <w:tcBorders>
              <w:top w:val="single" w:sz="4" w:space="0" w:color="auto"/>
            </w:tcBorders>
            <w:vAlign w:val="center"/>
          </w:tcPr>
          <w:p w14:paraId="19B642EB" w14:textId="5A8CDE4C" w:rsidR="00F65723" w:rsidRPr="00BF032C" w:rsidRDefault="001F58C2" w:rsidP="00BF032C">
            <w:pPr>
              <w:pStyle w:val="Bodytextfirst"/>
              <w:jc w:val="center"/>
            </w:pPr>
            <w:r w:rsidRPr="00BF032C">
              <w:t>s</w:t>
            </w:r>
            <w:r w:rsidR="00F65723" w:rsidRPr="00BF032C">
              <w:t>ymbol</w:t>
            </w:r>
          </w:p>
        </w:tc>
        <w:tc>
          <w:tcPr>
            <w:tcW w:w="3339" w:type="dxa"/>
            <w:tcBorders>
              <w:top w:val="single" w:sz="4" w:space="0" w:color="auto"/>
            </w:tcBorders>
            <w:vAlign w:val="center"/>
          </w:tcPr>
          <w:p w14:paraId="00320359" w14:textId="5AC31CE3" w:rsidR="00F65723" w:rsidRPr="00BF032C" w:rsidRDefault="00C6135A" w:rsidP="00B7490D">
            <w:pPr>
              <w:pStyle w:val="Bodytextfirst"/>
            </w:pPr>
            <w:r w:rsidRPr="00BF032C">
              <w:t>measured quantity</w:t>
            </w:r>
          </w:p>
        </w:tc>
      </w:tr>
      <w:tr w:rsidR="00F65723" w:rsidRPr="00BF032C" w14:paraId="07ED1554" w14:textId="77777777" w:rsidTr="00BF032C">
        <w:tc>
          <w:tcPr>
            <w:tcW w:w="542" w:type="dxa"/>
            <w:vAlign w:val="center"/>
          </w:tcPr>
          <w:p w14:paraId="1FCEC9C2" w14:textId="0FC47A2E" w:rsidR="00F65723" w:rsidRPr="00BF032C" w:rsidRDefault="001F58C2" w:rsidP="00BF032C">
            <w:pPr>
              <w:pStyle w:val="Bodytextfirst"/>
              <w:jc w:val="center"/>
            </w:pPr>
            <w:r w:rsidRPr="00BF032C">
              <w:t>1</w:t>
            </w:r>
          </w:p>
        </w:tc>
        <w:tc>
          <w:tcPr>
            <w:tcW w:w="876" w:type="dxa"/>
            <w:vAlign w:val="center"/>
          </w:tcPr>
          <w:p w14:paraId="5B1ECCBB" w14:textId="28102145" w:rsidR="00F65723" w:rsidRPr="00BF032C" w:rsidRDefault="003E3364" w:rsidP="00BF032C">
            <w:pPr>
              <w:pStyle w:val="Bodytextfirst"/>
              <w:jc w:val="center"/>
              <w:rPr>
                <w:lang w:val="en-GB"/>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0</m:t>
                    </m:r>
                  </m:sub>
                </m:sSub>
              </m:oMath>
            </m:oMathPara>
          </w:p>
        </w:tc>
        <w:tc>
          <w:tcPr>
            <w:tcW w:w="3339" w:type="dxa"/>
            <w:vAlign w:val="center"/>
          </w:tcPr>
          <w:p w14:paraId="47A10942" w14:textId="4E25A42B" w:rsidR="00F65723" w:rsidRPr="00BF032C" w:rsidRDefault="001F58C2" w:rsidP="00B7490D">
            <w:pPr>
              <w:pStyle w:val="Bodytextfirst"/>
            </w:pPr>
            <w:r w:rsidRPr="00BF032C">
              <w:t>liquid inflow rate</w:t>
            </w:r>
          </w:p>
        </w:tc>
      </w:tr>
      <w:tr w:rsidR="00C6135A" w:rsidRPr="003E3364" w14:paraId="23C69DFC" w14:textId="77777777" w:rsidTr="00BF032C">
        <w:tc>
          <w:tcPr>
            <w:tcW w:w="542" w:type="dxa"/>
            <w:vAlign w:val="center"/>
          </w:tcPr>
          <w:p w14:paraId="719EFCA8" w14:textId="77777777" w:rsidR="00C6135A" w:rsidRPr="00BF032C" w:rsidRDefault="00C6135A" w:rsidP="00BF032C">
            <w:pPr>
              <w:pStyle w:val="Bodytextfirst"/>
              <w:jc w:val="center"/>
            </w:pPr>
            <w:r w:rsidRPr="00BF032C">
              <w:t>2</w:t>
            </w:r>
          </w:p>
        </w:tc>
        <w:tc>
          <w:tcPr>
            <w:tcW w:w="876" w:type="dxa"/>
            <w:vAlign w:val="center"/>
          </w:tcPr>
          <w:p w14:paraId="7B4FBF73" w14:textId="77777777" w:rsidR="00C6135A" w:rsidRPr="0002113A" w:rsidRDefault="00C6135A" w:rsidP="00BF032C">
            <w:pPr>
              <w:pStyle w:val="Bodytextfirst"/>
              <w:jc w:val="center"/>
              <w:rPr>
                <w:i/>
              </w:rPr>
            </w:pPr>
            <w:r w:rsidRPr="0002113A">
              <w:rPr>
                <w:i/>
              </w:rPr>
              <w:t>L</w:t>
            </w:r>
          </w:p>
        </w:tc>
        <w:tc>
          <w:tcPr>
            <w:tcW w:w="3339" w:type="dxa"/>
            <w:vAlign w:val="center"/>
          </w:tcPr>
          <w:p w14:paraId="3D7099BC" w14:textId="1F0E10A4" w:rsidR="00C6135A" w:rsidRPr="00BF032C" w:rsidRDefault="00C6135A" w:rsidP="00B7490D">
            <w:pPr>
              <w:pStyle w:val="Bodytextfirst"/>
            </w:pPr>
            <w:r w:rsidRPr="00BF032C">
              <w:t xml:space="preserve">liquid level relative to </w:t>
            </w:r>
            <w:r w:rsidR="00ED72FE">
              <w:t xml:space="preserve">the </w:t>
            </w:r>
            <w:r w:rsidRPr="00BF032C">
              <w:t>ground</w:t>
            </w:r>
          </w:p>
        </w:tc>
      </w:tr>
      <w:tr w:rsidR="00C6135A" w:rsidRPr="00AD14DE" w14:paraId="34C57E78" w14:textId="77777777" w:rsidTr="00BF032C">
        <w:tc>
          <w:tcPr>
            <w:tcW w:w="542" w:type="dxa"/>
            <w:vAlign w:val="center"/>
          </w:tcPr>
          <w:p w14:paraId="2D57DDA8" w14:textId="4A882488" w:rsidR="00C6135A" w:rsidRPr="00BF032C" w:rsidRDefault="00C6135A" w:rsidP="00BF032C">
            <w:pPr>
              <w:pStyle w:val="Bodytextfirst"/>
              <w:jc w:val="center"/>
            </w:pPr>
            <w:r w:rsidRPr="00BF032C">
              <w:t>3</w:t>
            </w:r>
          </w:p>
        </w:tc>
        <w:tc>
          <w:tcPr>
            <w:tcW w:w="876" w:type="dxa"/>
            <w:vAlign w:val="center"/>
          </w:tcPr>
          <w:p w14:paraId="1EDF3AF8" w14:textId="21BC5B90" w:rsidR="00C6135A" w:rsidRPr="00BF032C" w:rsidRDefault="003E3364" w:rsidP="00BF032C">
            <w:pPr>
              <w:pStyle w:val="Bodytextfirst"/>
              <w:jc w:val="center"/>
              <w:rPr>
                <w:i/>
                <w:lang w:val="en-GB"/>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3339" w:type="dxa"/>
            <w:vAlign w:val="center"/>
          </w:tcPr>
          <w:p w14:paraId="74E5F3C3" w14:textId="73DB4078" w:rsidR="00C6135A" w:rsidRPr="00BF032C" w:rsidRDefault="00C6135A" w:rsidP="00B7490D">
            <w:pPr>
              <w:pStyle w:val="Bodytextfirst"/>
            </w:pPr>
            <w:r w:rsidRPr="00BF032C">
              <w:t>liquid outflow rate</w:t>
            </w:r>
            <w:r w:rsidR="00AD14DE">
              <w:t xml:space="preserve"> (option)</w:t>
            </w:r>
          </w:p>
        </w:tc>
      </w:tr>
    </w:tbl>
    <w:p w14:paraId="6BF7E5D4" w14:textId="4ECA3EFC" w:rsidR="00BF032C" w:rsidRPr="00731E04" w:rsidRDefault="00BF032C" w:rsidP="00BF032C">
      <w:pPr>
        <w:pStyle w:val="Sectionheading"/>
        <w:rPr>
          <w:rFonts w:cs="Times New Roman"/>
          <w:szCs w:val="20"/>
        </w:rPr>
      </w:pPr>
      <w:r>
        <w:rPr>
          <w:rFonts w:cs="Times New Roman"/>
          <w:szCs w:val="20"/>
        </w:rPr>
        <w:t>Fault Detection</w:t>
      </w:r>
    </w:p>
    <w:p w14:paraId="5F8A91D5" w14:textId="5BEE5820" w:rsidR="00036701" w:rsidRDefault="00036701" w:rsidP="00036701">
      <w:pPr>
        <w:pStyle w:val="Bodytextfirst"/>
        <w:rPr>
          <w:sz w:val="20"/>
          <w:szCs w:val="20"/>
        </w:rPr>
      </w:pPr>
      <w:r w:rsidRPr="00036701">
        <w:rPr>
          <w:sz w:val="20"/>
          <w:szCs w:val="20"/>
        </w:rPr>
        <w:t>Generally, fault detection should indicate whether the fault or faults occurred or not. The residuals are assumed as fault indicators</w:t>
      </w:r>
      <w:r w:rsidR="00ED72FE">
        <w:rPr>
          <w:sz w:val="20"/>
          <w:szCs w:val="20"/>
        </w:rPr>
        <w:t>.</w:t>
      </w:r>
      <w:r w:rsidRPr="00036701">
        <w:rPr>
          <w:sz w:val="20"/>
          <w:szCs w:val="20"/>
        </w:rPr>
        <w:t xml:space="preserve"> </w:t>
      </w:r>
      <w:r w:rsidR="00ED72FE">
        <w:rPr>
          <w:sz w:val="20"/>
          <w:szCs w:val="20"/>
        </w:rPr>
        <w:t>In</w:t>
      </w:r>
      <w:r w:rsidRPr="00036701">
        <w:rPr>
          <w:sz w:val="20"/>
          <w:szCs w:val="20"/>
        </w:rPr>
        <w:t xml:space="preserve"> case of faults, a discrepancy between the nominal model and real output of the process takes place. However, this is true under two </w:t>
      </w:r>
      <w:r w:rsidR="00ED72FE">
        <w:rPr>
          <w:sz w:val="20"/>
          <w:szCs w:val="20"/>
        </w:rPr>
        <w:t>essential</w:t>
      </w:r>
      <w:r w:rsidRPr="00036701">
        <w:rPr>
          <w:sz w:val="20"/>
          <w:szCs w:val="20"/>
        </w:rPr>
        <w:t xml:space="preserve"> conditions:</w:t>
      </w:r>
    </w:p>
    <w:p w14:paraId="0D7D4133" w14:textId="6209761D" w:rsidR="006C1242" w:rsidRPr="00731E04" w:rsidRDefault="006C1242" w:rsidP="00036701">
      <w:pPr>
        <w:pStyle w:val="Bodytextfirst"/>
        <w:numPr>
          <w:ilvl w:val="0"/>
          <w:numId w:val="27"/>
        </w:numPr>
        <w:rPr>
          <w:sz w:val="20"/>
          <w:szCs w:val="20"/>
        </w:rPr>
      </w:pPr>
      <w:r w:rsidRPr="00731E04">
        <w:rPr>
          <w:sz w:val="20"/>
          <w:szCs w:val="20"/>
        </w:rPr>
        <w:t>residuals are sensitive to the faults;</w:t>
      </w:r>
    </w:p>
    <w:p w14:paraId="7AFAACC7" w14:textId="21F7926C" w:rsidR="00026FE9" w:rsidRPr="00731E04" w:rsidRDefault="00ED72FE" w:rsidP="00B7490D">
      <w:pPr>
        <w:pStyle w:val="Bodytextfirst"/>
        <w:numPr>
          <w:ilvl w:val="0"/>
          <w:numId w:val="27"/>
        </w:numPr>
        <w:rPr>
          <w:sz w:val="20"/>
          <w:szCs w:val="20"/>
        </w:rPr>
      </w:pPr>
      <w:proofErr w:type="gramStart"/>
      <w:r>
        <w:rPr>
          <w:sz w:val="20"/>
          <w:szCs w:val="20"/>
        </w:rPr>
        <w:t>the</w:t>
      </w:r>
      <w:proofErr w:type="gramEnd"/>
      <w:r>
        <w:rPr>
          <w:sz w:val="20"/>
          <w:szCs w:val="20"/>
        </w:rPr>
        <w:t xml:space="preserve"> </w:t>
      </w:r>
      <w:r w:rsidR="00026FE9" w:rsidRPr="00731E04">
        <w:rPr>
          <w:sz w:val="20"/>
          <w:szCs w:val="20"/>
        </w:rPr>
        <w:t>residual compensation effect does not take place.</w:t>
      </w:r>
    </w:p>
    <w:p w14:paraId="7ABAA13F" w14:textId="72411C7B" w:rsidR="00CE2F03" w:rsidRPr="00731E04" w:rsidRDefault="00026FE9" w:rsidP="00B7490D">
      <w:pPr>
        <w:pStyle w:val="Bodytextfirst"/>
        <w:rPr>
          <w:sz w:val="20"/>
          <w:szCs w:val="20"/>
        </w:rPr>
      </w:pPr>
      <w:bookmarkStart w:id="0" w:name="_GoBack"/>
      <w:r w:rsidRPr="00731E04">
        <w:rPr>
          <w:sz w:val="20"/>
          <w:szCs w:val="20"/>
        </w:rPr>
        <w:t xml:space="preserve">This paper </w:t>
      </w:r>
      <w:r w:rsidR="00ED72FE">
        <w:rPr>
          <w:sz w:val="20"/>
          <w:szCs w:val="20"/>
        </w:rPr>
        <w:t>main</w:t>
      </w:r>
      <w:r w:rsidRPr="00731E04">
        <w:rPr>
          <w:sz w:val="20"/>
          <w:szCs w:val="20"/>
        </w:rPr>
        <w:t xml:space="preserve">ly </w:t>
      </w:r>
      <w:r w:rsidR="00E510D3">
        <w:rPr>
          <w:sz w:val="20"/>
          <w:szCs w:val="20"/>
        </w:rPr>
        <w:t>focuses on clarification</w:t>
      </w:r>
      <w:r w:rsidRPr="00731E04">
        <w:rPr>
          <w:sz w:val="20"/>
          <w:szCs w:val="20"/>
        </w:rPr>
        <w:t xml:space="preserve"> and </w:t>
      </w:r>
      <w:r w:rsidR="00AD14DE">
        <w:rPr>
          <w:sz w:val="20"/>
          <w:szCs w:val="20"/>
        </w:rPr>
        <w:t>discussion of this</w:t>
      </w:r>
      <w:r w:rsidR="00036701" w:rsidRPr="00036701">
        <w:rPr>
          <w:sz w:val="20"/>
          <w:szCs w:val="20"/>
        </w:rPr>
        <w:t xml:space="preserve"> second issue. </w:t>
      </w:r>
      <w:r w:rsidR="00ED72FE">
        <w:rPr>
          <w:sz w:val="20"/>
          <w:szCs w:val="20"/>
        </w:rPr>
        <w:t>T</w:t>
      </w:r>
      <w:r w:rsidR="00036701" w:rsidRPr="00036701">
        <w:rPr>
          <w:sz w:val="20"/>
          <w:szCs w:val="20"/>
        </w:rPr>
        <w:t xml:space="preserve">o obtain residuals, we assume three </w:t>
      </w:r>
      <w:r w:rsidR="00036701" w:rsidRPr="00036701">
        <w:rPr>
          <w:sz w:val="20"/>
          <w:szCs w:val="20"/>
        </w:rPr>
        <w:lastRenderedPageBreak/>
        <w:t>faults listed in Tab. 2</w:t>
      </w:r>
      <w:r w:rsidR="00ED72FE">
        <w:rPr>
          <w:sz w:val="20"/>
          <w:szCs w:val="20"/>
        </w:rPr>
        <w:t>,</w:t>
      </w:r>
      <w:r w:rsidR="00036701" w:rsidRPr="00036701">
        <w:rPr>
          <w:sz w:val="20"/>
          <w:szCs w:val="20"/>
        </w:rPr>
        <w:t xml:space="preserve"> and next</w:t>
      </w:r>
      <w:r w:rsidR="00ED72FE">
        <w:rPr>
          <w:sz w:val="20"/>
          <w:szCs w:val="20"/>
        </w:rPr>
        <w:t>,</w:t>
      </w:r>
      <w:r w:rsidR="00036701" w:rsidRPr="00036701">
        <w:rPr>
          <w:sz w:val="20"/>
          <w:szCs w:val="20"/>
        </w:rPr>
        <w:t xml:space="preserve"> we develop the model of the diagnosed system (2) in the so-called inner form [3]</w:t>
      </w:r>
      <w:r w:rsidR="00ED72FE">
        <w:rPr>
          <w:sz w:val="20"/>
          <w:szCs w:val="20"/>
        </w:rPr>
        <w:t>,</w:t>
      </w:r>
      <w:r w:rsidR="00036701" w:rsidRPr="00036701">
        <w:rPr>
          <w:sz w:val="20"/>
          <w:szCs w:val="20"/>
        </w:rPr>
        <w:t xml:space="preserve"> i.e.</w:t>
      </w:r>
      <w:r w:rsidR="00ED72FE">
        <w:rPr>
          <w:sz w:val="20"/>
          <w:szCs w:val="20"/>
        </w:rPr>
        <w:t>,</w:t>
      </w:r>
      <w:r w:rsidR="00036701" w:rsidRPr="00036701">
        <w:rPr>
          <w:sz w:val="20"/>
          <w:szCs w:val="20"/>
        </w:rPr>
        <w:t xml:space="preserve"> in the </w:t>
      </w:r>
      <w:r w:rsidR="00ED72FE">
        <w:rPr>
          <w:sz w:val="20"/>
          <w:szCs w:val="20"/>
        </w:rPr>
        <w:t>way</w:t>
      </w:r>
      <w:r w:rsidR="00036701" w:rsidRPr="00036701">
        <w:rPr>
          <w:sz w:val="20"/>
          <w:szCs w:val="20"/>
        </w:rPr>
        <w:t xml:space="preserve"> which reflects the impacts of faults.</w:t>
      </w:r>
    </w:p>
    <w:bookmarkEnd w:id="0"/>
    <w:p w14:paraId="17974685" w14:textId="0F6CEA5A" w:rsidR="00CE2F03" w:rsidRPr="00E510D3" w:rsidRDefault="00CE2F03" w:rsidP="00CE2F03">
      <w:pPr>
        <w:pStyle w:val="Legenda"/>
        <w:keepNext/>
        <w:rPr>
          <w:rFonts w:cs="Times New Roman"/>
          <w:lang w:val="en-US"/>
        </w:rPr>
      </w:pPr>
      <w:r w:rsidRPr="00E510D3">
        <w:rPr>
          <w:rFonts w:cs="Times New Roman"/>
          <w:lang w:val="en-US"/>
        </w:rPr>
        <w:t xml:space="preserve"> </w:t>
      </w:r>
      <w:proofErr w:type="gramStart"/>
      <w:r w:rsidRPr="00E510D3">
        <w:rPr>
          <w:rFonts w:cs="Times New Roman"/>
          <w:lang w:val="en-US"/>
        </w:rPr>
        <w:t>Table 2.</w:t>
      </w:r>
      <w:proofErr w:type="gramEnd"/>
      <w:r w:rsidRPr="00E510D3">
        <w:rPr>
          <w:rFonts w:cs="Times New Roman"/>
          <w:lang w:val="en-US"/>
        </w:rPr>
        <w:t xml:space="preserve">  </w:t>
      </w:r>
      <w:proofErr w:type="gramStart"/>
      <w:r w:rsidRPr="00E510D3">
        <w:rPr>
          <w:rFonts w:cs="Times New Roman"/>
          <w:lang w:val="en-US"/>
        </w:rPr>
        <w:t>List of faults.</w:t>
      </w:r>
      <w:proofErr w:type="gramEnd"/>
    </w:p>
    <w:tbl>
      <w:tblPr>
        <w:tblStyle w:val="Tabela-Siatka"/>
        <w:tblW w:w="0" w:type="auto"/>
        <w:jc w:val="center"/>
        <w:tblInd w:w="108" w:type="dxa"/>
        <w:tblLook w:val="04A0" w:firstRow="1" w:lastRow="0" w:firstColumn="1" w:lastColumn="0" w:noHBand="0" w:noVBand="1"/>
      </w:tblPr>
      <w:tblGrid>
        <w:gridCol w:w="542"/>
        <w:gridCol w:w="876"/>
        <w:gridCol w:w="3339"/>
      </w:tblGrid>
      <w:tr w:rsidR="00CE2F03" w:rsidRPr="00731E04" w14:paraId="0A2990CD" w14:textId="77777777" w:rsidTr="006030C6">
        <w:trPr>
          <w:jc w:val="center"/>
        </w:trPr>
        <w:tc>
          <w:tcPr>
            <w:tcW w:w="542" w:type="dxa"/>
            <w:tcBorders>
              <w:top w:val="single" w:sz="4" w:space="0" w:color="auto"/>
              <w:left w:val="single" w:sz="4" w:space="0" w:color="auto"/>
            </w:tcBorders>
            <w:vAlign w:val="center"/>
          </w:tcPr>
          <w:p w14:paraId="217920E1" w14:textId="77777777" w:rsidR="00CE2F03" w:rsidRPr="00E510D3" w:rsidRDefault="00CE2F03" w:rsidP="00E510D3">
            <w:pPr>
              <w:pStyle w:val="Bodytextfirst"/>
              <w:jc w:val="center"/>
            </w:pPr>
            <w:r w:rsidRPr="00E510D3">
              <w:t>item</w:t>
            </w:r>
          </w:p>
        </w:tc>
        <w:tc>
          <w:tcPr>
            <w:tcW w:w="876" w:type="dxa"/>
            <w:tcBorders>
              <w:top w:val="single" w:sz="4" w:space="0" w:color="auto"/>
            </w:tcBorders>
            <w:vAlign w:val="center"/>
          </w:tcPr>
          <w:p w14:paraId="3EEF12EF" w14:textId="77777777" w:rsidR="00CE2F03" w:rsidRPr="00E510D3" w:rsidRDefault="00CE2F03" w:rsidP="00B7490D">
            <w:pPr>
              <w:pStyle w:val="Bodytextfirst"/>
            </w:pPr>
            <w:r w:rsidRPr="00E510D3">
              <w:t>symbol</w:t>
            </w:r>
          </w:p>
        </w:tc>
        <w:tc>
          <w:tcPr>
            <w:tcW w:w="3339" w:type="dxa"/>
            <w:tcBorders>
              <w:top w:val="single" w:sz="4" w:space="0" w:color="auto"/>
            </w:tcBorders>
            <w:vAlign w:val="center"/>
          </w:tcPr>
          <w:p w14:paraId="74B62154" w14:textId="5F06EDE5" w:rsidR="00CE2F03" w:rsidRPr="00E510D3" w:rsidRDefault="00CE2F03" w:rsidP="00B7490D">
            <w:pPr>
              <w:pStyle w:val="Bodytextfirst"/>
            </w:pPr>
            <w:r w:rsidRPr="00E510D3">
              <w:t>fault</w:t>
            </w:r>
          </w:p>
        </w:tc>
      </w:tr>
      <w:tr w:rsidR="00CE2F03" w:rsidRPr="00731E04" w14:paraId="37342087" w14:textId="77777777" w:rsidTr="006030C6">
        <w:trPr>
          <w:jc w:val="center"/>
        </w:trPr>
        <w:tc>
          <w:tcPr>
            <w:tcW w:w="542" w:type="dxa"/>
            <w:vAlign w:val="center"/>
          </w:tcPr>
          <w:p w14:paraId="77A4B08E" w14:textId="77777777" w:rsidR="00CE2F03" w:rsidRPr="00E510D3" w:rsidRDefault="00CE2F03" w:rsidP="00E510D3">
            <w:pPr>
              <w:pStyle w:val="Bodytextfirst"/>
              <w:jc w:val="center"/>
            </w:pPr>
            <w:r w:rsidRPr="00E510D3">
              <w:t>1</w:t>
            </w:r>
          </w:p>
        </w:tc>
        <w:tc>
          <w:tcPr>
            <w:tcW w:w="876" w:type="dxa"/>
            <w:vAlign w:val="center"/>
          </w:tcPr>
          <w:p w14:paraId="04163E9C" w14:textId="406726B8" w:rsidR="00CE2F03" w:rsidRPr="00E510D3" w:rsidRDefault="003E3364" w:rsidP="00B7490D">
            <w:pPr>
              <w:pStyle w:val="Bodytextfirst"/>
              <w:rPr>
                <w:lang w:val="en-GB"/>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3339" w:type="dxa"/>
            <w:vAlign w:val="center"/>
          </w:tcPr>
          <w:p w14:paraId="646CA649" w14:textId="3B08A2C6" w:rsidR="00CE2F03" w:rsidRPr="00E510D3" w:rsidRDefault="00CE2F03" w:rsidP="00B7490D">
            <w:pPr>
              <w:pStyle w:val="Bodytextfirst"/>
            </w:pPr>
            <w:r w:rsidRPr="00E510D3">
              <w:t>leakage from the tank</w:t>
            </w:r>
          </w:p>
        </w:tc>
      </w:tr>
      <w:tr w:rsidR="00CE2F03" w:rsidRPr="003E3364" w14:paraId="53A4E907" w14:textId="77777777" w:rsidTr="006030C6">
        <w:trPr>
          <w:jc w:val="center"/>
        </w:trPr>
        <w:tc>
          <w:tcPr>
            <w:tcW w:w="542" w:type="dxa"/>
            <w:vAlign w:val="center"/>
          </w:tcPr>
          <w:p w14:paraId="65D0A4FF" w14:textId="77777777" w:rsidR="00CE2F03" w:rsidRPr="00E510D3" w:rsidRDefault="00CE2F03" w:rsidP="00E510D3">
            <w:pPr>
              <w:pStyle w:val="Bodytextfirst"/>
              <w:jc w:val="center"/>
            </w:pPr>
            <w:r w:rsidRPr="00E510D3">
              <w:t>2</w:t>
            </w:r>
          </w:p>
        </w:tc>
        <w:tc>
          <w:tcPr>
            <w:tcW w:w="876" w:type="dxa"/>
            <w:vAlign w:val="center"/>
          </w:tcPr>
          <w:p w14:paraId="1056AF32" w14:textId="42AAB0C6" w:rsidR="00CE2F03" w:rsidRPr="00E510D3" w:rsidRDefault="003E3364" w:rsidP="00B7490D">
            <w:pPr>
              <w:pStyle w:val="Bodytextfirst"/>
              <w:rPr>
                <w:i/>
                <w:lang w:val="en-GB"/>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3339" w:type="dxa"/>
            <w:vAlign w:val="center"/>
          </w:tcPr>
          <w:p w14:paraId="688BBB7F" w14:textId="52F0B1AC" w:rsidR="00CE2F03" w:rsidRPr="00E510D3" w:rsidRDefault="00CE2F03" w:rsidP="00B7490D">
            <w:pPr>
              <w:pStyle w:val="Bodytextfirst"/>
            </w:pPr>
            <w:r w:rsidRPr="00E510D3">
              <w:t xml:space="preserve">obliteration of the outflow pipe </w:t>
            </w:r>
          </w:p>
        </w:tc>
      </w:tr>
      <w:tr w:rsidR="00CE2F03" w:rsidRPr="00731E04" w14:paraId="15E58E40" w14:textId="77777777" w:rsidTr="006030C6">
        <w:trPr>
          <w:jc w:val="center"/>
        </w:trPr>
        <w:tc>
          <w:tcPr>
            <w:tcW w:w="542" w:type="dxa"/>
            <w:vAlign w:val="center"/>
          </w:tcPr>
          <w:p w14:paraId="788C8EFA" w14:textId="77777777" w:rsidR="00CE2F03" w:rsidRPr="00E510D3" w:rsidRDefault="00CE2F03" w:rsidP="00E510D3">
            <w:pPr>
              <w:pStyle w:val="Bodytextfirst"/>
              <w:jc w:val="center"/>
            </w:pPr>
            <w:r w:rsidRPr="00E510D3">
              <w:t>3</w:t>
            </w:r>
          </w:p>
        </w:tc>
        <w:tc>
          <w:tcPr>
            <w:tcW w:w="876" w:type="dxa"/>
            <w:vAlign w:val="center"/>
          </w:tcPr>
          <w:p w14:paraId="4355FA11" w14:textId="2E37A930" w:rsidR="00CE2F03" w:rsidRPr="00E510D3" w:rsidRDefault="003E3364" w:rsidP="00B7490D">
            <w:pPr>
              <w:pStyle w:val="Bodytextfirst"/>
              <w:rPr>
                <w:lang w:val="en-GB"/>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3339" w:type="dxa"/>
            <w:vAlign w:val="center"/>
          </w:tcPr>
          <w:p w14:paraId="54673192" w14:textId="31459225" w:rsidR="00CE2F03" w:rsidRPr="00E510D3" w:rsidRDefault="006C1242" w:rsidP="00B7490D">
            <w:pPr>
              <w:pStyle w:val="Bodytextfirst"/>
            </w:pPr>
            <w:r w:rsidRPr="00E510D3">
              <w:t>leakage and obliteration</w:t>
            </w:r>
          </w:p>
        </w:tc>
      </w:tr>
    </w:tbl>
    <w:p w14:paraId="32B9A942" w14:textId="63AFE1BB" w:rsidR="00E510D3" w:rsidRPr="00D5306D" w:rsidRDefault="00E510D3" w:rsidP="00E510D3">
      <w:pPr>
        <w:pStyle w:val="equation0"/>
        <w:tabs>
          <w:tab w:val="clear" w:pos="2520"/>
          <w:tab w:val="clear" w:pos="5040"/>
          <w:tab w:val="center" w:pos="1560"/>
          <w:tab w:val="right" w:pos="4678"/>
        </w:tabs>
        <w:ind w:right="113"/>
        <w:rPr>
          <w:lang w:val="it-IT"/>
        </w:rPr>
      </w:pPr>
      <w:r w:rsidRPr="00D5306D">
        <w:rPr>
          <w:color w:val="00B050"/>
          <w:lang w:val="it-IT"/>
        </w:rPr>
        <w:tab/>
      </w:r>
      <m:oMath>
        <m:sSubSup>
          <m:sSubSupPr>
            <m:ctrlPr>
              <w:rPr>
                <w:rFonts w:ascii="Cambria Math" w:hAnsi="Cambria Math" w:cs="Times New Roman"/>
                <w:i/>
                <w:sz w:val="18"/>
                <w:szCs w:val="18"/>
              </w:rPr>
            </m:ctrlPr>
          </m:sSubSupPr>
          <m:e>
            <m:r>
              <w:rPr>
                <w:rFonts w:ascii="Cambria Math" w:hAnsi="Cambria Math" w:cs="Times New Roman"/>
                <w:sz w:val="18"/>
                <w:szCs w:val="18"/>
              </w:rPr>
              <m:t>F</m:t>
            </m:r>
          </m:e>
          <m:sub>
            <m:r>
              <w:rPr>
                <w:rFonts w:ascii="Cambria Math" w:hAnsi="Cambria Math" w:cs="Times New Roman"/>
                <w:sz w:val="18"/>
                <w:szCs w:val="18"/>
                <w:lang w:val="it-IT"/>
              </w:rPr>
              <m:t>0</m:t>
            </m:r>
          </m:sub>
          <m:sup>
            <m:r>
              <w:rPr>
                <w:rFonts w:ascii="Cambria Math" w:hAnsi="Cambria Math" w:cs="Times New Roman"/>
                <w:sz w:val="18"/>
                <w:szCs w:val="18"/>
              </w:rPr>
              <m:t>f</m:t>
            </m:r>
          </m:sup>
        </m:sSubSup>
        <m:r>
          <w:rPr>
            <w:rFonts w:ascii="Cambria Math" w:hAnsi="Cambria Math" w:cs="Times New Roman"/>
            <w:sz w:val="18"/>
            <w:szCs w:val="18"/>
            <w:lang w:val="it-IT"/>
          </w:rPr>
          <m:t>=</m:t>
        </m:r>
        <m:r>
          <w:rPr>
            <w:rFonts w:ascii="Cambria Math" w:hAnsi="Cambria Math" w:cs="Times New Roman"/>
            <w:sz w:val="18"/>
            <w:szCs w:val="18"/>
          </w:rPr>
          <m:t>A</m:t>
        </m:r>
        <m:f>
          <m:fPr>
            <m:ctrlPr>
              <w:rPr>
                <w:rFonts w:ascii="Cambria Math" w:hAnsi="Cambria Math" w:cs="Times New Roman"/>
                <w:i/>
                <w:sz w:val="18"/>
                <w:szCs w:val="18"/>
              </w:rPr>
            </m:ctrlPr>
          </m:fPr>
          <m:num>
            <m:r>
              <w:rPr>
                <w:rFonts w:ascii="Cambria Math" w:hAnsi="Cambria Math" w:cs="Times New Roman"/>
                <w:sz w:val="18"/>
                <w:szCs w:val="18"/>
              </w:rPr>
              <m:t>dL</m:t>
            </m:r>
          </m:num>
          <m:den>
            <m:r>
              <w:rPr>
                <w:rFonts w:ascii="Cambria Math" w:hAnsi="Cambria Math" w:cs="Times New Roman"/>
                <w:sz w:val="18"/>
                <w:szCs w:val="18"/>
              </w:rPr>
              <m:t>dt</m:t>
            </m:r>
          </m:den>
        </m:f>
        <m:r>
          <w:rPr>
            <w:rFonts w:ascii="Cambria Math" w:hAnsi="Cambria Math" w:cs="Times New Roman"/>
            <w:sz w:val="18"/>
            <w:szCs w:val="18"/>
            <w:lang w:val="it-IT"/>
          </w:rPr>
          <m:t>+</m:t>
        </m:r>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lang w:val="it-IT"/>
              </w:rPr>
              <m:t>2</m:t>
            </m:r>
            <m:r>
              <w:rPr>
                <w:rFonts w:ascii="Cambria Math" w:hAnsi="Cambria Math" w:cs="Times New Roman"/>
                <w:sz w:val="18"/>
                <w:szCs w:val="18"/>
              </w:rPr>
              <m:t>gL</m:t>
            </m:r>
          </m:e>
        </m:rad>
        <m:r>
          <w:rPr>
            <w:rFonts w:ascii="Cambria Math" w:hAnsi="Cambria Math" w:cs="Times New Roman"/>
            <w:sz w:val="18"/>
            <w:szCs w:val="18"/>
            <w:lang w:val="it-IT"/>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lang w:val="it-IT"/>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lang w:val="it-IT"/>
              </w:rPr>
              <m:t>2</m:t>
            </m:r>
            <m:r>
              <w:rPr>
                <w:rFonts w:ascii="Cambria Math" w:hAnsi="Cambria Math" w:cs="Times New Roman"/>
                <w:sz w:val="18"/>
                <w:szCs w:val="18"/>
              </w:rPr>
              <m:t>g</m:t>
            </m:r>
            <m:d>
              <m:dPr>
                <m:ctrlPr>
                  <w:rPr>
                    <w:rFonts w:ascii="Cambria Math" w:hAnsi="Cambria Math" w:cs="Times New Roman"/>
                    <w:i/>
                    <w:sz w:val="18"/>
                    <w:szCs w:val="18"/>
                  </w:rPr>
                </m:ctrlPr>
              </m:dPr>
              <m:e>
                <m:r>
                  <w:rPr>
                    <w:rFonts w:ascii="Cambria Math" w:hAnsi="Cambria Math" w:cs="Times New Roman"/>
                    <w:sz w:val="18"/>
                    <w:szCs w:val="18"/>
                  </w:rPr>
                  <m:t>L</m:t>
                </m:r>
                <m:r>
                  <w:rPr>
                    <w:rFonts w:ascii="Cambria Math" w:hAnsi="Cambria Math" w:cs="Times New Roman"/>
                    <w:sz w:val="18"/>
                    <w:szCs w:val="18"/>
                    <w:lang w:val="it-IT"/>
                  </w:rPr>
                  <m:t>-</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e>
        </m:rad>
        <m:r>
          <w:rPr>
            <w:rFonts w:ascii="Cambria Math" w:hAnsi="Cambria Math" w:cs="Times New Roman"/>
            <w:sz w:val="18"/>
            <w:szCs w:val="18"/>
            <w:lang w:val="it-IT"/>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lang w:val="it-IT"/>
              </w:rPr>
              <m:t>2</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lang w:val="it-IT"/>
              </w:rPr>
              <m:t>2</m:t>
            </m:r>
            <m:r>
              <w:rPr>
                <w:rFonts w:ascii="Cambria Math" w:hAnsi="Cambria Math" w:cs="Times New Roman"/>
                <w:sz w:val="18"/>
                <w:szCs w:val="18"/>
              </w:rPr>
              <m:t>gL</m:t>
            </m:r>
          </m:e>
        </m:rad>
        <m:r>
          <w:rPr>
            <w:rFonts w:ascii="Cambria Math" w:hAnsi="Cambria Math" w:cs="Times New Roman"/>
            <w:sz w:val="18"/>
            <w:szCs w:val="18"/>
            <w:lang w:val="it-IT"/>
          </w:rPr>
          <m:t xml:space="preserve"> </m:t>
        </m:r>
      </m:oMath>
      <w:r w:rsidRPr="00BD3665">
        <w:t></w:t>
      </w:r>
      <w:r w:rsidRPr="00D5306D">
        <w:rPr>
          <w:color w:val="00B050"/>
          <w:lang w:val="it-IT"/>
        </w:rPr>
        <w:tab/>
      </w:r>
      <w:r w:rsidRPr="00BD3665">
        <w:t></w:t>
      </w:r>
      <w:r>
        <w:t></w:t>
      </w:r>
      <w:r w:rsidRPr="00BD3665">
        <w:t></w:t>
      </w:r>
    </w:p>
    <w:p w14:paraId="540D7AB5" w14:textId="7084066E" w:rsidR="004258DD" w:rsidRPr="00731E04" w:rsidRDefault="006030C6" w:rsidP="00B7490D">
      <w:pPr>
        <w:pStyle w:val="Bodytextfirst"/>
        <w:rPr>
          <w:sz w:val="20"/>
          <w:szCs w:val="20"/>
        </w:rPr>
      </w:pPr>
      <w:proofErr w:type="gramStart"/>
      <w:r w:rsidRPr="00731E04">
        <w:rPr>
          <w:sz w:val="20"/>
          <w:szCs w:val="20"/>
        </w:rPr>
        <w:t>where</w:t>
      </w:r>
      <w:proofErr w:type="gramEnd"/>
      <w:r w:rsidRPr="00731E04">
        <w:rPr>
          <w:sz w:val="20"/>
          <w:szCs w:val="20"/>
        </w:rPr>
        <w:t xml:space="preserve">: </w:t>
      </w:r>
      <w:r w:rsidRPr="00731E04">
        <w:rPr>
          <w:i/>
          <w:sz w:val="20"/>
          <w:szCs w:val="20"/>
        </w:rPr>
        <w:t>α</w:t>
      </w:r>
      <w:r w:rsidRPr="00731E04">
        <w:rPr>
          <w:i/>
          <w:sz w:val="20"/>
          <w:szCs w:val="20"/>
          <w:vertAlign w:val="subscript"/>
        </w:rPr>
        <w:t>l</w:t>
      </w:r>
      <w:r w:rsidRPr="00731E04">
        <w:rPr>
          <w:sz w:val="20"/>
          <w:szCs w:val="20"/>
        </w:rPr>
        <w:t xml:space="preserve"> is the leakage ou</w:t>
      </w:r>
      <w:r w:rsidR="009279AD" w:rsidRPr="00731E04">
        <w:rPr>
          <w:sz w:val="20"/>
          <w:szCs w:val="20"/>
        </w:rPr>
        <w:t>t</w:t>
      </w:r>
      <w:r w:rsidRPr="00731E04">
        <w:rPr>
          <w:sz w:val="20"/>
          <w:szCs w:val="20"/>
        </w:rPr>
        <w:t xml:space="preserve">flow contraction coefficient, </w:t>
      </w:r>
      <w:proofErr w:type="spellStart"/>
      <w:r w:rsidRPr="00731E04">
        <w:rPr>
          <w:i/>
          <w:sz w:val="20"/>
          <w:szCs w:val="20"/>
        </w:rPr>
        <w:t>S</w:t>
      </w:r>
      <w:r w:rsidRPr="00731E04">
        <w:rPr>
          <w:i/>
          <w:sz w:val="20"/>
          <w:szCs w:val="20"/>
          <w:vertAlign w:val="subscript"/>
        </w:rPr>
        <w:t>l</w:t>
      </w:r>
      <w:proofErr w:type="spellEnd"/>
      <w:r w:rsidR="00036701">
        <w:rPr>
          <w:sz w:val="20"/>
          <w:szCs w:val="20"/>
        </w:rPr>
        <w:t xml:space="preserve"> is </w:t>
      </w:r>
      <w:r w:rsidR="00ED72FE">
        <w:rPr>
          <w:sz w:val="20"/>
          <w:szCs w:val="20"/>
        </w:rPr>
        <w:t xml:space="preserve">a </w:t>
      </w:r>
      <w:r w:rsidR="00036701">
        <w:rPr>
          <w:sz w:val="20"/>
          <w:szCs w:val="20"/>
        </w:rPr>
        <w:t>cross-</w:t>
      </w:r>
      <w:r w:rsidRPr="00731E04">
        <w:rPr>
          <w:sz w:val="20"/>
          <w:szCs w:val="20"/>
        </w:rPr>
        <w:t xml:space="preserve">sectional area of the leakage orifice,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l</m:t>
            </m:r>
          </m:sub>
        </m:sSub>
        <m:r>
          <w:rPr>
            <w:rFonts w:ascii="Cambria Math" w:hAnsi="Cambria Math"/>
            <w:sz w:val="20"/>
            <w:szCs w:val="20"/>
          </w:rPr>
          <m:t>/S</m:t>
        </m:r>
      </m:oMath>
      <w:r w:rsidR="009279AD" w:rsidRPr="00731E04">
        <w:rPr>
          <w:sz w:val="20"/>
          <w:szCs w:val="20"/>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o</m:t>
            </m:r>
          </m:sub>
        </m:sSub>
        <m:r>
          <w:rPr>
            <w:rFonts w:ascii="Cambria Math" w:hAnsi="Cambria Math"/>
            <w:sz w:val="20"/>
            <w:szCs w:val="20"/>
          </w:rPr>
          <m:t>/S.</m:t>
        </m:r>
      </m:oMath>
    </w:p>
    <w:p w14:paraId="24294527" w14:textId="0ED3EDAB" w:rsidR="004258DD" w:rsidRPr="00731E04" w:rsidRDefault="00B84E4E" w:rsidP="00B7490D">
      <w:pPr>
        <w:pStyle w:val="Bodytextfirst"/>
        <w:rPr>
          <w:sz w:val="20"/>
          <w:szCs w:val="20"/>
        </w:rPr>
      </w:pPr>
      <w:r>
        <w:rPr>
          <w:sz w:val="20"/>
          <w:szCs w:val="20"/>
        </w:rPr>
        <w:t>While</w:t>
      </w:r>
      <w:r w:rsidR="00F52F22" w:rsidRPr="00731E04">
        <w:rPr>
          <w:sz w:val="20"/>
          <w:szCs w:val="20"/>
        </w:rPr>
        <w:t xml:space="preserve"> residual</w:t>
      </w:r>
      <w:r w:rsidR="00AD14DE">
        <w:rPr>
          <w:sz w:val="20"/>
          <w:szCs w:val="20"/>
        </w:rPr>
        <w:t xml:space="preserve"> </w:t>
      </w:r>
      <w:proofErr w:type="gramStart"/>
      <w:r w:rsidR="00AD14DE">
        <w:rPr>
          <w:sz w:val="20"/>
          <w:szCs w:val="20"/>
        </w:rPr>
        <w:t>equals</w:t>
      </w:r>
      <w:r w:rsidR="00F52F22" w:rsidRPr="00731E04">
        <w:rPr>
          <w:sz w:val="20"/>
          <w:szCs w:val="20"/>
        </w:rPr>
        <w:t xml:space="preserve">  </w:t>
      </w:r>
      <w:proofErr w:type="gramEnd"/>
      <m:oMath>
        <m:sSub>
          <m:sSubPr>
            <m:ctrlPr>
              <w:rPr>
                <w:rFonts w:ascii="Cambria Math" w:hAnsi="Cambria Math"/>
                <w:i/>
                <w:sz w:val="20"/>
                <w:szCs w:val="20"/>
              </w:rPr>
            </m:ctrlPr>
          </m:sSubPr>
          <m:e>
            <m:r>
              <w:rPr>
                <w:rFonts w:ascii="Cambria Math" w:hAnsi="Cambria Math"/>
                <w:sz w:val="20"/>
                <w:szCs w:val="20"/>
              </w:rPr>
              <m:t>r=F</m:t>
            </m:r>
          </m:e>
          <m:sub>
            <m:r>
              <w:rPr>
                <w:rFonts w:ascii="Cambria Math" w:hAnsi="Cambria Math"/>
                <w:sz w:val="20"/>
                <w:szCs w:val="20"/>
              </w:rPr>
              <m:t>0</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0</m:t>
            </m:r>
          </m:sub>
          <m:sup>
            <m:r>
              <w:rPr>
                <w:rFonts w:ascii="Cambria Math" w:hAnsi="Cambria Math"/>
                <w:sz w:val="20"/>
                <w:szCs w:val="20"/>
              </w:rPr>
              <m:t>f</m:t>
            </m:r>
          </m:sup>
        </m:sSubSup>
      </m:oMath>
      <w:r w:rsidR="00F52F22" w:rsidRPr="00731E04">
        <w:rPr>
          <w:sz w:val="20"/>
          <w:szCs w:val="20"/>
        </w:rPr>
        <w:t>, then from Eqs. (1</w:t>
      </w:r>
      <w:r w:rsidR="00AD14DE">
        <w:rPr>
          <w:sz w:val="20"/>
          <w:szCs w:val="20"/>
        </w:rPr>
        <w:t xml:space="preserve">-2) </w:t>
      </w:r>
      <w:r w:rsidR="00D91C22" w:rsidRPr="00731E04">
        <w:rPr>
          <w:sz w:val="20"/>
          <w:szCs w:val="20"/>
        </w:rPr>
        <w:t>we obtain:</w:t>
      </w:r>
    </w:p>
    <w:p w14:paraId="66AB9FE9" w14:textId="4C019B43" w:rsidR="00D5306D" w:rsidRPr="00E510D3" w:rsidRDefault="00D5306D" w:rsidP="00D5306D">
      <w:pPr>
        <w:pStyle w:val="equation0"/>
        <w:tabs>
          <w:tab w:val="clear" w:pos="5040"/>
          <w:tab w:val="right" w:pos="4678"/>
        </w:tabs>
        <w:ind w:right="113"/>
        <w:rPr>
          <w:sz w:val="18"/>
          <w:szCs w:val="18"/>
        </w:rPr>
      </w:pPr>
      <w:r w:rsidRPr="004857A6">
        <w:rPr>
          <w:color w:val="00B050"/>
        </w:rPr>
        <w:tab/>
      </w:r>
      <m:oMath>
        <m:sSub>
          <m:sSubPr>
            <m:ctrlPr>
              <w:rPr>
                <w:rFonts w:ascii="Cambria Math" w:hAnsi="Cambria Math" w:cs="Times New Roman"/>
                <w:i/>
                <w:sz w:val="18"/>
                <w:szCs w:val="18"/>
              </w:rPr>
            </m:ctrlPr>
          </m:sSubPr>
          <m:e>
            <m:r>
              <w:rPr>
                <w:rFonts w:ascii="Cambria Math" w:hAnsi="Cambria Math" w:cs="Times New Roman"/>
                <w:sz w:val="18"/>
                <w:szCs w:val="18"/>
              </w:rPr>
              <m:t>r=-f</m:t>
            </m:r>
          </m:e>
          <m:sub>
            <m:r>
              <w:rPr>
                <w:rFonts w:ascii="Cambria Math" w:hAnsi="Cambria Math" w:cs="Times New Roman"/>
                <w:sz w:val="18"/>
                <w:szCs w:val="18"/>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m:t>
            </m:r>
            <m:d>
              <m:dPr>
                <m:ctrlPr>
                  <w:rPr>
                    <w:rFonts w:ascii="Cambria Math" w:hAnsi="Cambria Math" w:cs="Times New Roman"/>
                    <w:i/>
                    <w:sz w:val="18"/>
                    <w:szCs w:val="18"/>
                  </w:rPr>
                </m:ctrlPr>
              </m:dPr>
              <m:e>
                <m:r>
                  <w:rPr>
                    <w:rFonts w:ascii="Cambria Math" w:hAnsi="Cambria Math" w:cs="Times New Roman"/>
                    <w:sz w:val="18"/>
                    <w:szCs w:val="18"/>
                  </w:rPr>
                  <m:t>L-</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e>
        </m:ra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2</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57579479" w14:textId="5F011ECD" w:rsidR="00D91C22" w:rsidRPr="00731E04" w:rsidRDefault="00AD14DE" w:rsidP="00B7490D">
      <w:pPr>
        <w:pStyle w:val="Bodytextfirst"/>
        <w:rPr>
          <w:sz w:val="20"/>
          <w:szCs w:val="20"/>
        </w:rPr>
      </w:pPr>
      <w:r>
        <w:rPr>
          <w:sz w:val="20"/>
          <w:szCs w:val="20"/>
        </w:rPr>
        <w:t>Therefore</w:t>
      </w:r>
      <w:r w:rsidR="00036701" w:rsidRPr="00036701">
        <w:rPr>
          <w:sz w:val="20"/>
          <w:szCs w:val="20"/>
        </w:rPr>
        <w:t xml:space="preserve">, </w:t>
      </w:r>
      <w:r w:rsidR="00ED72FE" w:rsidRPr="00036701">
        <w:rPr>
          <w:sz w:val="20"/>
          <w:szCs w:val="20"/>
        </w:rPr>
        <w:t xml:space="preserve">the residual </w:t>
      </w:r>
      <w:r w:rsidR="00ED72FE" w:rsidRPr="00AD14DE">
        <w:rPr>
          <w:i/>
          <w:sz w:val="20"/>
          <w:szCs w:val="20"/>
        </w:rPr>
        <w:t>r</w:t>
      </w:r>
      <w:r w:rsidR="00ED72FE" w:rsidRPr="00036701">
        <w:rPr>
          <w:sz w:val="20"/>
          <w:szCs w:val="20"/>
        </w:rPr>
        <w:t xml:space="preserve"> equals zero</w:t>
      </w:r>
      <w:r w:rsidR="00ED72FE">
        <w:rPr>
          <w:sz w:val="20"/>
          <w:szCs w:val="20"/>
        </w:rPr>
        <w:t>,</w:t>
      </w:r>
      <w:r w:rsidR="00ED72FE" w:rsidRPr="00036701">
        <w:rPr>
          <w:sz w:val="20"/>
          <w:szCs w:val="20"/>
        </w:rPr>
        <w:t xml:space="preserve"> </w:t>
      </w:r>
      <w:r w:rsidR="00036701" w:rsidRPr="00036701">
        <w:rPr>
          <w:sz w:val="20"/>
          <w:szCs w:val="20"/>
        </w:rPr>
        <w:t>in the case</w:t>
      </w:r>
      <w:r>
        <w:rPr>
          <w:sz w:val="20"/>
          <w:szCs w:val="20"/>
        </w:rPr>
        <w:t xml:space="preserve"> when</w:t>
      </w:r>
      <w:r w:rsidR="00036701" w:rsidRPr="00036701">
        <w:rPr>
          <w:sz w:val="20"/>
          <w:szCs w:val="20"/>
        </w:rPr>
        <w:t xml:space="preserve"> </w:t>
      </w:r>
      <w:r w:rsidRPr="00036701">
        <w:rPr>
          <w:sz w:val="20"/>
          <w:szCs w:val="20"/>
        </w:rPr>
        <w:t xml:space="preserve">the outputs of the model and </w:t>
      </w:r>
      <w:r>
        <w:rPr>
          <w:sz w:val="20"/>
          <w:szCs w:val="20"/>
        </w:rPr>
        <w:t>process</w:t>
      </w:r>
      <w:r w:rsidRPr="00036701">
        <w:rPr>
          <w:sz w:val="20"/>
          <w:szCs w:val="20"/>
        </w:rPr>
        <w:t xml:space="preserve"> </w:t>
      </w:r>
      <w:r>
        <w:rPr>
          <w:sz w:val="20"/>
          <w:szCs w:val="20"/>
        </w:rPr>
        <w:t>are identical</w:t>
      </w:r>
      <w:r w:rsidR="00036701" w:rsidRPr="00036701">
        <w:rPr>
          <w:sz w:val="20"/>
          <w:szCs w:val="20"/>
        </w:rPr>
        <w:t>. However, this cannot be interpreted uniquely as a</w:t>
      </w:r>
      <w:r>
        <w:rPr>
          <w:sz w:val="20"/>
          <w:szCs w:val="20"/>
        </w:rPr>
        <w:t xml:space="preserve"> fault-free state of the system, while t</w:t>
      </w:r>
      <w:r w:rsidR="00036701" w:rsidRPr="00036701">
        <w:rPr>
          <w:sz w:val="20"/>
          <w:szCs w:val="20"/>
        </w:rPr>
        <w:t xml:space="preserve">he residual </w:t>
      </w:r>
      <w:proofErr w:type="gramStart"/>
      <w:r w:rsidR="00036701" w:rsidRPr="00AD14DE">
        <w:rPr>
          <w:i/>
          <w:sz w:val="20"/>
          <w:szCs w:val="20"/>
        </w:rPr>
        <w:t>r</w:t>
      </w:r>
      <w:r w:rsidR="00036701" w:rsidRPr="00036701">
        <w:rPr>
          <w:sz w:val="20"/>
          <w:szCs w:val="20"/>
        </w:rPr>
        <w:t xml:space="preserve">  may</w:t>
      </w:r>
      <w:proofErr w:type="gramEnd"/>
      <w:r w:rsidR="00036701" w:rsidRPr="00036701">
        <w:rPr>
          <w:sz w:val="20"/>
          <w:szCs w:val="20"/>
        </w:rPr>
        <w:t xml:space="preserve"> take </w:t>
      </w:r>
      <w:r>
        <w:rPr>
          <w:sz w:val="20"/>
          <w:szCs w:val="20"/>
        </w:rPr>
        <w:t xml:space="preserve">zero </w:t>
      </w:r>
      <w:r w:rsidR="00036701" w:rsidRPr="00036701">
        <w:rPr>
          <w:sz w:val="20"/>
          <w:szCs w:val="20"/>
        </w:rPr>
        <w:t xml:space="preserve">value </w:t>
      </w:r>
      <w:r>
        <w:rPr>
          <w:sz w:val="20"/>
          <w:szCs w:val="20"/>
        </w:rPr>
        <w:t>by</w:t>
      </w:r>
      <w:r w:rsidR="00036701" w:rsidRPr="00036701">
        <w:rPr>
          <w:sz w:val="20"/>
          <w:szCs w:val="20"/>
        </w:rPr>
        <w:t xml:space="preserve"> the </w:t>
      </w:r>
      <w:r>
        <w:rPr>
          <w:sz w:val="20"/>
          <w:szCs w:val="20"/>
        </w:rPr>
        <w:t xml:space="preserve">occurrence </w:t>
      </w:r>
      <w:r w:rsidR="00036701" w:rsidRPr="00036701">
        <w:rPr>
          <w:sz w:val="20"/>
          <w:szCs w:val="20"/>
        </w:rPr>
        <w:t>of faults</w:t>
      </w:r>
      <w:r>
        <w:rPr>
          <w:sz w:val="20"/>
          <w:szCs w:val="20"/>
        </w:rPr>
        <w:t xml:space="preserve"> due to </w:t>
      </w:r>
      <w:r w:rsidR="00036701" w:rsidRPr="00036701">
        <w:rPr>
          <w:sz w:val="20"/>
          <w:szCs w:val="20"/>
        </w:rPr>
        <w:t xml:space="preserve">the effect of residual compensation. </w:t>
      </w:r>
      <w:r>
        <w:rPr>
          <w:sz w:val="20"/>
          <w:szCs w:val="20"/>
        </w:rPr>
        <w:t>Obviously, t</w:t>
      </w:r>
      <w:r w:rsidR="00036701" w:rsidRPr="00036701">
        <w:rPr>
          <w:sz w:val="20"/>
          <w:szCs w:val="20"/>
        </w:rPr>
        <w:t>his effect takes place exclusively for multiple faults. From (3)</w:t>
      </w:r>
      <w:r w:rsidR="00ED72FE">
        <w:rPr>
          <w:sz w:val="20"/>
          <w:szCs w:val="20"/>
        </w:rPr>
        <w:t>,</w:t>
      </w:r>
      <w:r w:rsidR="00036701" w:rsidRPr="00036701">
        <w:rPr>
          <w:sz w:val="20"/>
          <w:szCs w:val="20"/>
        </w:rPr>
        <w:t xml:space="preserve"> we can easily withdraw a simple condition for which a compensation of both faults takes place.</w:t>
      </w:r>
      <w:r w:rsidR="00650BD0" w:rsidRPr="00731E04">
        <w:rPr>
          <w:i/>
          <w:sz w:val="20"/>
          <w:szCs w:val="20"/>
        </w:rPr>
        <w:t xml:space="preserve"> </w:t>
      </w:r>
    </w:p>
    <w:p w14:paraId="09D1E486" w14:textId="4AEAB1B8" w:rsidR="00D5306D" w:rsidRPr="00E510D3" w:rsidRDefault="00D5306D" w:rsidP="00D5306D">
      <w:pPr>
        <w:pStyle w:val="equation0"/>
        <w:tabs>
          <w:tab w:val="clear" w:pos="5040"/>
          <w:tab w:val="right" w:pos="4678"/>
        </w:tabs>
        <w:ind w:right="113"/>
        <w:rPr>
          <w:sz w:val="18"/>
          <w:szCs w:val="18"/>
        </w:rPr>
      </w:pPr>
      <w:r w:rsidRPr="004857A6">
        <w:rPr>
          <w:color w:val="00B050"/>
        </w:rPr>
        <w:tab/>
      </w:r>
      <m:oMath>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num>
          <m:den>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2</m:t>
                </m:r>
              </m:sub>
            </m:sSub>
          </m:den>
        </m:f>
        <m:r>
          <w:rPr>
            <w:rFonts w:ascii="Cambria Math" w:hAnsi="Cambria Math" w:cs="Times New Roman"/>
            <w:sz w:val="18"/>
            <w:szCs w:val="18"/>
          </w:rPr>
          <m:t>=</m:t>
        </m:r>
        <m:rad>
          <m:radPr>
            <m:degHide m:val="1"/>
            <m:ctrlPr>
              <w:rPr>
                <w:rFonts w:ascii="Cambria Math" w:hAnsi="Cambria Math" w:cs="Times New Roman"/>
                <w:i/>
                <w:sz w:val="18"/>
                <w:szCs w:val="18"/>
              </w:rPr>
            </m:ctrlPr>
          </m:radPr>
          <m:deg/>
          <m:e>
            <m:f>
              <m:fPr>
                <m:ctrlPr>
                  <w:rPr>
                    <w:rFonts w:ascii="Cambria Math" w:hAnsi="Cambria Math" w:cs="Times New Roman"/>
                    <w:i/>
                    <w:sz w:val="18"/>
                    <w:szCs w:val="18"/>
                  </w:rPr>
                </m:ctrlPr>
              </m:fPr>
              <m:num>
                <m:r>
                  <w:rPr>
                    <w:rFonts w:ascii="Cambria Math" w:hAnsi="Cambria Math" w:cs="Times New Roman"/>
                    <w:sz w:val="18"/>
                    <w:szCs w:val="18"/>
                  </w:rPr>
                  <m:t>L</m:t>
                </m:r>
              </m:num>
              <m:den>
                <m:d>
                  <m:dPr>
                    <m:ctrlPr>
                      <w:rPr>
                        <w:rFonts w:ascii="Cambria Math" w:hAnsi="Cambria Math" w:cs="Times New Roman"/>
                        <w:i/>
                        <w:sz w:val="18"/>
                        <w:szCs w:val="18"/>
                      </w:rPr>
                    </m:ctrlPr>
                  </m:dPr>
                  <m:e>
                    <m:r>
                      <w:rPr>
                        <w:rFonts w:ascii="Cambria Math" w:hAnsi="Cambria Math" w:cs="Times New Roman"/>
                        <w:sz w:val="18"/>
                        <w:szCs w:val="18"/>
                      </w:rPr>
                      <m:t>L-</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den>
            </m:f>
          </m:e>
        </m:ra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07ED166D" w14:textId="5A465EE2" w:rsidR="00D5306D" w:rsidRDefault="00036701" w:rsidP="00B7490D">
      <w:pPr>
        <w:pStyle w:val="Bodytextfirst"/>
        <w:rPr>
          <w:sz w:val="20"/>
          <w:szCs w:val="20"/>
        </w:rPr>
      </w:pPr>
      <w:r w:rsidRPr="00036701">
        <w:rPr>
          <w:sz w:val="20"/>
          <w:szCs w:val="20"/>
        </w:rPr>
        <w:t>It is believed that the probability of fault compensation effect is relatively low. However, this effect is one of the reasons for false-negative fault isolation</w:t>
      </w:r>
      <w:r w:rsidR="00ED72FE">
        <w:rPr>
          <w:sz w:val="20"/>
          <w:szCs w:val="20"/>
        </w:rPr>
        <w:t>,</w:t>
      </w:r>
      <w:r w:rsidRPr="00036701">
        <w:rPr>
          <w:sz w:val="20"/>
          <w:szCs w:val="20"/>
        </w:rPr>
        <w:t xml:space="preserve"> and therefore</w:t>
      </w:r>
      <w:r w:rsidR="00ED72FE">
        <w:rPr>
          <w:sz w:val="20"/>
          <w:szCs w:val="20"/>
        </w:rPr>
        <w:t>,</w:t>
      </w:r>
      <w:r w:rsidRPr="00036701">
        <w:rPr>
          <w:sz w:val="20"/>
          <w:szCs w:val="20"/>
        </w:rPr>
        <w:t xml:space="preserve"> it should be avoided as far as it is possible. The following observation would be helpful:</w:t>
      </w:r>
    </w:p>
    <w:p w14:paraId="0274AB4E" w14:textId="77777777" w:rsidR="00036701" w:rsidRDefault="00036701" w:rsidP="00B7490D">
      <w:pPr>
        <w:pStyle w:val="Bodytextfirst"/>
        <w:rPr>
          <w:i/>
          <w:sz w:val="20"/>
          <w:szCs w:val="20"/>
        </w:rPr>
      </w:pPr>
    </w:p>
    <w:p w14:paraId="60E1F840" w14:textId="14530EC0" w:rsidR="007D2C12" w:rsidRPr="00D5306D" w:rsidRDefault="008E3F0C" w:rsidP="00B7490D">
      <w:pPr>
        <w:pStyle w:val="Bodytextfirst"/>
        <w:rPr>
          <w:i/>
          <w:sz w:val="20"/>
          <w:szCs w:val="20"/>
        </w:rPr>
      </w:pPr>
      <w:r w:rsidRPr="008E3F0C">
        <w:rPr>
          <w:i/>
          <w:sz w:val="20"/>
          <w:szCs w:val="20"/>
        </w:rPr>
        <w:t xml:space="preserve">The effect of compensation of faults does not take place in case of single faults and for those multiple faults for which residuals are </w:t>
      </w:r>
      <w:proofErr w:type="spellStart"/>
      <w:r w:rsidRPr="008E3F0C">
        <w:rPr>
          <w:i/>
          <w:sz w:val="20"/>
          <w:szCs w:val="20"/>
        </w:rPr>
        <w:t>unidirectionally</w:t>
      </w:r>
      <w:proofErr w:type="spellEnd"/>
      <w:r w:rsidRPr="008E3F0C">
        <w:rPr>
          <w:i/>
          <w:sz w:val="20"/>
          <w:szCs w:val="20"/>
        </w:rPr>
        <w:t xml:space="preserve"> affected</w:t>
      </w:r>
      <w:r w:rsidR="008A12A7" w:rsidRPr="00D5306D">
        <w:rPr>
          <w:i/>
          <w:sz w:val="20"/>
          <w:szCs w:val="20"/>
        </w:rPr>
        <w:t xml:space="preserve">.  </w:t>
      </w:r>
      <w:r w:rsidR="007D2C12" w:rsidRPr="00D5306D">
        <w:rPr>
          <w:i/>
          <w:sz w:val="20"/>
          <w:szCs w:val="20"/>
        </w:rPr>
        <w:t xml:space="preserve"> </w:t>
      </w:r>
    </w:p>
    <w:p w14:paraId="7A13E3A1" w14:textId="77777777" w:rsidR="00F52F22" w:rsidRPr="00731E04" w:rsidRDefault="00F52F22" w:rsidP="00B7490D">
      <w:pPr>
        <w:pStyle w:val="Bodytextfirst"/>
        <w:rPr>
          <w:sz w:val="20"/>
          <w:szCs w:val="20"/>
        </w:rPr>
      </w:pPr>
    </w:p>
    <w:p w14:paraId="6EF7FD69" w14:textId="5169A87A" w:rsidR="008E3F0C" w:rsidRPr="008E3F0C" w:rsidRDefault="008E3F0C" w:rsidP="008E3F0C">
      <w:pPr>
        <w:pStyle w:val="Bodytextfirst"/>
        <w:rPr>
          <w:sz w:val="20"/>
          <w:szCs w:val="20"/>
        </w:rPr>
      </w:pPr>
      <w:r w:rsidRPr="008E3F0C">
        <w:rPr>
          <w:sz w:val="20"/>
          <w:szCs w:val="20"/>
        </w:rPr>
        <w:t>From this observation</w:t>
      </w:r>
      <w:r w:rsidR="00ED72FE">
        <w:rPr>
          <w:sz w:val="20"/>
          <w:szCs w:val="20"/>
        </w:rPr>
        <w:t>,</w:t>
      </w:r>
      <w:r w:rsidRPr="008E3F0C">
        <w:rPr>
          <w:sz w:val="20"/>
          <w:szCs w:val="20"/>
        </w:rPr>
        <w:t xml:space="preserve"> we can withdraw some practical conclusions:</w:t>
      </w:r>
    </w:p>
    <w:p w14:paraId="3AC1898D" w14:textId="77777777" w:rsidR="008E3F0C" w:rsidRPr="008E3F0C" w:rsidRDefault="008E3F0C" w:rsidP="008E3F0C">
      <w:pPr>
        <w:pStyle w:val="Bodytextfirst"/>
        <w:rPr>
          <w:sz w:val="20"/>
          <w:szCs w:val="20"/>
        </w:rPr>
      </w:pPr>
    </w:p>
    <w:p w14:paraId="7665717B" w14:textId="2CBF72BF" w:rsidR="00AD14DE" w:rsidRDefault="008E3F0C" w:rsidP="008E3F0C">
      <w:pPr>
        <w:pStyle w:val="Bodytextfirst"/>
        <w:rPr>
          <w:i/>
          <w:sz w:val="20"/>
          <w:szCs w:val="20"/>
        </w:rPr>
      </w:pPr>
      <w:proofErr w:type="gramStart"/>
      <w:r w:rsidRPr="008E3F0C">
        <w:rPr>
          <w:b/>
          <w:sz w:val="20"/>
          <w:szCs w:val="20"/>
        </w:rPr>
        <w:t>Conclusion 1</w:t>
      </w:r>
      <w:r w:rsidRPr="008E3F0C">
        <w:rPr>
          <w:sz w:val="20"/>
          <w:szCs w:val="20"/>
        </w:rPr>
        <w:t>.</w:t>
      </w:r>
      <w:proofErr w:type="gramEnd"/>
      <w:r w:rsidRPr="008E3F0C">
        <w:rPr>
          <w:sz w:val="20"/>
          <w:szCs w:val="20"/>
        </w:rPr>
        <w:t xml:space="preserve"> </w:t>
      </w:r>
      <w:r w:rsidR="00ED72FE">
        <w:rPr>
          <w:i/>
          <w:sz w:val="20"/>
          <w:szCs w:val="20"/>
        </w:rPr>
        <w:t>S</w:t>
      </w:r>
      <w:r w:rsidRPr="008E3F0C">
        <w:rPr>
          <w:i/>
          <w:sz w:val="20"/>
          <w:szCs w:val="20"/>
        </w:rPr>
        <w:t xml:space="preserve">ingle fault detectors </w:t>
      </w:r>
      <w:r w:rsidR="00AD14DE">
        <w:rPr>
          <w:i/>
          <w:sz w:val="20"/>
          <w:szCs w:val="20"/>
        </w:rPr>
        <w:t>are recommended for usage in the</w:t>
      </w:r>
      <w:r w:rsidRPr="008E3F0C">
        <w:rPr>
          <w:i/>
          <w:sz w:val="20"/>
          <w:szCs w:val="20"/>
        </w:rPr>
        <w:t xml:space="preserve"> diagnostic system</w:t>
      </w:r>
      <w:r w:rsidR="00AD14DE">
        <w:rPr>
          <w:i/>
          <w:sz w:val="20"/>
          <w:szCs w:val="20"/>
        </w:rPr>
        <w:t>s in order t</w:t>
      </w:r>
      <w:r w:rsidR="00ED72FE" w:rsidRPr="008E3F0C">
        <w:rPr>
          <w:i/>
          <w:sz w:val="20"/>
          <w:szCs w:val="20"/>
        </w:rPr>
        <w:t>o avoid</w:t>
      </w:r>
      <w:r w:rsidR="00ED72FE">
        <w:rPr>
          <w:i/>
          <w:sz w:val="20"/>
          <w:szCs w:val="20"/>
        </w:rPr>
        <w:t xml:space="preserve"> </w:t>
      </w:r>
      <w:r w:rsidR="00AD14DE">
        <w:rPr>
          <w:i/>
          <w:sz w:val="20"/>
          <w:szCs w:val="20"/>
        </w:rPr>
        <w:t>false fault isolation.</w:t>
      </w:r>
    </w:p>
    <w:p w14:paraId="47A1D4FD" w14:textId="77777777" w:rsidR="00AD14DE" w:rsidRPr="00AD14DE" w:rsidRDefault="00AD14DE" w:rsidP="008E3F0C">
      <w:pPr>
        <w:pStyle w:val="Bodytextfirst"/>
        <w:rPr>
          <w:i/>
          <w:sz w:val="20"/>
          <w:szCs w:val="20"/>
        </w:rPr>
      </w:pPr>
    </w:p>
    <w:p w14:paraId="394D9F51" w14:textId="3E1E1667" w:rsidR="008E3F0C" w:rsidRPr="008E3F0C" w:rsidRDefault="008E3F0C" w:rsidP="008E3F0C">
      <w:pPr>
        <w:pStyle w:val="Bodytextfirst"/>
        <w:rPr>
          <w:i/>
          <w:sz w:val="20"/>
          <w:szCs w:val="20"/>
        </w:rPr>
      </w:pPr>
      <w:proofErr w:type="gramStart"/>
      <w:r w:rsidRPr="008E3F0C">
        <w:rPr>
          <w:b/>
          <w:sz w:val="20"/>
          <w:szCs w:val="20"/>
        </w:rPr>
        <w:t>Conclusion 2</w:t>
      </w:r>
      <w:r w:rsidRPr="008E3F0C">
        <w:rPr>
          <w:sz w:val="20"/>
          <w:szCs w:val="20"/>
        </w:rPr>
        <w:t>.</w:t>
      </w:r>
      <w:proofErr w:type="gramEnd"/>
      <w:r w:rsidRPr="008E3F0C">
        <w:rPr>
          <w:sz w:val="20"/>
          <w:szCs w:val="20"/>
        </w:rPr>
        <w:t xml:space="preserve"> </w:t>
      </w:r>
      <w:r w:rsidR="00ED72FE">
        <w:rPr>
          <w:i/>
          <w:sz w:val="20"/>
          <w:szCs w:val="20"/>
        </w:rPr>
        <w:t>T</w:t>
      </w:r>
      <w:r w:rsidRPr="008E3F0C">
        <w:rPr>
          <w:i/>
          <w:sz w:val="20"/>
          <w:szCs w:val="20"/>
        </w:rPr>
        <w:t>o increase fault distinguishability, it makes sense to take into consideration the directions of changes of residuals.</w:t>
      </w:r>
    </w:p>
    <w:p w14:paraId="71E5C31C" w14:textId="77777777" w:rsidR="008E3F0C" w:rsidRPr="008E3F0C" w:rsidRDefault="008E3F0C" w:rsidP="008E3F0C">
      <w:pPr>
        <w:pStyle w:val="Bodytextfirst"/>
        <w:rPr>
          <w:sz w:val="20"/>
          <w:szCs w:val="20"/>
        </w:rPr>
      </w:pPr>
    </w:p>
    <w:p w14:paraId="685F270D" w14:textId="1EFCBB91" w:rsidR="003F5C75" w:rsidRPr="003F5C75" w:rsidRDefault="008E3F0C" w:rsidP="003F5C75">
      <w:pPr>
        <w:pStyle w:val="Bodytextfirst"/>
        <w:rPr>
          <w:sz w:val="20"/>
          <w:szCs w:val="20"/>
        </w:rPr>
      </w:pPr>
      <w:r w:rsidRPr="008E3F0C">
        <w:rPr>
          <w:sz w:val="20"/>
          <w:szCs w:val="20"/>
        </w:rPr>
        <w:t xml:space="preserve">Conclusion 1 sounds slightly unrealistic in nowadays </w:t>
      </w:r>
      <w:r w:rsidR="003F5C75" w:rsidRPr="003F5C75">
        <w:rPr>
          <w:sz w:val="20"/>
          <w:szCs w:val="20"/>
        </w:rPr>
        <w:t>world. The</w:t>
      </w:r>
      <w:r w:rsidR="00AD14DE">
        <w:rPr>
          <w:sz w:val="20"/>
          <w:szCs w:val="20"/>
        </w:rPr>
        <w:t>refore, the</w:t>
      </w:r>
      <w:r w:rsidR="003F5C75" w:rsidRPr="003F5C75">
        <w:rPr>
          <w:sz w:val="20"/>
          <w:szCs w:val="20"/>
        </w:rPr>
        <w:t xml:space="preserve"> question appears </w:t>
      </w:r>
      <w:r w:rsidR="00AD14DE">
        <w:rPr>
          <w:sz w:val="20"/>
          <w:szCs w:val="20"/>
        </w:rPr>
        <w:t xml:space="preserve">on </w:t>
      </w:r>
      <w:r w:rsidR="003F5C75" w:rsidRPr="003F5C75">
        <w:rPr>
          <w:sz w:val="20"/>
          <w:szCs w:val="20"/>
        </w:rPr>
        <w:t xml:space="preserve">how we can </w:t>
      </w:r>
      <w:r w:rsidR="003F5C75" w:rsidRPr="003F5C75">
        <w:rPr>
          <w:sz w:val="20"/>
          <w:szCs w:val="20"/>
        </w:rPr>
        <w:lastRenderedPageBreak/>
        <w:t xml:space="preserve">avoid fault compensation effects if they are typical even for </w:t>
      </w:r>
      <w:r w:rsidR="00ED72FE">
        <w:rPr>
          <w:sz w:val="20"/>
          <w:szCs w:val="20"/>
        </w:rPr>
        <w:t>elementary</w:t>
      </w:r>
      <w:r w:rsidR="003F5C75" w:rsidRPr="003F5C75">
        <w:rPr>
          <w:sz w:val="20"/>
          <w:szCs w:val="20"/>
        </w:rPr>
        <w:t xml:space="preserve"> processes</w:t>
      </w:r>
      <w:r w:rsidR="00ED72FE">
        <w:rPr>
          <w:sz w:val="20"/>
          <w:szCs w:val="20"/>
        </w:rPr>
        <w:t>,</w:t>
      </w:r>
      <w:r w:rsidR="003F5C75" w:rsidRPr="003F5C75">
        <w:rPr>
          <w:sz w:val="20"/>
          <w:szCs w:val="20"/>
        </w:rPr>
        <w:t xml:space="preserve"> as shown in Fig. 1? </w:t>
      </w:r>
    </w:p>
    <w:p w14:paraId="256A16A9" w14:textId="473A027D" w:rsidR="003F5C75" w:rsidRPr="003F5C75" w:rsidRDefault="003F5C75" w:rsidP="003F5C75">
      <w:pPr>
        <w:pStyle w:val="Bodytextfirst"/>
        <w:rPr>
          <w:sz w:val="20"/>
          <w:szCs w:val="20"/>
        </w:rPr>
      </w:pPr>
      <w:r w:rsidRPr="003F5C75">
        <w:rPr>
          <w:sz w:val="20"/>
          <w:szCs w:val="20"/>
        </w:rPr>
        <w:t xml:space="preserve">There is no </w:t>
      </w:r>
      <w:r w:rsidR="00ED72FE">
        <w:rPr>
          <w:sz w:val="20"/>
          <w:szCs w:val="20"/>
        </w:rPr>
        <w:t>right</w:t>
      </w:r>
      <w:r w:rsidRPr="003F5C75">
        <w:rPr>
          <w:sz w:val="20"/>
          <w:szCs w:val="20"/>
        </w:rPr>
        <w:t xml:space="preserve"> general answer in this matter. However, some </w:t>
      </w:r>
      <w:r w:rsidR="00ED72FE">
        <w:rPr>
          <w:sz w:val="20"/>
          <w:szCs w:val="20"/>
        </w:rPr>
        <w:t>productive</w:t>
      </w:r>
      <w:r w:rsidRPr="003F5C75">
        <w:rPr>
          <w:sz w:val="20"/>
          <w:szCs w:val="20"/>
        </w:rPr>
        <w:t xml:space="preserve"> actions can be undertaken. The </w:t>
      </w:r>
      <w:r w:rsidR="00ED72FE">
        <w:rPr>
          <w:sz w:val="20"/>
          <w:szCs w:val="20"/>
        </w:rPr>
        <w:t>excellent</w:t>
      </w:r>
      <w:r w:rsidRPr="003F5C75">
        <w:rPr>
          <w:sz w:val="20"/>
          <w:szCs w:val="20"/>
        </w:rPr>
        <w:t xml:space="preserve"> solution seems to have an equal number of nominal models as the number of single faults such that each model should be </w:t>
      </w:r>
      <w:proofErr w:type="gramStart"/>
      <w:r w:rsidRPr="003F5C75">
        <w:rPr>
          <w:sz w:val="20"/>
          <w:szCs w:val="20"/>
        </w:rPr>
        <w:t>effected</w:t>
      </w:r>
      <w:proofErr w:type="gramEnd"/>
      <w:r w:rsidRPr="003F5C75">
        <w:rPr>
          <w:sz w:val="20"/>
          <w:szCs w:val="20"/>
        </w:rPr>
        <w:t xml:space="preserve"> exclusively by one fault.  </w:t>
      </w:r>
    </w:p>
    <w:p w14:paraId="6BA72106" w14:textId="50476A9D" w:rsidR="007D336F" w:rsidRPr="00731E04" w:rsidRDefault="003F5C75" w:rsidP="003F5C75">
      <w:pPr>
        <w:pStyle w:val="Bodytextfirst"/>
        <w:rPr>
          <w:sz w:val="20"/>
          <w:szCs w:val="20"/>
        </w:rPr>
      </w:pPr>
      <w:r w:rsidRPr="003F5C75">
        <w:rPr>
          <w:sz w:val="20"/>
          <w:szCs w:val="20"/>
        </w:rPr>
        <w:t xml:space="preserve">Let us now consider the same system as in Fig. 2. The only difference is that we now will </w:t>
      </w:r>
      <w:r w:rsidR="00AD14DE">
        <w:rPr>
          <w:sz w:val="20"/>
          <w:szCs w:val="20"/>
        </w:rPr>
        <w:t>consider</w:t>
      </w:r>
      <w:r w:rsidRPr="003F5C75">
        <w:rPr>
          <w:sz w:val="20"/>
          <w:szCs w:val="20"/>
        </w:rPr>
        <w:t xml:space="preserve"> the usage of the additional flow rate instrument, i.e.</w:t>
      </w:r>
      <w:r w:rsidR="00ED72FE">
        <w:rPr>
          <w:sz w:val="20"/>
          <w:szCs w:val="20"/>
        </w:rPr>
        <w:t>,</w:t>
      </w:r>
      <w:r w:rsidRPr="003F5C75">
        <w:rPr>
          <w:sz w:val="20"/>
          <w:szCs w:val="20"/>
        </w:rPr>
        <w:t xml:space="preserve"> </w:t>
      </w:r>
      <w:r w:rsidRPr="003F5C75">
        <w:rPr>
          <w:i/>
          <w:sz w:val="20"/>
          <w:szCs w:val="20"/>
        </w:rPr>
        <w:t>F</w:t>
      </w:r>
      <w:r w:rsidRPr="003F5C75">
        <w:rPr>
          <w:i/>
          <w:sz w:val="20"/>
          <w:szCs w:val="20"/>
          <w:vertAlign w:val="subscript"/>
        </w:rPr>
        <w:t>1</w:t>
      </w:r>
      <w:r w:rsidRPr="003F5C75">
        <w:rPr>
          <w:sz w:val="20"/>
          <w:szCs w:val="20"/>
        </w:rPr>
        <w:t xml:space="preserve">.  The nominal models of the process will be </w:t>
      </w:r>
      <w:r w:rsidR="00AD14DE">
        <w:rPr>
          <w:sz w:val="20"/>
          <w:szCs w:val="20"/>
        </w:rPr>
        <w:t xml:space="preserve">the </w:t>
      </w:r>
      <w:r w:rsidRPr="003F5C75">
        <w:rPr>
          <w:sz w:val="20"/>
          <w:szCs w:val="20"/>
        </w:rPr>
        <w:t>following:</w:t>
      </w:r>
    </w:p>
    <w:p w14:paraId="31B0A286" w14:textId="51B7795F" w:rsidR="005B0E7C" w:rsidRPr="00E510D3" w:rsidRDefault="005B0E7C" w:rsidP="005B0E7C">
      <w:pPr>
        <w:pStyle w:val="equation0"/>
        <w:tabs>
          <w:tab w:val="clear" w:pos="5040"/>
          <w:tab w:val="right" w:pos="4678"/>
        </w:tabs>
        <w:ind w:right="113"/>
        <w:rPr>
          <w:sz w:val="18"/>
          <w:szCs w:val="18"/>
        </w:rPr>
      </w:pPr>
      <w:r w:rsidRPr="004857A6">
        <w:rPr>
          <w:color w:val="00B050"/>
        </w:rPr>
        <w:tab/>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m:t>
                    </m:r>
                  </m:sub>
                </m:sSub>
                <m:r>
                  <w:rPr>
                    <w:rFonts w:ascii="Cambria Math" w:hAnsi="Cambria Math" w:cs="Times New Roman"/>
                    <w:sz w:val="18"/>
                    <w:szCs w:val="18"/>
                  </w:rPr>
                  <m:t>=A</m:t>
                </m:r>
                <m:f>
                  <m:fPr>
                    <m:ctrlPr>
                      <w:rPr>
                        <w:rFonts w:ascii="Cambria Math" w:hAnsi="Cambria Math" w:cs="Times New Roman"/>
                        <w:i/>
                        <w:sz w:val="18"/>
                        <w:szCs w:val="18"/>
                      </w:rPr>
                    </m:ctrlPr>
                  </m:fPr>
                  <m:num>
                    <m:r>
                      <w:rPr>
                        <w:rFonts w:ascii="Cambria Math" w:hAnsi="Cambria Math" w:cs="Times New Roman"/>
                        <w:sz w:val="18"/>
                        <w:szCs w:val="18"/>
                      </w:rPr>
                      <m:t>dL</m:t>
                    </m:r>
                  </m:num>
                  <m:den>
                    <m:r>
                      <w:rPr>
                        <w:rFonts w:ascii="Cambria Math" w:hAnsi="Cambria Math" w:cs="Times New Roman"/>
                        <w:sz w:val="18"/>
                        <w:szCs w:val="18"/>
                      </w:rPr>
                      <m:t>dt</m:t>
                    </m:r>
                  </m:den>
                </m:f>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e>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e>
            </m:eqArr>
          </m:e>
        </m: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0CA66603" w14:textId="50C4B568" w:rsidR="007D336F" w:rsidRPr="00731E04" w:rsidRDefault="005B0E7C" w:rsidP="00B7490D">
      <w:pPr>
        <w:pStyle w:val="Bodytextfirst"/>
        <w:rPr>
          <w:sz w:val="20"/>
          <w:szCs w:val="20"/>
        </w:rPr>
      </w:pPr>
      <w:proofErr w:type="gramStart"/>
      <w:r>
        <w:rPr>
          <w:sz w:val="20"/>
          <w:szCs w:val="20"/>
        </w:rPr>
        <w:t>while</w:t>
      </w:r>
      <w:proofErr w:type="gramEnd"/>
      <w:r>
        <w:rPr>
          <w:sz w:val="20"/>
          <w:szCs w:val="20"/>
        </w:rPr>
        <w:t xml:space="preserve"> </w:t>
      </w:r>
      <w:r w:rsidR="00487CA6" w:rsidRPr="00731E04">
        <w:rPr>
          <w:sz w:val="20"/>
          <w:szCs w:val="20"/>
        </w:rPr>
        <w:t>the</w:t>
      </w:r>
      <w:r w:rsidR="002D39D8" w:rsidRPr="00731E04">
        <w:rPr>
          <w:sz w:val="20"/>
          <w:szCs w:val="20"/>
        </w:rPr>
        <w:t xml:space="preserve"> model</w:t>
      </w:r>
      <w:r w:rsidR="00BD7B10">
        <w:rPr>
          <w:sz w:val="20"/>
          <w:szCs w:val="20"/>
        </w:rPr>
        <w:t>s</w:t>
      </w:r>
      <w:r w:rsidR="002D39D8" w:rsidRPr="00731E04">
        <w:rPr>
          <w:sz w:val="20"/>
          <w:szCs w:val="20"/>
        </w:rPr>
        <w:t xml:space="preserve"> in </w:t>
      </w:r>
      <w:r w:rsidR="003F5C75">
        <w:rPr>
          <w:sz w:val="20"/>
          <w:szCs w:val="20"/>
        </w:rPr>
        <w:t xml:space="preserve">the </w:t>
      </w:r>
      <w:r w:rsidR="002D39D8" w:rsidRPr="00731E04">
        <w:rPr>
          <w:sz w:val="20"/>
          <w:szCs w:val="20"/>
        </w:rPr>
        <w:t xml:space="preserve">internal </w:t>
      </w:r>
      <w:r w:rsidR="005A0AC3" w:rsidRPr="00731E04">
        <w:rPr>
          <w:sz w:val="20"/>
          <w:szCs w:val="20"/>
        </w:rPr>
        <w:t xml:space="preserve">form </w:t>
      </w:r>
      <w:r w:rsidR="002D39D8" w:rsidRPr="00731E04">
        <w:rPr>
          <w:sz w:val="20"/>
          <w:szCs w:val="20"/>
        </w:rPr>
        <w:t>will be:</w:t>
      </w:r>
    </w:p>
    <w:p w14:paraId="7FD6AE8D" w14:textId="65B19F23" w:rsidR="005B0E7C" w:rsidRPr="00E510D3" w:rsidRDefault="005B0E7C" w:rsidP="005B0E7C">
      <w:pPr>
        <w:pStyle w:val="equation0"/>
        <w:tabs>
          <w:tab w:val="clear" w:pos="5040"/>
          <w:tab w:val="right" w:pos="4678"/>
        </w:tabs>
        <w:ind w:right="113"/>
        <w:rPr>
          <w:sz w:val="18"/>
          <w:szCs w:val="18"/>
        </w:rPr>
      </w:pPr>
      <w:r w:rsidRPr="004857A6">
        <w:rPr>
          <w:color w:val="00B050"/>
        </w:rPr>
        <w:tab/>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sSubSup>
                  <m:sSubSupPr>
                    <m:ctrlPr>
                      <w:rPr>
                        <w:rFonts w:ascii="Cambria Math" w:hAnsi="Cambria Math" w:cs="Times New Roman"/>
                        <w:i/>
                        <w:sz w:val="18"/>
                        <w:szCs w:val="18"/>
                      </w:rPr>
                    </m:ctrlPr>
                  </m:sSubSupPr>
                  <m:e>
                    <m:r>
                      <w:rPr>
                        <w:rFonts w:ascii="Cambria Math" w:hAnsi="Cambria Math" w:cs="Times New Roman"/>
                        <w:sz w:val="18"/>
                        <w:szCs w:val="18"/>
                      </w:rPr>
                      <m:t>F</m:t>
                    </m:r>
                  </m:e>
                  <m:sub>
                    <m:r>
                      <w:rPr>
                        <w:rFonts w:ascii="Cambria Math" w:hAnsi="Cambria Math" w:cs="Times New Roman"/>
                        <w:sz w:val="18"/>
                        <w:szCs w:val="18"/>
                      </w:rPr>
                      <m:t>0</m:t>
                    </m:r>
                  </m:sub>
                  <m:sup>
                    <m:r>
                      <w:rPr>
                        <w:rFonts w:ascii="Cambria Math" w:hAnsi="Cambria Math" w:cs="Times New Roman"/>
                        <w:sz w:val="18"/>
                        <w:szCs w:val="18"/>
                      </w:rPr>
                      <m:t>f</m:t>
                    </m:r>
                  </m:sup>
                </m:sSubSup>
                <m:r>
                  <w:rPr>
                    <w:rFonts w:ascii="Cambria Math" w:hAnsi="Cambria Math" w:cs="Times New Roman"/>
                    <w:sz w:val="18"/>
                    <w:szCs w:val="18"/>
                  </w:rPr>
                  <m:t>=A</m:t>
                </m:r>
                <m:f>
                  <m:fPr>
                    <m:ctrlPr>
                      <w:rPr>
                        <w:rFonts w:ascii="Cambria Math" w:hAnsi="Cambria Math" w:cs="Times New Roman"/>
                        <w:i/>
                        <w:sz w:val="18"/>
                        <w:szCs w:val="18"/>
                      </w:rPr>
                    </m:ctrlPr>
                  </m:fPr>
                  <m:num>
                    <m:r>
                      <w:rPr>
                        <w:rFonts w:ascii="Cambria Math" w:hAnsi="Cambria Math" w:cs="Times New Roman"/>
                        <w:sz w:val="18"/>
                        <w:szCs w:val="18"/>
                      </w:rPr>
                      <m:t>dL</m:t>
                    </m:r>
                  </m:num>
                  <m:den>
                    <m:r>
                      <w:rPr>
                        <w:rFonts w:ascii="Cambria Math" w:hAnsi="Cambria Math" w:cs="Times New Roman"/>
                        <w:sz w:val="18"/>
                        <w:szCs w:val="18"/>
                      </w:rPr>
                      <m:t>dt</m:t>
                    </m:r>
                  </m:den>
                </m:f>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m:t>
                    </m:r>
                    <m:d>
                      <m:dPr>
                        <m:ctrlPr>
                          <w:rPr>
                            <w:rFonts w:ascii="Cambria Math" w:hAnsi="Cambria Math" w:cs="Times New Roman"/>
                            <w:i/>
                            <w:sz w:val="18"/>
                            <w:szCs w:val="18"/>
                          </w:rPr>
                        </m:ctrlPr>
                      </m:dPr>
                      <m:e>
                        <m:r>
                          <w:rPr>
                            <w:rFonts w:ascii="Cambria Math" w:hAnsi="Cambria Math" w:cs="Times New Roman"/>
                            <w:sz w:val="18"/>
                            <w:szCs w:val="18"/>
                          </w:rPr>
                          <m:t>L-</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e>
                </m:rad>
              </m:e>
              <m:e>
                <m:sSubSup>
                  <m:sSubSupPr>
                    <m:ctrlPr>
                      <w:rPr>
                        <w:rFonts w:ascii="Cambria Math" w:hAnsi="Cambria Math" w:cs="Times New Roman"/>
                        <w:i/>
                        <w:sz w:val="18"/>
                        <w:szCs w:val="18"/>
                      </w:rPr>
                    </m:ctrlPr>
                  </m:sSubSupPr>
                  <m:e>
                    <m:r>
                      <w:rPr>
                        <w:rFonts w:ascii="Cambria Math" w:hAnsi="Cambria Math" w:cs="Times New Roman"/>
                        <w:sz w:val="18"/>
                        <w:szCs w:val="18"/>
                      </w:rPr>
                      <m:t>F</m:t>
                    </m:r>
                  </m:e>
                  <m:sub>
                    <m:r>
                      <w:rPr>
                        <w:rFonts w:ascii="Cambria Math" w:hAnsi="Cambria Math" w:cs="Times New Roman"/>
                        <w:sz w:val="18"/>
                        <w:szCs w:val="18"/>
                      </w:rPr>
                      <m:t>1</m:t>
                    </m:r>
                  </m:sub>
                  <m:sup>
                    <m:r>
                      <w:rPr>
                        <w:rFonts w:ascii="Cambria Math" w:hAnsi="Cambria Math" w:cs="Times New Roman"/>
                        <w:sz w:val="18"/>
                        <w:szCs w:val="18"/>
                      </w:rPr>
                      <m:t>f</m:t>
                    </m:r>
                  </m:sup>
                </m:sSubSup>
                <m:r>
                  <w:rPr>
                    <w:rFonts w:ascii="Cambria Math" w:hAnsi="Cambria Math" w:cs="Times New Roman"/>
                    <w:sz w:val="18"/>
                    <w:szCs w:val="18"/>
                  </w:rPr>
                  <m:t xml:space="preserve"> =αS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2</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e>
            </m:eqArr>
          </m:e>
        </m: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565D34E2" w14:textId="3ADC2B32" w:rsidR="00487CA6" w:rsidRPr="00731E04" w:rsidRDefault="00487CA6" w:rsidP="00B7490D">
      <w:pPr>
        <w:pStyle w:val="Bodytextfirst"/>
        <w:rPr>
          <w:sz w:val="20"/>
          <w:szCs w:val="20"/>
        </w:rPr>
      </w:pPr>
      <w:proofErr w:type="gramStart"/>
      <w:r w:rsidRPr="00731E04">
        <w:rPr>
          <w:sz w:val="20"/>
          <w:szCs w:val="20"/>
        </w:rPr>
        <w:t>or</w:t>
      </w:r>
      <w:proofErr w:type="gramEnd"/>
    </w:p>
    <w:p w14:paraId="7BAACD35" w14:textId="54CB1F41" w:rsidR="00D316DD" w:rsidRPr="00E510D3" w:rsidRDefault="00D316DD" w:rsidP="00D316DD">
      <w:pPr>
        <w:pStyle w:val="equation0"/>
        <w:tabs>
          <w:tab w:val="clear" w:pos="5040"/>
          <w:tab w:val="right" w:pos="4678"/>
        </w:tabs>
        <w:ind w:right="113"/>
        <w:rPr>
          <w:sz w:val="18"/>
          <w:szCs w:val="18"/>
        </w:rPr>
      </w:pPr>
      <w:r w:rsidRPr="004857A6">
        <w:rPr>
          <w:color w:val="00B050"/>
        </w:rPr>
        <w:tab/>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sSubSup>
                  <m:sSubSupPr>
                    <m:ctrlPr>
                      <w:rPr>
                        <w:rFonts w:ascii="Cambria Math" w:hAnsi="Cambria Math" w:cs="Times New Roman"/>
                        <w:i/>
                        <w:sz w:val="18"/>
                        <w:szCs w:val="18"/>
                      </w:rPr>
                    </m:ctrlPr>
                  </m:sSubSupPr>
                  <m:e>
                    <m:r>
                      <w:rPr>
                        <w:rFonts w:ascii="Cambria Math" w:hAnsi="Cambria Math" w:cs="Times New Roman"/>
                        <w:sz w:val="18"/>
                        <w:szCs w:val="18"/>
                      </w:rPr>
                      <m:t>F</m:t>
                    </m:r>
                  </m:e>
                  <m:sub>
                    <m:r>
                      <w:rPr>
                        <w:rFonts w:ascii="Cambria Math" w:hAnsi="Cambria Math" w:cs="Times New Roman"/>
                        <w:sz w:val="18"/>
                        <w:szCs w:val="18"/>
                      </w:rPr>
                      <m:t>0</m:t>
                    </m:r>
                  </m:sub>
                  <m:sup>
                    <m:r>
                      <w:rPr>
                        <w:rFonts w:ascii="Cambria Math" w:hAnsi="Cambria Math" w:cs="Times New Roman"/>
                        <w:sz w:val="18"/>
                        <w:szCs w:val="18"/>
                      </w:rPr>
                      <m:t>f</m:t>
                    </m:r>
                  </m:sup>
                </m:sSub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m:t>
                    </m:r>
                    <m:d>
                      <m:dPr>
                        <m:ctrlPr>
                          <w:rPr>
                            <w:rFonts w:ascii="Cambria Math" w:hAnsi="Cambria Math" w:cs="Times New Roman"/>
                            <w:i/>
                            <w:sz w:val="18"/>
                            <w:szCs w:val="18"/>
                          </w:rPr>
                        </m:ctrlPr>
                      </m:dPr>
                      <m:e>
                        <m:r>
                          <w:rPr>
                            <w:rFonts w:ascii="Cambria Math" w:hAnsi="Cambria Math" w:cs="Times New Roman"/>
                            <w:sz w:val="18"/>
                            <w:szCs w:val="18"/>
                          </w:rPr>
                          <m:t>L-</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e>
                </m:rad>
              </m:e>
              <m:e>
                <m:sSubSup>
                  <m:sSubSupPr>
                    <m:ctrlPr>
                      <w:rPr>
                        <w:rFonts w:ascii="Cambria Math" w:hAnsi="Cambria Math" w:cs="Times New Roman"/>
                        <w:i/>
                        <w:sz w:val="18"/>
                        <w:szCs w:val="18"/>
                      </w:rPr>
                    </m:ctrlPr>
                  </m:sSubSupPr>
                  <m:e>
                    <m:r>
                      <w:rPr>
                        <w:rFonts w:ascii="Cambria Math" w:hAnsi="Cambria Math" w:cs="Times New Roman"/>
                        <w:sz w:val="18"/>
                        <w:szCs w:val="18"/>
                      </w:rPr>
                      <m:t>F</m:t>
                    </m:r>
                  </m:e>
                  <m:sub>
                    <m:r>
                      <w:rPr>
                        <w:rFonts w:ascii="Cambria Math" w:hAnsi="Cambria Math" w:cs="Times New Roman"/>
                        <w:sz w:val="18"/>
                        <w:szCs w:val="18"/>
                      </w:rPr>
                      <m:t>1</m:t>
                    </m:r>
                  </m:sub>
                  <m:sup>
                    <m:r>
                      <w:rPr>
                        <w:rFonts w:ascii="Cambria Math" w:hAnsi="Cambria Math" w:cs="Times New Roman"/>
                        <w:sz w:val="18"/>
                        <w:szCs w:val="18"/>
                      </w:rPr>
                      <m:t>f</m:t>
                    </m:r>
                  </m:sup>
                </m:sSubSup>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2</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e>
            </m:eqArr>
            <m:r>
              <w:rPr>
                <w:rFonts w:ascii="Cambria Math" w:hAnsi="Cambria Math" w:cs="Times New Roman"/>
                <w:sz w:val="18"/>
                <w:szCs w:val="18"/>
              </w:rPr>
              <m:t xml:space="preserve"> .</m:t>
            </m:r>
          </m:e>
        </m: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04580EC6" w14:textId="663CBEB1" w:rsidR="00487CA6" w:rsidRPr="00731E04" w:rsidRDefault="008F5534" w:rsidP="00B7490D">
      <w:pPr>
        <w:pStyle w:val="Bodytextfirst"/>
        <w:rPr>
          <w:sz w:val="20"/>
          <w:szCs w:val="20"/>
        </w:rPr>
      </w:pPr>
      <w:r w:rsidRPr="00731E04">
        <w:rPr>
          <w:sz w:val="20"/>
          <w:szCs w:val="20"/>
        </w:rPr>
        <w:t>From (7</w:t>
      </w:r>
      <w:r w:rsidR="00487CA6" w:rsidRPr="00731E04">
        <w:rPr>
          <w:sz w:val="20"/>
          <w:szCs w:val="20"/>
        </w:rPr>
        <w:t>)</w:t>
      </w:r>
      <w:r w:rsidR="00ED72FE">
        <w:rPr>
          <w:sz w:val="20"/>
          <w:szCs w:val="20"/>
        </w:rPr>
        <w:t>,</w:t>
      </w:r>
      <w:r w:rsidR="00487CA6" w:rsidRPr="00731E04">
        <w:rPr>
          <w:sz w:val="20"/>
          <w:szCs w:val="20"/>
        </w:rPr>
        <w:t xml:space="preserve"> we obtain residuals:</w:t>
      </w:r>
    </w:p>
    <w:p w14:paraId="60CC1629" w14:textId="0F7AE445" w:rsidR="00D316DD" w:rsidRPr="00E510D3" w:rsidRDefault="00D316DD" w:rsidP="00D316DD">
      <w:pPr>
        <w:pStyle w:val="equation0"/>
        <w:tabs>
          <w:tab w:val="clear" w:pos="5040"/>
          <w:tab w:val="right" w:pos="4678"/>
        </w:tabs>
        <w:ind w:right="113"/>
        <w:rPr>
          <w:sz w:val="18"/>
          <w:szCs w:val="18"/>
        </w:rPr>
      </w:pPr>
      <w:r w:rsidRPr="004857A6">
        <w:rPr>
          <w:color w:val="00B050"/>
        </w:rPr>
        <w:tab/>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1</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m:t>
                    </m:r>
                    <m:d>
                      <m:dPr>
                        <m:ctrlPr>
                          <w:rPr>
                            <w:rFonts w:ascii="Cambria Math" w:hAnsi="Cambria Math" w:cs="Times New Roman"/>
                            <w:i/>
                            <w:sz w:val="18"/>
                            <w:szCs w:val="18"/>
                          </w:rPr>
                        </m:ctrlPr>
                      </m:dPr>
                      <m:e>
                        <m:r>
                          <w:rPr>
                            <w:rFonts w:ascii="Cambria Math" w:hAnsi="Cambria Math" w:cs="Times New Roman"/>
                            <w:sz w:val="18"/>
                            <w:szCs w:val="18"/>
                          </w:rPr>
                          <m:t>L-</m:t>
                        </m:r>
                        <m:sSub>
                          <m:sSubPr>
                            <m:ctrlPr>
                              <w:rPr>
                                <w:rFonts w:ascii="Cambria Math" w:hAnsi="Cambria Math" w:cs="Times New Roman"/>
                                <w:i/>
                                <w:sz w:val="18"/>
                                <w:szCs w:val="18"/>
                              </w:rPr>
                            </m:ctrlPr>
                          </m:sSubPr>
                          <m:e>
                            <m:r>
                              <w:rPr>
                                <w:rFonts w:ascii="Cambria Math" w:hAnsi="Cambria Math" w:cs="Times New Roman"/>
                                <w:sz w:val="18"/>
                                <w:szCs w:val="18"/>
                              </w:rPr>
                              <m:t>L</m:t>
                            </m:r>
                          </m:e>
                          <m:sub>
                            <m:r>
                              <w:rPr>
                                <w:rFonts w:ascii="Cambria Math" w:hAnsi="Cambria Math" w:cs="Times New Roman"/>
                                <w:sz w:val="18"/>
                                <w:szCs w:val="18"/>
                              </w:rPr>
                              <m:t>l</m:t>
                            </m:r>
                          </m:sub>
                        </m:sSub>
                      </m:e>
                    </m:d>
                  </m:e>
                </m:rad>
              </m:e>
              <m:e>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2</m:t>
                    </m:r>
                  </m:sub>
                </m:sSub>
                <m:r>
                  <w:rPr>
                    <w:rFonts w:ascii="Cambria Math" w:hAnsi="Cambria Math" w:cs="Times New Roman"/>
                    <w:sz w:val="18"/>
                    <w:szCs w:val="18"/>
                  </w:rPr>
                  <m:t>αS</m:t>
                </m:r>
                <m:rad>
                  <m:radPr>
                    <m:degHide m:val="1"/>
                    <m:ctrlPr>
                      <w:rPr>
                        <w:rFonts w:ascii="Cambria Math" w:hAnsi="Cambria Math" w:cs="Times New Roman"/>
                        <w:i/>
                        <w:sz w:val="18"/>
                        <w:szCs w:val="18"/>
                      </w:rPr>
                    </m:ctrlPr>
                  </m:radPr>
                  <m:deg/>
                  <m:e>
                    <m:r>
                      <w:rPr>
                        <w:rFonts w:ascii="Cambria Math" w:hAnsi="Cambria Math" w:cs="Times New Roman"/>
                        <w:sz w:val="18"/>
                        <w:szCs w:val="18"/>
                      </w:rPr>
                      <m:t>2gL</m:t>
                    </m:r>
                  </m:e>
                </m:rad>
              </m:e>
            </m:eqArr>
          </m:e>
        </m:d>
        <m:r>
          <w:rPr>
            <w:rFonts w:ascii="Cambria Math" w:hAnsi="Cambria Math" w:cs="Times New Roman"/>
            <w:sz w:val="18"/>
            <w:szCs w:val="18"/>
          </w:rPr>
          <m:t xml:space="preserve">  .</m:t>
        </m:r>
      </m:oMath>
      <w:r w:rsidRPr="00E510D3">
        <w:rPr>
          <w:color w:val="00B050"/>
          <w:sz w:val="18"/>
          <w:szCs w:val="18"/>
        </w:rPr>
        <w:tab/>
      </w:r>
      <w:r w:rsidRPr="00E510D3">
        <w:rPr>
          <w:sz w:val="18"/>
          <w:szCs w:val="18"/>
        </w:rPr>
        <w:t></w:t>
      </w:r>
      <w:r>
        <w:rPr>
          <w:sz w:val="18"/>
          <w:szCs w:val="18"/>
        </w:rPr>
        <w:t></w:t>
      </w:r>
      <w:r w:rsidRPr="00E510D3">
        <w:rPr>
          <w:sz w:val="18"/>
          <w:szCs w:val="18"/>
        </w:rPr>
        <w:t></w:t>
      </w:r>
    </w:p>
    <w:p w14:paraId="14A16833" w14:textId="01DA6EF1" w:rsidR="008F5534" w:rsidRPr="00731E04" w:rsidRDefault="003F5C75" w:rsidP="00B7490D">
      <w:pPr>
        <w:pStyle w:val="Bodytextfirst"/>
        <w:rPr>
          <w:sz w:val="20"/>
          <w:szCs w:val="20"/>
        </w:rPr>
      </w:pPr>
      <w:r w:rsidRPr="003F5C75">
        <w:rPr>
          <w:sz w:val="20"/>
          <w:szCs w:val="20"/>
        </w:rPr>
        <w:t xml:space="preserve">As can be easily seen from (8), each residual is sensitive exclusively to one fault. </w:t>
      </w:r>
      <w:r w:rsidR="00ED72FE">
        <w:rPr>
          <w:sz w:val="20"/>
          <w:szCs w:val="20"/>
        </w:rPr>
        <w:t xml:space="preserve">It is promising </w:t>
      </w:r>
      <w:r w:rsidR="00AD14DE">
        <w:rPr>
          <w:sz w:val="20"/>
          <w:szCs w:val="20"/>
        </w:rPr>
        <w:t>to avoid</w:t>
      </w:r>
      <w:r w:rsidRPr="003F5C75">
        <w:rPr>
          <w:sz w:val="20"/>
          <w:szCs w:val="20"/>
        </w:rPr>
        <w:t xml:space="preserve"> the fault compensation effect at the expense of additional flowrate measurement instruments. The added value, in this case, is that the double fault is easily isolable. In the case of double fault, both residuals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3F5C75">
        <w:rPr>
          <w:sz w:val="20"/>
          <w:szCs w:val="20"/>
        </w:rPr>
        <w:t xml:space="preserve"> </w:t>
      </w:r>
      <w:proofErr w:type="gramStart"/>
      <w:r w:rsidRPr="003F5C75">
        <w:rPr>
          <w:sz w:val="20"/>
          <w:szCs w:val="20"/>
        </w:rPr>
        <w:t xml:space="preserve">and </w:t>
      </w:r>
      <w:proofErr w:type="gramEnd"/>
      <m:oMath>
        <m:sSub>
          <m:sSubPr>
            <m:ctrlPr>
              <w:rPr>
                <w:rFonts w:ascii="Cambria Math" w:hAnsi="Cambria Math"/>
                <w:i/>
              </w:rPr>
            </m:ctrlPr>
          </m:sSubPr>
          <m:e>
            <m:r>
              <w:rPr>
                <w:rFonts w:ascii="Cambria Math" w:hAnsi="Cambria Math"/>
              </w:rPr>
              <m:t>r</m:t>
            </m:r>
          </m:e>
          <m:sub>
            <m:r>
              <w:rPr>
                <w:rFonts w:ascii="Cambria Math" w:hAnsi="Cambria Math"/>
              </w:rPr>
              <m:t>2</m:t>
            </m:r>
          </m:sub>
        </m:sSub>
      </m:oMath>
      <w:r w:rsidRPr="003F5C75">
        <w:rPr>
          <w:sz w:val="20"/>
          <w:szCs w:val="20"/>
        </w:rPr>
        <w:t xml:space="preserve">) have non zero values and opposite signs. </w:t>
      </w:r>
      <w:r w:rsidR="00ED72FE">
        <w:rPr>
          <w:sz w:val="20"/>
          <w:szCs w:val="20"/>
        </w:rPr>
        <w:t xml:space="preserve">Therefore, </w:t>
      </w:r>
      <w:r w:rsidR="00AD14DE">
        <w:rPr>
          <w:sz w:val="20"/>
          <w:szCs w:val="20"/>
        </w:rPr>
        <w:t>this feature</w:t>
      </w:r>
      <w:r w:rsidRPr="003F5C75">
        <w:rPr>
          <w:sz w:val="20"/>
          <w:szCs w:val="20"/>
        </w:rPr>
        <w:t xml:space="preserve"> enforces significantly fault </w:t>
      </w:r>
      <w:proofErr w:type="spellStart"/>
      <w:r w:rsidRPr="003F5C75">
        <w:rPr>
          <w:sz w:val="20"/>
          <w:szCs w:val="20"/>
        </w:rPr>
        <w:t>isola</w:t>
      </w:r>
      <w:r w:rsidR="00AD14DE">
        <w:rPr>
          <w:sz w:val="20"/>
          <w:szCs w:val="20"/>
        </w:rPr>
        <w:t>bility</w:t>
      </w:r>
      <w:proofErr w:type="spellEnd"/>
      <w:r w:rsidR="00AD14DE">
        <w:rPr>
          <w:sz w:val="20"/>
          <w:szCs w:val="20"/>
        </w:rPr>
        <w:t xml:space="preserve"> property</w:t>
      </w:r>
      <w:r w:rsidRPr="003F5C75">
        <w:rPr>
          <w:sz w:val="20"/>
          <w:szCs w:val="20"/>
        </w:rPr>
        <w:t>.</w:t>
      </w:r>
    </w:p>
    <w:p w14:paraId="56C2E0FB" w14:textId="00E36456" w:rsidR="00D316DD" w:rsidRPr="00731E04" w:rsidRDefault="00D316DD" w:rsidP="00D316DD">
      <w:pPr>
        <w:pStyle w:val="Sectionheading"/>
        <w:rPr>
          <w:rFonts w:cs="Times New Roman"/>
          <w:szCs w:val="20"/>
        </w:rPr>
      </w:pPr>
      <w:r>
        <w:rPr>
          <w:rFonts w:cs="Times New Roman"/>
          <w:szCs w:val="20"/>
        </w:rPr>
        <w:t>Fault Isolation</w:t>
      </w:r>
    </w:p>
    <w:p w14:paraId="2335FC6D" w14:textId="175EE367" w:rsidR="00D512D0" w:rsidRPr="00731E04" w:rsidRDefault="003F5C75" w:rsidP="00DB43F2">
      <w:pPr>
        <w:widowControl/>
        <w:suppressAutoHyphens w:val="0"/>
        <w:autoSpaceDE w:val="0"/>
        <w:autoSpaceDN w:val="0"/>
        <w:adjustRightInd w:val="0"/>
        <w:jc w:val="both"/>
        <w:rPr>
          <w:rFonts w:cs="Times New Roman"/>
          <w:kern w:val="0"/>
          <w:sz w:val="20"/>
          <w:szCs w:val="20"/>
          <w:lang w:val="en-US"/>
        </w:rPr>
      </w:pPr>
      <w:r w:rsidRPr="003F5C75">
        <w:rPr>
          <w:rFonts w:cs="Times New Roman"/>
          <w:kern w:val="0"/>
          <w:sz w:val="20"/>
          <w:szCs w:val="20"/>
          <w:lang w:val="en-US"/>
        </w:rPr>
        <w:t xml:space="preserve">The primary aim of fault isolation is to indicate the faults that occurred in the process. This phase is frequently called as diagnosing. Diagnosing requires </w:t>
      </w:r>
      <w:proofErr w:type="gramStart"/>
      <w:r w:rsidRPr="003F5C75">
        <w:rPr>
          <w:rFonts w:cs="Times New Roman"/>
          <w:kern w:val="0"/>
          <w:sz w:val="20"/>
          <w:szCs w:val="20"/>
          <w:lang w:val="en-US"/>
        </w:rPr>
        <w:t>a knowledge</w:t>
      </w:r>
      <w:proofErr w:type="gramEnd"/>
      <w:r w:rsidRPr="003F5C75">
        <w:rPr>
          <w:rFonts w:cs="Times New Roman"/>
          <w:kern w:val="0"/>
          <w:sz w:val="20"/>
          <w:szCs w:val="20"/>
          <w:lang w:val="en-US"/>
        </w:rPr>
        <w:t xml:space="preserve"> of the relation between the faults and residuals. This relation may be </w:t>
      </w:r>
      <w:r w:rsidR="00ED72FE">
        <w:rPr>
          <w:rFonts w:cs="Times New Roman"/>
          <w:kern w:val="0"/>
          <w:sz w:val="20"/>
          <w:szCs w:val="20"/>
          <w:lang w:val="en-US"/>
        </w:rPr>
        <w:t>precise</w:t>
      </w:r>
      <w:r w:rsidRPr="003F5C75">
        <w:rPr>
          <w:rFonts w:cs="Times New Roman"/>
          <w:kern w:val="0"/>
          <w:sz w:val="20"/>
          <w:szCs w:val="20"/>
          <w:lang w:val="en-US"/>
        </w:rPr>
        <w:t xml:space="preserve">ly known in the case of the application of analytical </w:t>
      </w:r>
      <w:r w:rsidR="00AD14DE">
        <w:rPr>
          <w:rFonts w:cs="Times New Roman"/>
          <w:kern w:val="0"/>
          <w:sz w:val="20"/>
          <w:szCs w:val="20"/>
          <w:lang w:val="en-US"/>
        </w:rPr>
        <w:t xml:space="preserve">phenomenological </w:t>
      </w:r>
      <w:r w:rsidRPr="003F5C75">
        <w:rPr>
          <w:rFonts w:cs="Times New Roman"/>
          <w:kern w:val="0"/>
          <w:sz w:val="20"/>
          <w:szCs w:val="20"/>
          <w:lang w:val="en-US"/>
        </w:rPr>
        <w:t>models</w:t>
      </w:r>
      <w:r w:rsidR="00ED72FE">
        <w:rPr>
          <w:rFonts w:cs="Times New Roman"/>
          <w:kern w:val="0"/>
          <w:sz w:val="20"/>
          <w:szCs w:val="20"/>
          <w:lang w:val="en-US"/>
        </w:rPr>
        <w:t>,</w:t>
      </w:r>
      <w:r w:rsidRPr="003F5C75">
        <w:rPr>
          <w:rFonts w:cs="Times New Roman"/>
          <w:kern w:val="0"/>
          <w:sz w:val="20"/>
          <w:szCs w:val="20"/>
          <w:lang w:val="en-US"/>
        </w:rPr>
        <w:t xml:space="preserve"> for example</w:t>
      </w:r>
      <w:r w:rsidR="00ED72FE">
        <w:rPr>
          <w:rFonts w:cs="Times New Roman"/>
          <w:kern w:val="0"/>
          <w:sz w:val="20"/>
          <w:szCs w:val="20"/>
          <w:lang w:val="en-US"/>
        </w:rPr>
        <w:t>,</w:t>
      </w:r>
      <w:r w:rsidRPr="003F5C75">
        <w:rPr>
          <w:rFonts w:cs="Times New Roman"/>
          <w:kern w:val="0"/>
          <w:sz w:val="20"/>
          <w:szCs w:val="20"/>
          <w:lang w:val="en-US"/>
        </w:rPr>
        <w:t xml:space="preserve"> in the form </w:t>
      </w:r>
      <w:proofErr w:type="gramStart"/>
      <w:r w:rsidRPr="003F5C75">
        <w:rPr>
          <w:rFonts w:cs="Times New Roman"/>
          <w:kern w:val="0"/>
          <w:sz w:val="20"/>
          <w:szCs w:val="20"/>
          <w:lang w:val="en-US"/>
        </w:rPr>
        <w:t xml:space="preserve">of  </w:t>
      </w:r>
      <w:proofErr w:type="spellStart"/>
      <w:r w:rsidRPr="003F5C75">
        <w:rPr>
          <w:rFonts w:cs="Times New Roman"/>
          <w:kern w:val="0"/>
          <w:sz w:val="20"/>
          <w:szCs w:val="20"/>
          <w:lang w:val="en-US"/>
        </w:rPr>
        <w:t>Eqs</w:t>
      </w:r>
      <w:proofErr w:type="spellEnd"/>
      <w:proofErr w:type="gramEnd"/>
      <w:r w:rsidRPr="003F5C75">
        <w:rPr>
          <w:rFonts w:cs="Times New Roman"/>
          <w:kern w:val="0"/>
          <w:sz w:val="20"/>
          <w:szCs w:val="20"/>
          <w:lang w:val="en-US"/>
        </w:rPr>
        <w:t>. (3) and (8).  If the analytical models are not known, for example, the GP graphs of the processes [7] may be helpful.  The GP graph represents the cause-and-effect</w:t>
      </w:r>
      <w:r w:rsidR="00AD14DE">
        <w:rPr>
          <w:rFonts w:cs="Times New Roman"/>
          <w:kern w:val="0"/>
          <w:sz w:val="20"/>
          <w:szCs w:val="20"/>
          <w:lang w:val="en-US"/>
        </w:rPr>
        <w:t xml:space="preserve"> relations in</w:t>
      </w:r>
      <w:r w:rsidRPr="003F5C75">
        <w:rPr>
          <w:rFonts w:cs="Times New Roman"/>
          <w:kern w:val="0"/>
          <w:sz w:val="20"/>
          <w:szCs w:val="20"/>
          <w:lang w:val="en-US"/>
        </w:rPr>
        <w:t xml:space="preserve"> the process</w:t>
      </w:r>
      <w:r w:rsidR="00ED72FE">
        <w:rPr>
          <w:rFonts w:cs="Times New Roman"/>
          <w:kern w:val="0"/>
          <w:sz w:val="20"/>
          <w:szCs w:val="20"/>
          <w:lang w:val="en-US"/>
        </w:rPr>
        <w:t>,</w:t>
      </w:r>
      <w:r w:rsidRPr="003F5C75">
        <w:rPr>
          <w:rFonts w:cs="Times New Roman"/>
          <w:kern w:val="0"/>
          <w:sz w:val="20"/>
          <w:szCs w:val="20"/>
          <w:lang w:val="en-US"/>
        </w:rPr>
        <w:t xml:space="preserve"> combined with </w:t>
      </w:r>
      <w:r w:rsidR="00AD14DE">
        <w:rPr>
          <w:rFonts w:cs="Times New Roman"/>
          <w:kern w:val="0"/>
          <w:sz w:val="20"/>
          <w:szCs w:val="20"/>
          <w:lang w:val="en-US"/>
        </w:rPr>
        <w:t>the visual</w:t>
      </w:r>
      <w:r w:rsidR="00AD14DE">
        <w:rPr>
          <w:rFonts w:cs="Times New Roman"/>
          <w:kern w:val="0"/>
          <w:sz w:val="20"/>
          <w:szCs w:val="20"/>
          <w:lang w:val="en-US"/>
        </w:rPr>
        <w:t>i</w:t>
      </w:r>
      <w:r w:rsidR="007D4EB0">
        <w:rPr>
          <w:rFonts w:cs="Times New Roman"/>
          <w:kern w:val="0"/>
          <w:sz w:val="20"/>
          <w:szCs w:val="20"/>
          <w:lang w:val="en-US"/>
        </w:rPr>
        <w:t>z</w:t>
      </w:r>
      <w:r w:rsidR="00AD14DE">
        <w:rPr>
          <w:rFonts w:cs="Times New Roman"/>
          <w:kern w:val="0"/>
          <w:sz w:val="20"/>
          <w:szCs w:val="20"/>
          <w:lang w:val="en-US"/>
        </w:rPr>
        <w:t xml:space="preserve">ation of </w:t>
      </w:r>
      <w:r w:rsidRPr="003F5C75">
        <w:rPr>
          <w:rFonts w:cs="Times New Roman"/>
          <w:kern w:val="0"/>
          <w:sz w:val="20"/>
          <w:szCs w:val="20"/>
          <w:lang w:val="en-US"/>
        </w:rPr>
        <w:t>the qua</w:t>
      </w:r>
      <w:r w:rsidR="00AD14DE">
        <w:rPr>
          <w:rFonts w:cs="Times New Roman"/>
          <w:kern w:val="0"/>
          <w:sz w:val="20"/>
          <w:szCs w:val="20"/>
          <w:lang w:val="en-US"/>
        </w:rPr>
        <w:t>li</w:t>
      </w:r>
      <w:r w:rsidRPr="003F5C75">
        <w:rPr>
          <w:rFonts w:cs="Times New Roman"/>
          <w:kern w:val="0"/>
          <w:sz w:val="20"/>
          <w:szCs w:val="20"/>
          <w:lang w:val="en-US"/>
        </w:rPr>
        <w:t xml:space="preserve">tative impact of faults on the values of process variables. Fig. 3 depicts the GP graph for the process shown in Fig. 2. This graph applies to Eq. (3) </w:t>
      </w:r>
      <w:r w:rsidR="00083B9A" w:rsidRPr="00731E04">
        <w:rPr>
          <w:rFonts w:cs="Times New Roman"/>
          <w:kern w:val="0"/>
          <w:sz w:val="20"/>
          <w:szCs w:val="20"/>
          <w:lang w:val="en-US"/>
        </w:rPr>
        <w:t xml:space="preserve">and </w:t>
      </w:r>
      <w:r w:rsidR="00083B9A" w:rsidRPr="00731E04">
        <w:rPr>
          <w:rFonts w:cs="Times New Roman"/>
          <w:kern w:val="0"/>
          <w:sz w:val="20"/>
          <w:szCs w:val="20"/>
          <w:lang w:val="en-US"/>
        </w:rPr>
        <w:lastRenderedPageBreak/>
        <w:t xml:space="preserve">refers to </w:t>
      </w:r>
      <w:r>
        <w:rPr>
          <w:rFonts w:cs="Times New Roman"/>
          <w:kern w:val="0"/>
          <w:sz w:val="20"/>
          <w:szCs w:val="20"/>
          <w:lang w:val="en-US"/>
        </w:rPr>
        <w:t xml:space="preserve">a </w:t>
      </w:r>
      <w:r w:rsidR="00083B9A" w:rsidRPr="00731E04">
        <w:rPr>
          <w:rFonts w:cs="Times New Roman"/>
          <w:kern w:val="0"/>
          <w:sz w:val="20"/>
          <w:szCs w:val="20"/>
          <w:lang w:val="en-US"/>
        </w:rPr>
        <w:t>situation where flowrate</w:t>
      </w:r>
      <w:r w:rsidR="00AD14DE">
        <w:rPr>
          <w:rFonts w:cs="Times New Roman"/>
          <w:kern w:val="0"/>
          <w:sz w:val="20"/>
          <w:szCs w:val="20"/>
          <w:lang w:val="en-US"/>
        </w:rPr>
        <w:t>s</w:t>
      </w:r>
      <w:r w:rsidR="0002113A">
        <w:rPr>
          <w:rFonts w:cs="Times New Roman"/>
          <w:kern w:val="0"/>
          <w:sz w:val="20"/>
          <w:szCs w:val="20"/>
          <w:lang w:val="en-US"/>
        </w:rPr>
        <w:t xml:space="preserve"> </w:t>
      </w:r>
      <w:r w:rsidR="0002113A" w:rsidRPr="00731E04">
        <w:rPr>
          <w:rFonts w:cs="Times New Roman"/>
          <w:i/>
          <w:kern w:val="0"/>
          <w:sz w:val="20"/>
          <w:szCs w:val="20"/>
          <w:lang w:val="en-US"/>
        </w:rPr>
        <w:t>F</w:t>
      </w:r>
      <w:r w:rsidR="0002113A">
        <w:rPr>
          <w:rFonts w:cs="Times New Roman"/>
          <w:i/>
          <w:kern w:val="0"/>
          <w:sz w:val="20"/>
          <w:szCs w:val="20"/>
          <w:vertAlign w:val="subscript"/>
          <w:lang w:val="en-US"/>
        </w:rPr>
        <w:t>0</w:t>
      </w:r>
      <w:r w:rsidR="00083B9A" w:rsidRPr="00731E04">
        <w:rPr>
          <w:rFonts w:cs="Times New Roman"/>
          <w:kern w:val="0"/>
          <w:sz w:val="20"/>
          <w:szCs w:val="20"/>
          <w:lang w:val="en-US"/>
        </w:rPr>
        <w:t xml:space="preserve"> </w:t>
      </w:r>
      <w:r w:rsidR="0002113A">
        <w:rPr>
          <w:rFonts w:cs="Times New Roman"/>
          <w:kern w:val="0"/>
          <w:sz w:val="20"/>
          <w:szCs w:val="20"/>
          <w:lang w:val="en-US"/>
        </w:rPr>
        <w:t xml:space="preserve">and </w:t>
      </w:r>
      <w:r w:rsidR="00083B9A" w:rsidRPr="00731E04">
        <w:rPr>
          <w:rFonts w:cs="Times New Roman"/>
          <w:i/>
          <w:kern w:val="0"/>
          <w:sz w:val="20"/>
          <w:szCs w:val="20"/>
          <w:lang w:val="en-US"/>
        </w:rPr>
        <w:t>F</w:t>
      </w:r>
      <w:r w:rsidR="00083B9A" w:rsidRPr="00731E04">
        <w:rPr>
          <w:rFonts w:cs="Times New Roman"/>
          <w:i/>
          <w:kern w:val="0"/>
          <w:sz w:val="20"/>
          <w:szCs w:val="20"/>
          <w:vertAlign w:val="subscript"/>
          <w:lang w:val="en-US"/>
        </w:rPr>
        <w:t>1</w:t>
      </w:r>
      <w:r w:rsidR="00083B9A" w:rsidRPr="00731E04">
        <w:rPr>
          <w:rFonts w:cs="Times New Roman"/>
          <w:kern w:val="0"/>
          <w:sz w:val="20"/>
          <w:szCs w:val="20"/>
          <w:lang w:val="en-US"/>
        </w:rPr>
        <w:t xml:space="preserve"> </w:t>
      </w:r>
      <w:r w:rsidR="0002113A">
        <w:rPr>
          <w:rFonts w:cs="Times New Roman"/>
          <w:kern w:val="0"/>
          <w:sz w:val="20"/>
          <w:szCs w:val="20"/>
          <w:lang w:val="en-US"/>
        </w:rPr>
        <w:t>are</w:t>
      </w:r>
      <w:r w:rsidR="00083B9A" w:rsidRPr="00731E04">
        <w:rPr>
          <w:rFonts w:cs="Times New Roman"/>
          <w:kern w:val="0"/>
          <w:sz w:val="20"/>
          <w:szCs w:val="20"/>
          <w:lang w:val="en-US"/>
        </w:rPr>
        <w:t xml:space="preserve"> not available. </w:t>
      </w:r>
    </w:p>
    <w:p w14:paraId="68C67942" w14:textId="443A66BD" w:rsidR="00DB43F2" w:rsidRPr="00731E04" w:rsidRDefault="005A0AC3" w:rsidP="0058587C">
      <w:pPr>
        <w:widowControl/>
        <w:suppressAutoHyphens w:val="0"/>
        <w:autoSpaceDE w:val="0"/>
        <w:autoSpaceDN w:val="0"/>
        <w:adjustRightInd w:val="0"/>
        <w:jc w:val="center"/>
        <w:rPr>
          <w:rFonts w:cs="Times New Roman"/>
          <w:kern w:val="0"/>
          <w:sz w:val="20"/>
          <w:szCs w:val="20"/>
          <w:lang w:val="en-US"/>
        </w:rPr>
      </w:pPr>
      <w:r w:rsidRPr="00731E04">
        <w:rPr>
          <w:rFonts w:cs="Times New Roman"/>
          <w:noProof/>
          <w:kern w:val="0"/>
          <w:sz w:val="20"/>
          <w:szCs w:val="20"/>
          <w:lang w:val="pl-PL" w:eastAsia="pl-PL" w:bidi="ar-SA"/>
        </w:rPr>
        <w:drawing>
          <wp:inline distT="0" distB="0" distL="0" distR="0" wp14:anchorId="5399BCC1" wp14:editId="589B0CA8">
            <wp:extent cx="936000" cy="1166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6000" cy="1166400"/>
                    </a:xfrm>
                    <a:prstGeom prst="rect">
                      <a:avLst/>
                    </a:prstGeom>
                  </pic:spPr>
                </pic:pic>
              </a:graphicData>
            </a:graphic>
          </wp:inline>
        </w:drawing>
      </w:r>
    </w:p>
    <w:p w14:paraId="28F0D77E" w14:textId="3D6BAC2D" w:rsidR="00D512D0" w:rsidRPr="00731E04" w:rsidRDefault="00D512D0" w:rsidP="00D512D0">
      <w:pPr>
        <w:widowControl/>
        <w:suppressAutoHyphens w:val="0"/>
        <w:autoSpaceDE w:val="0"/>
        <w:autoSpaceDN w:val="0"/>
        <w:adjustRightInd w:val="0"/>
        <w:jc w:val="center"/>
        <w:rPr>
          <w:rFonts w:cs="Times New Roman"/>
          <w:i/>
          <w:iCs/>
          <w:sz w:val="20"/>
          <w:szCs w:val="20"/>
          <w:lang w:val="en-US"/>
        </w:rPr>
      </w:pPr>
      <w:proofErr w:type="gramStart"/>
      <w:r w:rsidRPr="00BF032C">
        <w:rPr>
          <w:rFonts w:cs="Times New Roman"/>
          <w:i/>
          <w:iCs/>
          <w:sz w:val="18"/>
          <w:szCs w:val="18"/>
          <w:lang w:val="en-US"/>
        </w:rPr>
        <w:t>Fig. 3.</w:t>
      </w:r>
      <w:proofErr w:type="gramEnd"/>
      <w:r w:rsidRPr="00BF032C">
        <w:rPr>
          <w:rFonts w:cs="Times New Roman"/>
          <w:i/>
          <w:iCs/>
          <w:sz w:val="18"/>
          <w:szCs w:val="18"/>
          <w:lang w:val="en-US"/>
        </w:rPr>
        <w:t xml:space="preserve"> The GP graph</w:t>
      </w:r>
      <w:r w:rsidR="00ED72FE">
        <w:rPr>
          <w:rFonts w:cs="Times New Roman"/>
          <w:i/>
          <w:iCs/>
          <w:sz w:val="18"/>
          <w:szCs w:val="18"/>
          <w:lang w:val="en-US"/>
        </w:rPr>
        <w:t xml:space="preserve"> is</w:t>
      </w:r>
      <w:r w:rsidRPr="00BF032C">
        <w:rPr>
          <w:rFonts w:cs="Times New Roman"/>
          <w:i/>
          <w:iCs/>
          <w:sz w:val="18"/>
          <w:szCs w:val="18"/>
          <w:lang w:val="en-US"/>
        </w:rPr>
        <w:t xml:space="preserve"> reflecting the qualitative impact of faults on the </w:t>
      </w:r>
      <w:r w:rsidR="005A0AC3" w:rsidRPr="00BF032C">
        <w:rPr>
          <w:rFonts w:cs="Times New Roman"/>
          <w:i/>
          <w:iCs/>
          <w:sz w:val="18"/>
          <w:szCs w:val="18"/>
          <w:lang w:val="en-US"/>
        </w:rPr>
        <w:t>values of process variables.</w:t>
      </w:r>
      <w:r w:rsidR="00083B9A" w:rsidRPr="00BF032C">
        <w:rPr>
          <w:rFonts w:cs="Times New Roman"/>
          <w:i/>
          <w:iCs/>
          <w:sz w:val="18"/>
          <w:szCs w:val="18"/>
          <w:lang w:val="en-US"/>
        </w:rPr>
        <w:t xml:space="preserve"> </w:t>
      </w:r>
      <w:r w:rsidR="00ED72FE">
        <w:rPr>
          <w:rFonts w:cs="Times New Roman"/>
          <w:i/>
          <w:iCs/>
          <w:sz w:val="18"/>
          <w:szCs w:val="18"/>
          <w:lang w:val="en-US"/>
        </w:rPr>
        <w:t>A c</w:t>
      </w:r>
      <w:r w:rsidR="00083B9A" w:rsidRPr="00BF032C">
        <w:rPr>
          <w:rFonts w:cs="Times New Roman"/>
          <w:i/>
          <w:iCs/>
          <w:sz w:val="18"/>
          <w:szCs w:val="18"/>
          <w:lang w:val="en-US"/>
        </w:rPr>
        <w:t xml:space="preserve">ircle colored in yellow depicts </w:t>
      </w:r>
      <w:r w:rsidR="003F5C75">
        <w:rPr>
          <w:rFonts w:cs="Times New Roman"/>
          <w:i/>
          <w:iCs/>
          <w:sz w:val="18"/>
          <w:szCs w:val="18"/>
          <w:lang w:val="en-US"/>
        </w:rPr>
        <w:t xml:space="preserve">the </w:t>
      </w:r>
      <w:r w:rsidR="00083B9A" w:rsidRPr="00BF032C">
        <w:rPr>
          <w:rFonts w:cs="Times New Roman"/>
          <w:i/>
          <w:iCs/>
          <w:sz w:val="18"/>
          <w:szCs w:val="18"/>
          <w:lang w:val="en-US"/>
        </w:rPr>
        <w:t>available measurement</w:t>
      </w:r>
      <w:r w:rsidR="00083B9A" w:rsidRPr="00731E04">
        <w:rPr>
          <w:rFonts w:cs="Times New Roman"/>
          <w:i/>
          <w:iCs/>
          <w:sz w:val="20"/>
          <w:szCs w:val="20"/>
          <w:lang w:val="en-US"/>
        </w:rPr>
        <w:t>.</w:t>
      </w:r>
      <w:r w:rsidR="005A0AC3" w:rsidRPr="00731E04">
        <w:rPr>
          <w:rFonts w:cs="Times New Roman"/>
          <w:i/>
          <w:iCs/>
          <w:sz w:val="20"/>
          <w:szCs w:val="20"/>
          <w:lang w:val="en-US"/>
        </w:rPr>
        <w:t xml:space="preserve"> </w:t>
      </w:r>
    </w:p>
    <w:p w14:paraId="48CD2EF5" w14:textId="52CF450E" w:rsidR="001A1B86" w:rsidRPr="00731E04" w:rsidRDefault="001A1B86" w:rsidP="00B7490D">
      <w:pPr>
        <w:pStyle w:val="Bodytextfirst"/>
        <w:rPr>
          <w:sz w:val="20"/>
          <w:szCs w:val="20"/>
        </w:rPr>
      </w:pPr>
    </w:p>
    <w:p w14:paraId="1364DCC8" w14:textId="77777777" w:rsidR="003F5C75" w:rsidRPr="003F5C75" w:rsidRDefault="003F5C75" w:rsidP="003F5C75">
      <w:pPr>
        <w:pStyle w:val="Bodytextfirst"/>
        <w:rPr>
          <w:sz w:val="20"/>
          <w:szCs w:val="20"/>
        </w:rPr>
      </w:pPr>
      <w:r w:rsidRPr="003F5C75">
        <w:rPr>
          <w:sz w:val="20"/>
          <w:szCs w:val="20"/>
        </w:rPr>
        <w:t xml:space="preserve">From this graph, it is clear to see that both faults influence bi-directionally on the liquid level. Therefore, both faults may mutually compensate for their impacts. Hence: </w:t>
      </w:r>
    </w:p>
    <w:p w14:paraId="26A28067" w14:textId="77777777" w:rsidR="003F5C75" w:rsidRPr="003F5C75" w:rsidRDefault="003F5C75" w:rsidP="003F5C75">
      <w:pPr>
        <w:pStyle w:val="Bodytextfirst"/>
        <w:rPr>
          <w:i/>
          <w:sz w:val="20"/>
          <w:szCs w:val="20"/>
        </w:rPr>
      </w:pPr>
      <w:proofErr w:type="gramStart"/>
      <w:r w:rsidRPr="003F5C75">
        <w:rPr>
          <w:b/>
          <w:sz w:val="20"/>
          <w:szCs w:val="20"/>
        </w:rPr>
        <w:t>Conclusion 3.</w:t>
      </w:r>
      <w:proofErr w:type="gramEnd"/>
      <w:r w:rsidRPr="003F5C75">
        <w:rPr>
          <w:sz w:val="20"/>
          <w:szCs w:val="20"/>
        </w:rPr>
        <w:t xml:space="preserve"> </w:t>
      </w:r>
      <w:r w:rsidRPr="003F5C75">
        <w:rPr>
          <w:i/>
          <w:sz w:val="20"/>
          <w:szCs w:val="20"/>
        </w:rPr>
        <w:t xml:space="preserve">The fault compensation effect is immediately detectable from the directed graph of the process. </w:t>
      </w:r>
    </w:p>
    <w:p w14:paraId="4324A524" w14:textId="77777777" w:rsidR="003F5C75" w:rsidRPr="003F5C75" w:rsidRDefault="003F5C75" w:rsidP="003F5C75">
      <w:pPr>
        <w:pStyle w:val="Bodytextfirst"/>
        <w:rPr>
          <w:sz w:val="20"/>
          <w:szCs w:val="20"/>
        </w:rPr>
      </w:pPr>
    </w:p>
    <w:p w14:paraId="50E4663A" w14:textId="2E46A2E3" w:rsidR="005A0AC3" w:rsidRPr="00731E04" w:rsidRDefault="003F5C75" w:rsidP="003F5C75">
      <w:pPr>
        <w:pStyle w:val="Bodytextfirst"/>
        <w:rPr>
          <w:sz w:val="20"/>
          <w:szCs w:val="20"/>
        </w:rPr>
      </w:pPr>
      <w:r w:rsidRPr="003F5C75">
        <w:rPr>
          <w:sz w:val="20"/>
          <w:szCs w:val="20"/>
        </w:rPr>
        <w:t>On the other hand, if we apply Eq. (8)</w:t>
      </w:r>
      <w:r w:rsidR="007D4EB0">
        <w:rPr>
          <w:sz w:val="20"/>
          <w:szCs w:val="20"/>
        </w:rPr>
        <w:t>,</w:t>
      </w:r>
      <w:r w:rsidRPr="003F5C75">
        <w:rPr>
          <w:sz w:val="20"/>
          <w:szCs w:val="20"/>
        </w:rPr>
        <w:t xml:space="preserve"> then the GP graph will take shape presented in Fig. 4.</w:t>
      </w:r>
    </w:p>
    <w:p w14:paraId="07704197" w14:textId="13F0D9FD" w:rsidR="005A0AC3" w:rsidRPr="00731E04" w:rsidRDefault="005A0AC3" w:rsidP="002D1AB4">
      <w:pPr>
        <w:pStyle w:val="Bodytextfirst"/>
        <w:jc w:val="center"/>
        <w:rPr>
          <w:sz w:val="20"/>
          <w:szCs w:val="20"/>
        </w:rPr>
      </w:pPr>
      <w:r w:rsidRPr="00731E04">
        <w:rPr>
          <w:noProof/>
          <w:sz w:val="20"/>
          <w:szCs w:val="20"/>
          <w:lang w:val="pl-PL" w:eastAsia="pl-PL" w:bidi="ar-SA"/>
        </w:rPr>
        <w:drawing>
          <wp:inline distT="0" distB="0" distL="0" distR="0" wp14:anchorId="10C29BC0" wp14:editId="4F41771A">
            <wp:extent cx="936000" cy="1119600"/>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6000" cy="1119600"/>
                    </a:xfrm>
                    <a:prstGeom prst="rect">
                      <a:avLst/>
                    </a:prstGeom>
                  </pic:spPr>
                </pic:pic>
              </a:graphicData>
            </a:graphic>
          </wp:inline>
        </w:drawing>
      </w:r>
    </w:p>
    <w:p w14:paraId="6DA6631B" w14:textId="66B901E7" w:rsidR="005A0AC3" w:rsidRPr="00731E04" w:rsidRDefault="00A23459" w:rsidP="00DA30B3">
      <w:pPr>
        <w:pStyle w:val="Bodytextfirst"/>
        <w:jc w:val="center"/>
        <w:rPr>
          <w:sz w:val="20"/>
          <w:szCs w:val="20"/>
        </w:rPr>
      </w:pPr>
      <w:proofErr w:type="gramStart"/>
      <w:r w:rsidRPr="00DA30B3">
        <w:rPr>
          <w:i/>
        </w:rPr>
        <w:t>Fig. 4</w:t>
      </w:r>
      <w:r w:rsidR="005A0AC3" w:rsidRPr="00DA30B3">
        <w:rPr>
          <w:i/>
        </w:rPr>
        <w:t>.</w:t>
      </w:r>
      <w:proofErr w:type="gramEnd"/>
      <w:r w:rsidR="005A0AC3" w:rsidRPr="00DA30B3">
        <w:rPr>
          <w:i/>
        </w:rPr>
        <w:t xml:space="preserve"> The GP graph</w:t>
      </w:r>
      <w:r w:rsidR="00ED72FE">
        <w:rPr>
          <w:i/>
        </w:rPr>
        <w:t xml:space="preserve"> is</w:t>
      </w:r>
      <w:r w:rsidR="005A0AC3" w:rsidRPr="00DA30B3">
        <w:rPr>
          <w:i/>
        </w:rPr>
        <w:t xml:space="preserve"> reflecting the </w:t>
      </w:r>
      <w:r w:rsidR="002D1AB4">
        <w:rPr>
          <w:i/>
        </w:rPr>
        <w:t>additional measurement F</w:t>
      </w:r>
      <w:r w:rsidR="002D1AB4" w:rsidRPr="002D1AB4">
        <w:rPr>
          <w:i/>
          <w:vertAlign w:val="subscript"/>
        </w:rPr>
        <w:t>1</w:t>
      </w:r>
      <w:r w:rsidR="005A0AC3" w:rsidRPr="00731E04">
        <w:rPr>
          <w:sz w:val="20"/>
          <w:szCs w:val="20"/>
        </w:rPr>
        <w:t>.</w:t>
      </w:r>
    </w:p>
    <w:p w14:paraId="5409E8F0" w14:textId="77777777" w:rsidR="002D1AB4" w:rsidRDefault="002D1AB4" w:rsidP="00B7490D">
      <w:pPr>
        <w:pStyle w:val="Bodytextfirst"/>
        <w:rPr>
          <w:sz w:val="20"/>
          <w:szCs w:val="20"/>
        </w:rPr>
      </w:pPr>
    </w:p>
    <w:p w14:paraId="68784A37" w14:textId="7CA7BD1E" w:rsidR="003F5C75" w:rsidRPr="003F5C75" w:rsidRDefault="003F5C75" w:rsidP="003F5C75">
      <w:pPr>
        <w:pStyle w:val="Bodytextfirst"/>
        <w:rPr>
          <w:sz w:val="20"/>
          <w:szCs w:val="20"/>
        </w:rPr>
      </w:pPr>
      <w:r w:rsidRPr="003F5C75">
        <w:rPr>
          <w:sz w:val="20"/>
          <w:szCs w:val="20"/>
        </w:rPr>
        <w:t xml:space="preserve">In this case, the </w:t>
      </w:r>
      <w:r w:rsidR="00AD14DE">
        <w:rPr>
          <w:sz w:val="20"/>
          <w:szCs w:val="20"/>
        </w:rPr>
        <w:t>influences of both faults on the graph’s nodes are separated</w:t>
      </w:r>
      <w:r w:rsidRPr="003F5C75">
        <w:rPr>
          <w:sz w:val="20"/>
          <w:szCs w:val="20"/>
        </w:rPr>
        <w:t xml:space="preserve">. </w:t>
      </w:r>
      <w:r w:rsidR="00AD14DE" w:rsidRPr="003F5C75">
        <w:rPr>
          <w:sz w:val="20"/>
          <w:szCs w:val="20"/>
        </w:rPr>
        <w:t>The</w:t>
      </w:r>
      <w:r w:rsidR="00AD14DE">
        <w:rPr>
          <w:sz w:val="20"/>
          <w:szCs w:val="20"/>
        </w:rPr>
        <w:t>refore,</w:t>
      </w:r>
      <w:r w:rsidR="00AD14DE" w:rsidRPr="003F5C75">
        <w:rPr>
          <w:sz w:val="20"/>
          <w:szCs w:val="20"/>
        </w:rPr>
        <w:t xml:space="preserve"> </w:t>
      </w:r>
      <w:r w:rsidR="00AD14DE">
        <w:rPr>
          <w:sz w:val="20"/>
          <w:szCs w:val="20"/>
        </w:rPr>
        <w:t xml:space="preserve">the </w:t>
      </w:r>
      <w:r w:rsidR="00AD14DE" w:rsidRPr="003F5C75">
        <w:rPr>
          <w:sz w:val="20"/>
          <w:szCs w:val="20"/>
        </w:rPr>
        <w:t>fault compensation effect simply does not take place</w:t>
      </w:r>
      <w:r w:rsidR="00AD14DE">
        <w:rPr>
          <w:sz w:val="20"/>
          <w:szCs w:val="20"/>
        </w:rPr>
        <w:t xml:space="preserve"> when having partial models for each node</w:t>
      </w:r>
      <w:r w:rsidRPr="003F5C75">
        <w:rPr>
          <w:sz w:val="20"/>
          <w:szCs w:val="20"/>
        </w:rPr>
        <w:t>.</w:t>
      </w:r>
    </w:p>
    <w:p w14:paraId="69C41A90" w14:textId="77777777" w:rsidR="003F5C75" w:rsidRPr="003F5C75" w:rsidRDefault="003F5C75" w:rsidP="003F5C75">
      <w:pPr>
        <w:pStyle w:val="Bodytextfirst"/>
        <w:rPr>
          <w:sz w:val="20"/>
          <w:szCs w:val="20"/>
        </w:rPr>
      </w:pPr>
    </w:p>
    <w:p w14:paraId="233BE673" w14:textId="77777777" w:rsidR="003F5C75" w:rsidRPr="003F5C75" w:rsidRDefault="003F5C75" w:rsidP="003F5C75">
      <w:pPr>
        <w:pStyle w:val="Bodytextfirst"/>
        <w:rPr>
          <w:sz w:val="20"/>
          <w:szCs w:val="20"/>
        </w:rPr>
      </w:pPr>
      <w:proofErr w:type="gramStart"/>
      <w:r w:rsidRPr="003F5C75">
        <w:rPr>
          <w:b/>
          <w:sz w:val="20"/>
          <w:szCs w:val="20"/>
        </w:rPr>
        <w:t>Conclusion 4</w:t>
      </w:r>
      <w:r w:rsidRPr="003F5C75">
        <w:rPr>
          <w:sz w:val="20"/>
          <w:szCs w:val="20"/>
        </w:rPr>
        <w:t>.</w:t>
      </w:r>
      <w:proofErr w:type="gramEnd"/>
      <w:r w:rsidRPr="003F5C75">
        <w:rPr>
          <w:sz w:val="20"/>
          <w:szCs w:val="20"/>
        </w:rPr>
        <w:t xml:space="preserve"> </w:t>
      </w:r>
      <w:r w:rsidRPr="003F5C75">
        <w:rPr>
          <w:i/>
          <w:sz w:val="20"/>
          <w:szCs w:val="20"/>
        </w:rPr>
        <w:t>Avoidance of fault compensation effect is highly demanding on reliable measurements</w:t>
      </w:r>
      <w:r w:rsidRPr="003F5C75">
        <w:rPr>
          <w:sz w:val="20"/>
          <w:szCs w:val="20"/>
        </w:rPr>
        <w:t xml:space="preserve">. </w:t>
      </w:r>
    </w:p>
    <w:p w14:paraId="4C047EFA" w14:textId="77777777" w:rsidR="003F5C75" w:rsidRPr="003F5C75" w:rsidRDefault="003F5C75" w:rsidP="003F5C75">
      <w:pPr>
        <w:pStyle w:val="Bodytextfirst"/>
        <w:rPr>
          <w:sz w:val="20"/>
          <w:szCs w:val="20"/>
        </w:rPr>
      </w:pPr>
    </w:p>
    <w:p w14:paraId="6388154F" w14:textId="1FE3D021" w:rsidR="003F5C75" w:rsidRPr="003F5C75" w:rsidRDefault="00AD14DE" w:rsidP="003F5C75">
      <w:pPr>
        <w:pStyle w:val="Bodytextfirst"/>
        <w:rPr>
          <w:sz w:val="20"/>
          <w:szCs w:val="20"/>
        </w:rPr>
      </w:pPr>
      <w:r>
        <w:rPr>
          <w:sz w:val="20"/>
          <w:szCs w:val="20"/>
        </w:rPr>
        <w:t xml:space="preserve">Instead of </w:t>
      </w:r>
      <w:r w:rsidR="007D4EB0">
        <w:rPr>
          <w:sz w:val="20"/>
          <w:szCs w:val="20"/>
        </w:rPr>
        <w:t xml:space="preserve">the </w:t>
      </w:r>
      <w:r>
        <w:rPr>
          <w:sz w:val="20"/>
          <w:szCs w:val="20"/>
        </w:rPr>
        <w:t>GP graph</w:t>
      </w:r>
      <w:r w:rsidR="003F5C75" w:rsidRPr="003F5C75">
        <w:rPr>
          <w:sz w:val="20"/>
          <w:szCs w:val="20"/>
        </w:rPr>
        <w:t>, more useful for fault isolation is the incidence matrix. The incidence matrix reflects the relation between faults and diagnostic signals. The question is why diagnostic signals are being used instead of residuals?</w:t>
      </w:r>
    </w:p>
    <w:p w14:paraId="3A53BBD1" w14:textId="028864DB" w:rsidR="00FD3B98" w:rsidRPr="00731E04" w:rsidRDefault="003F5C75" w:rsidP="003F5C75">
      <w:pPr>
        <w:pStyle w:val="Bodytextfirst"/>
        <w:rPr>
          <w:sz w:val="20"/>
          <w:szCs w:val="20"/>
        </w:rPr>
      </w:pPr>
      <w:r w:rsidRPr="003F5C75">
        <w:rPr>
          <w:sz w:val="20"/>
          <w:szCs w:val="20"/>
        </w:rPr>
        <w:t xml:space="preserve">The reason is the demanded robustness of a diagnostic system. Principally, the diagnostic signals are used to introduce some immunity to the diagnosing process. Otherwise, the impact of uncertainties on residuals would seriously </w:t>
      </w:r>
      <w:r w:rsidR="00ED72FE">
        <w:rPr>
          <w:sz w:val="20"/>
          <w:szCs w:val="20"/>
        </w:rPr>
        <w:t>degrad</w:t>
      </w:r>
      <w:r w:rsidRPr="003F5C75">
        <w:rPr>
          <w:sz w:val="20"/>
          <w:szCs w:val="20"/>
        </w:rPr>
        <w:t xml:space="preserve">e the resulting diagnose. In this scope, the residuals are appropriately processed (evaluated). In this paper, we will limit our considerations exclusively to </w:t>
      </w:r>
      <w:r w:rsidR="00ED72FE">
        <w:rPr>
          <w:sz w:val="20"/>
          <w:szCs w:val="20"/>
        </w:rPr>
        <w:t>elementary</w:t>
      </w:r>
      <w:r w:rsidRPr="003F5C75">
        <w:rPr>
          <w:sz w:val="20"/>
          <w:szCs w:val="20"/>
        </w:rPr>
        <w:t xml:space="preserve">, however practicable, thresholding evaluation of residuals, which introduce some dead zones to residual </w:t>
      </w:r>
      <w:r w:rsidRPr="003F5C75">
        <w:rPr>
          <w:sz w:val="20"/>
          <w:szCs w:val="20"/>
        </w:rPr>
        <w:lastRenderedPageBreak/>
        <w:t xml:space="preserve">signals. For </w:t>
      </w:r>
      <w:r w:rsidR="00ED72FE">
        <w:rPr>
          <w:sz w:val="20"/>
          <w:szCs w:val="20"/>
        </w:rPr>
        <w:t>the binary assessment</w:t>
      </w:r>
      <w:r w:rsidRPr="003F5C75">
        <w:rPr>
          <w:sz w:val="20"/>
          <w:szCs w:val="20"/>
        </w:rPr>
        <w:t xml:space="preserve"> of residuals, we will further apply </w:t>
      </w:r>
      <w:r>
        <w:rPr>
          <w:sz w:val="20"/>
          <w:szCs w:val="20"/>
        </w:rPr>
        <w:t xml:space="preserve">the </w:t>
      </w:r>
      <w:r w:rsidR="00FD3B98" w:rsidRPr="00731E04">
        <w:rPr>
          <w:sz w:val="20"/>
          <w:szCs w:val="20"/>
        </w:rPr>
        <w:t xml:space="preserve">formula:  </w:t>
      </w:r>
    </w:p>
    <w:p w14:paraId="6342AC8A" w14:textId="78A61F3D" w:rsidR="002D1AB4" w:rsidRPr="00E510D3" w:rsidRDefault="002D1AB4" w:rsidP="002D1AB4">
      <w:pPr>
        <w:pStyle w:val="equation0"/>
        <w:tabs>
          <w:tab w:val="clear" w:pos="5040"/>
          <w:tab w:val="right" w:pos="4678"/>
        </w:tabs>
        <w:ind w:right="113"/>
        <w:rPr>
          <w:sz w:val="18"/>
          <w:szCs w:val="18"/>
        </w:rPr>
      </w:pPr>
      <w:r w:rsidRPr="004857A6">
        <w:rPr>
          <w:color w:val="00B050"/>
        </w:rPr>
        <w:tab/>
      </w:r>
      <m:oMath>
        <m:r>
          <w:rPr>
            <w:rFonts w:ascii="Cambria Math" w:hAnsi="Cambria Math" w:cs="Times New Roman"/>
            <w:sz w:val="18"/>
            <w:szCs w:val="18"/>
          </w:rPr>
          <m:t>s=</m:t>
        </m:r>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 xml:space="preserve">  0  ←  </m:t>
                </m:r>
                <m:r>
                  <w:rPr>
                    <w:rFonts w:ascii="Cambria Math" w:eastAsia="CMMI12" w:hAnsi="Cambria Math" w:cs="Times New Roman"/>
                    <w:sz w:val="18"/>
                    <w:szCs w:val="18"/>
                    <w:lang w:eastAsia="hu-HU"/>
                  </w:rPr>
                  <m:t>|r| &lt;</m:t>
                </m:r>
                <m:sSub>
                  <m:sSubPr>
                    <m:ctrlPr>
                      <w:rPr>
                        <w:rFonts w:ascii="Cambria Math" w:eastAsia="CMMI12" w:hAnsi="Cambria Math" w:cs="Times New Roman"/>
                        <w:i/>
                        <w:sz w:val="18"/>
                        <w:szCs w:val="18"/>
                        <w:lang w:eastAsia="hu-HU"/>
                      </w:rPr>
                    </m:ctrlPr>
                  </m:sSubPr>
                  <m:e>
                    <m:r>
                      <w:rPr>
                        <w:rFonts w:ascii="Cambria Math" w:eastAsia="CMMI12" w:hAnsi="Cambria Math" w:cs="Times New Roman"/>
                        <w:sz w:val="18"/>
                        <w:szCs w:val="18"/>
                        <w:lang w:eastAsia="hu-HU"/>
                      </w:rPr>
                      <m:t>T</m:t>
                    </m:r>
                  </m:e>
                  <m:sub>
                    <m:r>
                      <w:rPr>
                        <w:rFonts w:ascii="Cambria Math" w:eastAsia="CMMI12" w:hAnsi="Cambria Math" w:cs="Times New Roman"/>
                        <w:sz w:val="18"/>
                        <w:szCs w:val="18"/>
                        <w:lang w:eastAsia="hu-HU"/>
                      </w:rPr>
                      <m:t>h</m:t>
                    </m:r>
                  </m:sub>
                </m:sSub>
              </m:e>
              <m:e>
                <m:r>
                  <w:rPr>
                    <w:rFonts w:ascii="Cambria Math" w:hAnsi="Cambria Math" w:cs="Times New Roman"/>
                    <w:sz w:val="18"/>
                    <w:szCs w:val="18"/>
                  </w:rPr>
                  <m:t xml:space="preserve">  1  ←  </m:t>
                </m:r>
                <m:r>
                  <w:rPr>
                    <w:rFonts w:ascii="Cambria Math" w:eastAsia="CMMI12" w:hAnsi="Cambria Math" w:cs="Times New Roman"/>
                    <w:sz w:val="18"/>
                    <w:szCs w:val="18"/>
                    <w:lang w:eastAsia="hu-HU"/>
                  </w:rPr>
                  <m:t>|r| ≥</m:t>
                </m:r>
                <m:sSub>
                  <m:sSubPr>
                    <m:ctrlPr>
                      <w:rPr>
                        <w:rFonts w:ascii="Cambria Math" w:eastAsia="CMMI12" w:hAnsi="Cambria Math" w:cs="Times New Roman"/>
                        <w:i/>
                        <w:sz w:val="18"/>
                        <w:szCs w:val="18"/>
                        <w:lang w:eastAsia="hu-HU"/>
                      </w:rPr>
                    </m:ctrlPr>
                  </m:sSubPr>
                  <m:e>
                    <m:r>
                      <w:rPr>
                        <w:rFonts w:ascii="Cambria Math" w:eastAsia="CMMI12" w:hAnsi="Cambria Math" w:cs="Times New Roman"/>
                        <w:sz w:val="18"/>
                        <w:szCs w:val="18"/>
                        <w:lang w:eastAsia="hu-HU"/>
                      </w:rPr>
                      <m:t>T</m:t>
                    </m:r>
                  </m:e>
                  <m:sub>
                    <m:r>
                      <w:rPr>
                        <w:rFonts w:ascii="Cambria Math" w:eastAsia="CMMI12" w:hAnsi="Cambria Math" w:cs="Times New Roman"/>
                        <w:sz w:val="18"/>
                        <w:szCs w:val="18"/>
                        <w:lang w:eastAsia="hu-HU"/>
                      </w:rPr>
                      <m:t>h</m:t>
                    </m:r>
                  </m:sub>
                </m:sSub>
              </m:e>
            </m:eqArr>
          </m:e>
        </m:d>
        <m:r>
          <w:rPr>
            <w:rFonts w:ascii="Cambria Math" w:hAnsi="Cambria Math" w:cs="Times New Roman"/>
            <w:sz w:val="18"/>
            <w:szCs w:val="18"/>
          </w:rPr>
          <m:t xml:space="preserve">  , </m:t>
        </m:r>
      </m:oMath>
      <w:r w:rsidRPr="00E510D3">
        <w:rPr>
          <w:color w:val="00B050"/>
          <w:sz w:val="18"/>
          <w:szCs w:val="18"/>
        </w:rPr>
        <w:tab/>
      </w:r>
      <w:r w:rsidRPr="00E510D3">
        <w:rPr>
          <w:sz w:val="18"/>
          <w:szCs w:val="18"/>
        </w:rPr>
        <w:t></w:t>
      </w:r>
      <w:r>
        <w:rPr>
          <w:sz w:val="18"/>
          <w:szCs w:val="18"/>
        </w:rPr>
        <w:t></w:t>
      </w:r>
      <w:r w:rsidRPr="00E510D3">
        <w:rPr>
          <w:sz w:val="18"/>
          <w:szCs w:val="18"/>
        </w:rPr>
        <w:t></w:t>
      </w:r>
    </w:p>
    <w:p w14:paraId="29704DDF" w14:textId="281EDF06" w:rsidR="00FD3B98" w:rsidRPr="00731E04" w:rsidRDefault="00CB31E5" w:rsidP="00B7490D">
      <w:pPr>
        <w:pStyle w:val="Bodytextfirst"/>
        <w:rPr>
          <w:sz w:val="20"/>
          <w:szCs w:val="20"/>
        </w:rPr>
      </w:pPr>
      <w:proofErr w:type="gramStart"/>
      <w:r w:rsidRPr="00731E04">
        <w:rPr>
          <w:sz w:val="20"/>
          <w:szCs w:val="20"/>
        </w:rPr>
        <w:t>w</w:t>
      </w:r>
      <w:r w:rsidR="00FD3B98" w:rsidRPr="00731E04">
        <w:rPr>
          <w:sz w:val="20"/>
          <w:szCs w:val="20"/>
        </w:rPr>
        <w:t>hile</w:t>
      </w:r>
      <w:proofErr w:type="gramEnd"/>
      <w:r w:rsidR="0002113A">
        <w:rPr>
          <w:sz w:val="20"/>
          <w:szCs w:val="20"/>
        </w:rPr>
        <w:t xml:space="preserve"> for tri-valued residuals</w:t>
      </w:r>
      <w:r w:rsidR="00FD3B98" w:rsidRPr="00731E04">
        <w:rPr>
          <w:sz w:val="20"/>
          <w:szCs w:val="20"/>
        </w:rPr>
        <w:t xml:space="preserve">: </w:t>
      </w:r>
    </w:p>
    <w:p w14:paraId="6497652A" w14:textId="3C2CA112" w:rsidR="002D1AB4" w:rsidRPr="00E510D3" w:rsidRDefault="002D1AB4" w:rsidP="002D1AB4">
      <w:pPr>
        <w:pStyle w:val="equation0"/>
        <w:tabs>
          <w:tab w:val="clear" w:pos="5040"/>
          <w:tab w:val="right" w:pos="4678"/>
        </w:tabs>
        <w:ind w:right="113"/>
        <w:rPr>
          <w:sz w:val="18"/>
          <w:szCs w:val="18"/>
        </w:rPr>
      </w:pPr>
      <w:r w:rsidRPr="004857A6">
        <w:rPr>
          <w:color w:val="00B050"/>
        </w:rPr>
        <w:tab/>
      </w:r>
      <m:oMath>
        <m:r>
          <w:rPr>
            <w:rFonts w:ascii="Cambria Math" w:hAnsi="Cambria Math" w:cs="Times New Roman"/>
            <w:sz w:val="18"/>
            <w:szCs w:val="18"/>
          </w:rPr>
          <m:t>s=</m:t>
        </m:r>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 xml:space="preserve">  -1 ←  </m:t>
                </m:r>
                <m:r>
                  <w:rPr>
                    <w:rFonts w:ascii="Cambria Math" w:eastAsia="CMMI12" w:hAnsi="Cambria Math" w:cs="Times New Roman"/>
                    <w:sz w:val="18"/>
                    <w:szCs w:val="18"/>
                    <w:lang w:eastAsia="hu-HU"/>
                  </w:rPr>
                  <m:t>r ≤-</m:t>
                </m:r>
                <m:sSub>
                  <m:sSubPr>
                    <m:ctrlPr>
                      <w:rPr>
                        <w:rFonts w:ascii="Cambria Math" w:eastAsia="CMMI12" w:hAnsi="Cambria Math" w:cs="Times New Roman"/>
                        <w:i/>
                        <w:sz w:val="18"/>
                        <w:szCs w:val="18"/>
                        <w:lang w:eastAsia="hu-HU"/>
                      </w:rPr>
                    </m:ctrlPr>
                  </m:sSubPr>
                  <m:e>
                    <m:r>
                      <w:rPr>
                        <w:rFonts w:ascii="Cambria Math" w:eastAsia="CMMI12" w:hAnsi="Cambria Math" w:cs="Times New Roman"/>
                        <w:sz w:val="18"/>
                        <w:szCs w:val="18"/>
                        <w:lang w:eastAsia="hu-HU"/>
                      </w:rPr>
                      <m:t>T</m:t>
                    </m:r>
                  </m:e>
                  <m:sub>
                    <m:r>
                      <w:rPr>
                        <w:rFonts w:ascii="Cambria Math" w:eastAsia="CMMI12" w:hAnsi="Cambria Math" w:cs="Times New Roman"/>
                        <w:sz w:val="18"/>
                        <w:szCs w:val="18"/>
                        <w:lang w:eastAsia="hu-HU"/>
                      </w:rPr>
                      <m:t>h</m:t>
                    </m:r>
                  </m:sub>
                </m:sSub>
              </m:e>
              <m:e>
                <m:r>
                  <w:rPr>
                    <w:rFonts w:ascii="Cambria Math" w:hAnsi="Cambria Math" w:cs="Times New Roman"/>
                    <w:sz w:val="18"/>
                    <w:szCs w:val="18"/>
                  </w:rPr>
                  <m:t xml:space="preserve">     0 ←  </m:t>
                </m:r>
                <m:r>
                  <w:rPr>
                    <w:rFonts w:ascii="Cambria Math" w:eastAsia="CMMI12" w:hAnsi="Cambria Math" w:cs="Times New Roman"/>
                    <w:sz w:val="18"/>
                    <w:szCs w:val="18"/>
                    <w:lang w:eastAsia="hu-HU"/>
                  </w:rPr>
                  <m:t>|r| &lt;</m:t>
                </m:r>
                <m:sSub>
                  <m:sSubPr>
                    <m:ctrlPr>
                      <w:rPr>
                        <w:rFonts w:ascii="Cambria Math" w:eastAsia="CMMI12" w:hAnsi="Cambria Math" w:cs="Times New Roman"/>
                        <w:i/>
                        <w:sz w:val="18"/>
                        <w:szCs w:val="18"/>
                        <w:lang w:eastAsia="hu-HU"/>
                      </w:rPr>
                    </m:ctrlPr>
                  </m:sSubPr>
                  <m:e>
                    <m:r>
                      <w:rPr>
                        <w:rFonts w:ascii="Cambria Math" w:eastAsia="CMMI12" w:hAnsi="Cambria Math" w:cs="Times New Roman"/>
                        <w:sz w:val="18"/>
                        <w:szCs w:val="18"/>
                        <w:lang w:eastAsia="hu-HU"/>
                      </w:rPr>
                      <m:t>T</m:t>
                    </m:r>
                  </m:e>
                  <m:sub>
                    <m:r>
                      <w:rPr>
                        <w:rFonts w:ascii="Cambria Math" w:eastAsia="CMMI12" w:hAnsi="Cambria Math" w:cs="Times New Roman"/>
                        <w:sz w:val="18"/>
                        <w:szCs w:val="18"/>
                        <w:lang w:eastAsia="hu-HU"/>
                      </w:rPr>
                      <m:t>h</m:t>
                    </m:r>
                  </m:sub>
                </m:sSub>
              </m:e>
              <m:e>
                <m:r>
                  <w:rPr>
                    <w:rFonts w:ascii="Cambria Math" w:hAnsi="Cambria Math" w:cs="Times New Roman"/>
                    <w:sz w:val="18"/>
                    <w:szCs w:val="18"/>
                  </w:rPr>
                  <m:t xml:space="preserve">+1 ←  </m:t>
                </m:r>
                <m:r>
                  <w:rPr>
                    <w:rFonts w:ascii="Cambria Math" w:eastAsia="CMMI12" w:hAnsi="Cambria Math" w:cs="Times New Roman"/>
                    <w:sz w:val="18"/>
                    <w:szCs w:val="18"/>
                    <w:lang w:eastAsia="hu-HU"/>
                  </w:rPr>
                  <m:t>r ≥</m:t>
                </m:r>
                <m:sSub>
                  <m:sSubPr>
                    <m:ctrlPr>
                      <w:rPr>
                        <w:rFonts w:ascii="Cambria Math" w:eastAsia="CMMI12" w:hAnsi="Cambria Math" w:cs="Times New Roman"/>
                        <w:i/>
                        <w:sz w:val="18"/>
                        <w:szCs w:val="18"/>
                        <w:lang w:eastAsia="hu-HU"/>
                      </w:rPr>
                    </m:ctrlPr>
                  </m:sSubPr>
                  <m:e>
                    <m:r>
                      <w:rPr>
                        <w:rFonts w:ascii="Cambria Math" w:eastAsia="CMMI12" w:hAnsi="Cambria Math" w:cs="Times New Roman"/>
                        <w:sz w:val="18"/>
                        <w:szCs w:val="18"/>
                        <w:lang w:eastAsia="hu-HU"/>
                      </w:rPr>
                      <m:t>T</m:t>
                    </m:r>
                  </m:e>
                  <m:sub>
                    <m:r>
                      <w:rPr>
                        <w:rFonts w:ascii="Cambria Math" w:eastAsia="CMMI12" w:hAnsi="Cambria Math" w:cs="Times New Roman"/>
                        <w:sz w:val="18"/>
                        <w:szCs w:val="18"/>
                        <w:lang w:eastAsia="hu-HU"/>
                      </w:rPr>
                      <m:t>h</m:t>
                    </m:r>
                  </m:sub>
                </m:sSub>
              </m:e>
            </m:eqArr>
          </m:e>
        </m:d>
        <m:r>
          <w:rPr>
            <w:rFonts w:ascii="Cambria Math" w:hAnsi="Cambria Math" w:cs="Times New Roman"/>
            <w:sz w:val="18"/>
            <w:szCs w:val="18"/>
          </w:rPr>
          <m:t xml:space="preserve">  , </m:t>
        </m:r>
      </m:oMath>
      <w:r w:rsidRPr="00E510D3">
        <w:rPr>
          <w:color w:val="00B050"/>
          <w:sz w:val="18"/>
          <w:szCs w:val="18"/>
        </w:rPr>
        <w:tab/>
      </w:r>
      <w:r w:rsidRPr="00E510D3">
        <w:rPr>
          <w:sz w:val="18"/>
          <w:szCs w:val="18"/>
        </w:rPr>
        <w:t></w:t>
      </w:r>
      <w:r>
        <w:rPr>
          <w:sz w:val="18"/>
          <w:szCs w:val="18"/>
        </w:rPr>
        <w:t></w:t>
      </w:r>
      <w:r>
        <w:rPr>
          <w:sz w:val="18"/>
          <w:szCs w:val="18"/>
        </w:rPr>
        <w:t></w:t>
      </w:r>
      <w:r w:rsidRPr="00E510D3">
        <w:rPr>
          <w:sz w:val="18"/>
          <w:szCs w:val="18"/>
        </w:rPr>
        <w:t></w:t>
      </w:r>
    </w:p>
    <w:p w14:paraId="594C6D3C" w14:textId="2118777A" w:rsidR="00187C0C" w:rsidRPr="00187C0C" w:rsidRDefault="00CB31E5" w:rsidP="00187C0C">
      <w:pPr>
        <w:pStyle w:val="Bodytextfirst"/>
        <w:rPr>
          <w:sz w:val="20"/>
          <w:szCs w:val="20"/>
        </w:rPr>
      </w:pPr>
      <w:proofErr w:type="gramStart"/>
      <w:r w:rsidRPr="00731E04">
        <w:rPr>
          <w:sz w:val="20"/>
          <w:szCs w:val="20"/>
        </w:rPr>
        <w:t>where</w:t>
      </w:r>
      <w:proofErr w:type="gramEnd"/>
      <w:r w:rsidRPr="00731E04">
        <w:rPr>
          <w:sz w:val="20"/>
          <w:szCs w:val="20"/>
        </w:rPr>
        <w:t xml:space="preserve">: </w:t>
      </w:r>
      <m:oMath>
        <m:sSub>
          <m:sSubPr>
            <m:ctrlPr>
              <w:rPr>
                <w:rFonts w:ascii="Cambria Math" w:eastAsia="CMMI12" w:hAnsi="Cambria Math"/>
                <w:i/>
                <w:kern w:val="0"/>
                <w:sz w:val="20"/>
                <w:szCs w:val="20"/>
                <w:lang w:eastAsia="hu-HU" w:bidi="ar-SA"/>
              </w:rPr>
            </m:ctrlPr>
          </m:sSubPr>
          <m:e>
            <m:r>
              <w:rPr>
                <w:rFonts w:ascii="Cambria Math" w:eastAsia="CMMI12" w:hAnsi="Cambria Math"/>
                <w:sz w:val="20"/>
                <w:szCs w:val="20"/>
                <w:lang w:eastAsia="hu-HU"/>
              </w:rPr>
              <m:t>T</m:t>
            </m:r>
          </m:e>
          <m:sub>
            <m:r>
              <w:rPr>
                <w:rFonts w:ascii="Cambria Math" w:eastAsia="CMMI12" w:hAnsi="Cambria Math"/>
                <w:sz w:val="20"/>
                <w:szCs w:val="20"/>
                <w:lang w:eastAsia="hu-HU"/>
              </w:rPr>
              <m:t>h</m:t>
            </m:r>
          </m:sub>
        </m:sSub>
      </m:oMath>
      <w:r w:rsidR="00ED72FE">
        <w:rPr>
          <w:sz w:val="20"/>
          <w:szCs w:val="20"/>
        </w:rPr>
        <w:t xml:space="preserve">- </w:t>
      </w:r>
      <w:r w:rsidR="00187C0C" w:rsidRPr="00187C0C">
        <w:rPr>
          <w:sz w:val="20"/>
          <w:szCs w:val="20"/>
        </w:rPr>
        <w:t xml:space="preserve">is </w:t>
      </w:r>
      <w:r w:rsidR="00ED72FE">
        <w:rPr>
          <w:sz w:val="20"/>
          <w:szCs w:val="20"/>
        </w:rPr>
        <w:t>an</w:t>
      </w:r>
      <w:r w:rsidR="00187C0C" w:rsidRPr="00187C0C">
        <w:rPr>
          <w:sz w:val="20"/>
          <w:szCs w:val="20"/>
        </w:rPr>
        <w:t xml:space="preserve"> arbitrar</w:t>
      </w:r>
      <w:r w:rsidR="00ED72FE">
        <w:rPr>
          <w:sz w:val="20"/>
          <w:szCs w:val="20"/>
        </w:rPr>
        <w:t>il</w:t>
      </w:r>
      <w:r w:rsidR="00187C0C" w:rsidRPr="00187C0C">
        <w:rPr>
          <w:sz w:val="20"/>
          <w:szCs w:val="20"/>
        </w:rPr>
        <w:t xml:space="preserve">y chosen </w:t>
      </w:r>
      <w:r w:rsidR="00ED72FE" w:rsidRPr="00187C0C">
        <w:rPr>
          <w:sz w:val="20"/>
          <w:szCs w:val="20"/>
        </w:rPr>
        <w:t xml:space="preserve">nonnegative </w:t>
      </w:r>
      <w:r w:rsidR="00187C0C" w:rsidRPr="00187C0C">
        <w:rPr>
          <w:sz w:val="20"/>
          <w:szCs w:val="20"/>
        </w:rPr>
        <w:t>threshold.</w:t>
      </w:r>
    </w:p>
    <w:p w14:paraId="6407791A" w14:textId="68CD523E" w:rsidR="00187C0C" w:rsidRPr="00187C0C" w:rsidRDefault="00187C0C" w:rsidP="00187C0C">
      <w:pPr>
        <w:pStyle w:val="Bodytextfirst"/>
        <w:rPr>
          <w:sz w:val="20"/>
          <w:szCs w:val="20"/>
        </w:rPr>
      </w:pPr>
      <w:r w:rsidRPr="00187C0C">
        <w:rPr>
          <w:sz w:val="20"/>
          <w:szCs w:val="20"/>
        </w:rPr>
        <w:t>The robustness of fault isolation can be characterized by the rate of false-positive as well as false-negative diagnoses. In this context, the false positive diagnose indicates non</w:t>
      </w:r>
      <w:r>
        <w:rPr>
          <w:sz w:val="20"/>
          <w:szCs w:val="20"/>
        </w:rPr>
        <w:t>-</w:t>
      </w:r>
      <w:r w:rsidRPr="00187C0C">
        <w:rPr>
          <w:sz w:val="20"/>
          <w:szCs w:val="20"/>
        </w:rPr>
        <w:t>existing fault</w:t>
      </w:r>
      <w:r w:rsidR="00AD14DE">
        <w:rPr>
          <w:sz w:val="20"/>
          <w:szCs w:val="20"/>
        </w:rPr>
        <w:t>, while false-negative diagnoses</w:t>
      </w:r>
      <w:r w:rsidRPr="00187C0C">
        <w:rPr>
          <w:sz w:val="20"/>
          <w:szCs w:val="20"/>
        </w:rPr>
        <w:t xml:space="preserve"> </w:t>
      </w:r>
      <w:r w:rsidR="00AD14DE">
        <w:rPr>
          <w:sz w:val="20"/>
          <w:szCs w:val="20"/>
        </w:rPr>
        <w:t>are</w:t>
      </w:r>
      <w:r w:rsidRPr="00187C0C">
        <w:rPr>
          <w:sz w:val="20"/>
          <w:szCs w:val="20"/>
        </w:rPr>
        <w:t xml:space="preserve"> not able to isolate</w:t>
      </w:r>
      <w:r w:rsidR="00AD14DE">
        <w:rPr>
          <w:sz w:val="20"/>
          <w:szCs w:val="20"/>
        </w:rPr>
        <w:t xml:space="preserve"> truly</w:t>
      </w:r>
      <w:r w:rsidRPr="00187C0C">
        <w:rPr>
          <w:sz w:val="20"/>
          <w:szCs w:val="20"/>
        </w:rPr>
        <w:t xml:space="preserve"> existing fault</w:t>
      </w:r>
      <w:r w:rsidR="00AD14DE">
        <w:rPr>
          <w:sz w:val="20"/>
          <w:szCs w:val="20"/>
        </w:rPr>
        <w:t>s</w:t>
      </w:r>
      <w:r w:rsidRPr="00187C0C">
        <w:rPr>
          <w:sz w:val="20"/>
          <w:szCs w:val="20"/>
        </w:rPr>
        <w:t xml:space="preserve">.  As can be seen from (9-10), the introduction of dead zones </w:t>
      </w:r>
      <w:r w:rsidR="00AD14DE">
        <w:rPr>
          <w:sz w:val="20"/>
          <w:szCs w:val="20"/>
        </w:rPr>
        <w:t xml:space="preserve">immunizes diagnostic signals, </w:t>
      </w:r>
      <w:r w:rsidRPr="00187C0C">
        <w:rPr>
          <w:sz w:val="20"/>
          <w:szCs w:val="20"/>
        </w:rPr>
        <w:t>at the expense of loss of sensitivity to low size faults and elongation of fault isolation time</w:t>
      </w:r>
      <w:r w:rsidR="00AD14DE">
        <w:rPr>
          <w:sz w:val="20"/>
          <w:szCs w:val="20"/>
        </w:rPr>
        <w:t xml:space="preserve"> in case of incipient faults</w:t>
      </w:r>
      <w:r w:rsidRPr="00187C0C">
        <w:rPr>
          <w:sz w:val="20"/>
          <w:szCs w:val="20"/>
        </w:rPr>
        <w:t xml:space="preserve">. </w:t>
      </w:r>
    </w:p>
    <w:p w14:paraId="48A5B1A3" w14:textId="5AA39B9F" w:rsidR="003A3638" w:rsidRPr="00731E04" w:rsidRDefault="00187C0C" w:rsidP="00187C0C">
      <w:pPr>
        <w:pStyle w:val="Bodytextfirst"/>
        <w:rPr>
          <w:sz w:val="20"/>
          <w:szCs w:val="20"/>
        </w:rPr>
      </w:pPr>
      <w:r w:rsidRPr="00187C0C">
        <w:rPr>
          <w:sz w:val="20"/>
          <w:szCs w:val="20"/>
        </w:rPr>
        <w:t xml:space="preserve">In this paper, we will discuss both (9) and (10) residual evaluation approaches in the context of fault compensation effect. </w:t>
      </w:r>
      <w:r w:rsidR="00AD14DE">
        <w:rPr>
          <w:sz w:val="20"/>
          <w:szCs w:val="20"/>
        </w:rPr>
        <w:t>For example, we will show</w:t>
      </w:r>
      <w:r w:rsidRPr="00187C0C">
        <w:rPr>
          <w:sz w:val="20"/>
          <w:szCs w:val="20"/>
        </w:rPr>
        <w:t xml:space="preserve"> that fault compensation may be easily identified from the incidence matrix</w:t>
      </w:r>
      <w:r w:rsidR="00AD14DE">
        <w:rPr>
          <w:sz w:val="20"/>
          <w:szCs w:val="20"/>
        </w:rPr>
        <w:t>;</w:t>
      </w:r>
      <w:r w:rsidRPr="00187C0C">
        <w:rPr>
          <w:sz w:val="20"/>
          <w:szCs w:val="20"/>
        </w:rPr>
        <w:t xml:space="preserve"> however</w:t>
      </w:r>
      <w:r w:rsidR="00ED72FE">
        <w:rPr>
          <w:sz w:val="20"/>
          <w:szCs w:val="20"/>
        </w:rPr>
        <w:t>,</w:t>
      </w:r>
      <w:r w:rsidRPr="00187C0C">
        <w:rPr>
          <w:sz w:val="20"/>
          <w:szCs w:val="20"/>
        </w:rPr>
        <w:t xml:space="preserve"> under some conditions. Firstly, please refer to Tab. 3. Here, the incidence matrix entries are bi-valued as in (9). This table is frequently referred to as a binary diagnostic matrix (BDM) [6]</w:t>
      </w:r>
      <w:r w:rsidR="003A3638" w:rsidRPr="00731E04">
        <w:rPr>
          <w:sz w:val="20"/>
          <w:szCs w:val="20"/>
        </w:rPr>
        <w:t>.</w:t>
      </w:r>
    </w:p>
    <w:p w14:paraId="474DC9AF" w14:textId="5F488BCF" w:rsidR="0016321F" w:rsidRPr="001255EB" w:rsidRDefault="0016321F" w:rsidP="0016321F">
      <w:pPr>
        <w:pStyle w:val="Legenda"/>
        <w:keepNext/>
        <w:rPr>
          <w:rFonts w:cs="Times New Roman"/>
          <w:lang w:val="en-US"/>
        </w:rPr>
      </w:pPr>
      <w:proofErr w:type="gramStart"/>
      <w:r w:rsidRPr="001255EB">
        <w:rPr>
          <w:rFonts w:cs="Times New Roman"/>
          <w:lang w:val="en-US"/>
        </w:rPr>
        <w:t>Table 3.</w:t>
      </w:r>
      <w:proofErr w:type="gramEnd"/>
      <w:r w:rsidRPr="001255EB">
        <w:rPr>
          <w:rFonts w:cs="Times New Roman"/>
          <w:lang w:val="en-US"/>
        </w:rPr>
        <w:t xml:space="preserve">  </w:t>
      </w:r>
      <w:proofErr w:type="gramStart"/>
      <w:r w:rsidRPr="001255EB">
        <w:rPr>
          <w:rFonts w:cs="Times New Roman"/>
          <w:lang w:val="en-US"/>
        </w:rPr>
        <w:t xml:space="preserve">Binary diagnostic matrix </w:t>
      </w:r>
      <w:r w:rsidR="003A3638" w:rsidRPr="001255EB">
        <w:rPr>
          <w:rFonts w:cs="Times New Roman"/>
          <w:lang w:val="en-US"/>
        </w:rPr>
        <w:t>for residual (2)</w:t>
      </w:r>
      <w:r w:rsidRPr="001255EB">
        <w:rPr>
          <w:rFonts w:cs="Times New Roman"/>
          <w:lang w:val="en-US"/>
        </w:rPr>
        <w:t>.</w:t>
      </w:r>
      <w:proofErr w:type="gramEnd"/>
    </w:p>
    <w:tbl>
      <w:tblPr>
        <w:tblStyle w:val="Tabela-Siatka"/>
        <w:tblW w:w="4191" w:type="dxa"/>
        <w:jc w:val="center"/>
        <w:tblInd w:w="108" w:type="dxa"/>
        <w:tblLook w:val="04A0" w:firstRow="1" w:lastRow="0" w:firstColumn="1" w:lastColumn="0" w:noHBand="0" w:noVBand="1"/>
      </w:tblPr>
      <w:tblGrid>
        <w:gridCol w:w="683"/>
        <w:gridCol w:w="1073"/>
        <w:gridCol w:w="850"/>
        <w:gridCol w:w="708"/>
        <w:gridCol w:w="877"/>
      </w:tblGrid>
      <w:tr w:rsidR="008A5369" w:rsidRPr="001255EB" w14:paraId="4FA14272" w14:textId="77777777" w:rsidTr="008A5369">
        <w:trPr>
          <w:jc w:val="center"/>
        </w:trPr>
        <w:tc>
          <w:tcPr>
            <w:tcW w:w="683" w:type="dxa"/>
            <w:tcBorders>
              <w:top w:val="nil"/>
              <w:left w:val="nil"/>
            </w:tcBorders>
            <w:vAlign w:val="center"/>
          </w:tcPr>
          <w:p w14:paraId="0E3F1D23" w14:textId="7B951BAD" w:rsidR="008A5369" w:rsidRPr="001255EB" w:rsidRDefault="008A5369" w:rsidP="001255EB">
            <w:pPr>
              <w:pStyle w:val="Bodytextfirst"/>
              <w:jc w:val="center"/>
            </w:pPr>
          </w:p>
        </w:tc>
        <w:tc>
          <w:tcPr>
            <w:tcW w:w="1073" w:type="dxa"/>
            <w:tcBorders>
              <w:top w:val="single" w:sz="4" w:space="0" w:color="auto"/>
            </w:tcBorders>
            <w:vAlign w:val="center"/>
          </w:tcPr>
          <w:p w14:paraId="0BC21060" w14:textId="63EFDF95" w:rsidR="008A5369" w:rsidRPr="001255EB" w:rsidRDefault="008A5369" w:rsidP="00ED72FE">
            <w:pPr>
              <w:pStyle w:val="Bodytextfirst"/>
              <w:jc w:val="center"/>
            </w:pPr>
            <w:r w:rsidRPr="001255EB">
              <w:t>fault</w:t>
            </w:r>
            <w:r w:rsidR="00ED72FE">
              <w:t>-</w:t>
            </w:r>
            <w:r w:rsidRPr="001255EB">
              <w:t>free</w:t>
            </w:r>
          </w:p>
        </w:tc>
        <w:tc>
          <w:tcPr>
            <w:tcW w:w="850" w:type="dxa"/>
            <w:tcBorders>
              <w:top w:val="single" w:sz="4" w:space="0" w:color="auto"/>
            </w:tcBorders>
            <w:vAlign w:val="center"/>
          </w:tcPr>
          <w:p w14:paraId="2B951FBE" w14:textId="269632CC" w:rsidR="008A5369" w:rsidRPr="001255EB" w:rsidRDefault="003E3364" w:rsidP="001255EB">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708" w:type="dxa"/>
            <w:tcBorders>
              <w:top w:val="single" w:sz="4" w:space="0" w:color="auto"/>
            </w:tcBorders>
            <w:vAlign w:val="center"/>
          </w:tcPr>
          <w:p w14:paraId="44D5317F" w14:textId="2020F649" w:rsidR="008A5369" w:rsidRPr="001255EB" w:rsidRDefault="003E3364" w:rsidP="001255EB">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877" w:type="dxa"/>
            <w:tcBorders>
              <w:top w:val="single" w:sz="4" w:space="0" w:color="auto"/>
            </w:tcBorders>
            <w:vAlign w:val="center"/>
          </w:tcPr>
          <w:p w14:paraId="06CF0937" w14:textId="7FF55240" w:rsidR="008A5369" w:rsidRPr="001255EB" w:rsidRDefault="003E3364" w:rsidP="001255EB">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r w:rsidR="008A5369" w:rsidRPr="001255EB" w14:paraId="25845221" w14:textId="77777777" w:rsidTr="008A5369">
        <w:trPr>
          <w:jc w:val="center"/>
        </w:trPr>
        <w:tc>
          <w:tcPr>
            <w:tcW w:w="683" w:type="dxa"/>
            <w:vAlign w:val="center"/>
          </w:tcPr>
          <w:p w14:paraId="787EE37B" w14:textId="2C1D9A8A" w:rsidR="008A5369" w:rsidRPr="001255EB" w:rsidRDefault="008A5369" w:rsidP="001255EB">
            <w:pPr>
              <w:pStyle w:val="Bodytextfirst"/>
              <w:jc w:val="center"/>
            </w:pPr>
            <w:r w:rsidRPr="001255EB">
              <w:t>s</w:t>
            </w:r>
          </w:p>
        </w:tc>
        <w:tc>
          <w:tcPr>
            <w:tcW w:w="1073" w:type="dxa"/>
            <w:vAlign w:val="center"/>
          </w:tcPr>
          <w:p w14:paraId="6C918347" w14:textId="371831E2" w:rsidR="008A5369" w:rsidRPr="001255EB" w:rsidRDefault="008A5369" w:rsidP="001255EB">
            <w:pPr>
              <w:pStyle w:val="Bodytextfirst"/>
              <w:jc w:val="center"/>
            </w:pPr>
            <w:r w:rsidRPr="001255EB">
              <w:t>0</w:t>
            </w:r>
          </w:p>
        </w:tc>
        <w:tc>
          <w:tcPr>
            <w:tcW w:w="850" w:type="dxa"/>
            <w:vAlign w:val="center"/>
          </w:tcPr>
          <w:p w14:paraId="0BBF97AF" w14:textId="6B278B88" w:rsidR="008A5369" w:rsidRPr="001255EB" w:rsidRDefault="008A5369" w:rsidP="001255EB">
            <w:pPr>
              <w:pStyle w:val="Bodytextfirst"/>
              <w:jc w:val="center"/>
            </w:pPr>
            <w:r w:rsidRPr="001255EB">
              <w:t>1</w:t>
            </w:r>
          </w:p>
        </w:tc>
        <w:tc>
          <w:tcPr>
            <w:tcW w:w="708" w:type="dxa"/>
            <w:vAlign w:val="center"/>
          </w:tcPr>
          <w:p w14:paraId="2EE053F6" w14:textId="12EF91F8" w:rsidR="008A5369" w:rsidRPr="001255EB" w:rsidRDefault="008A5369" w:rsidP="001255EB">
            <w:pPr>
              <w:pStyle w:val="Bodytextfirst"/>
              <w:jc w:val="center"/>
            </w:pPr>
            <w:r w:rsidRPr="001255EB">
              <w:t>1</w:t>
            </w:r>
          </w:p>
        </w:tc>
        <w:tc>
          <w:tcPr>
            <w:tcW w:w="877" w:type="dxa"/>
            <w:vAlign w:val="center"/>
          </w:tcPr>
          <w:p w14:paraId="44FFD467" w14:textId="1DF018BD" w:rsidR="008A5369" w:rsidRPr="001255EB" w:rsidRDefault="008A5369" w:rsidP="001255EB">
            <w:pPr>
              <w:pStyle w:val="Bodytextfirst"/>
              <w:jc w:val="center"/>
            </w:pPr>
            <w:r w:rsidRPr="001255EB">
              <w:t>1</w:t>
            </w:r>
          </w:p>
        </w:tc>
      </w:tr>
    </w:tbl>
    <w:p w14:paraId="58A8D284" w14:textId="15DA0394" w:rsidR="00083B9A" w:rsidRPr="00731E04" w:rsidRDefault="0099290C" w:rsidP="00B7490D">
      <w:pPr>
        <w:pStyle w:val="Bodytextfirst"/>
        <w:rPr>
          <w:sz w:val="20"/>
          <w:szCs w:val="20"/>
        </w:rPr>
      </w:pPr>
      <w:r w:rsidRPr="00731E04">
        <w:rPr>
          <w:sz w:val="20"/>
          <w:szCs w:val="20"/>
        </w:rPr>
        <w:t xml:space="preserve"> </w:t>
      </w:r>
      <w:r w:rsidR="00023E47" w:rsidRPr="00731E04">
        <w:rPr>
          <w:sz w:val="20"/>
          <w:szCs w:val="20"/>
        </w:rPr>
        <w:t xml:space="preserve">    </w:t>
      </w:r>
    </w:p>
    <w:p w14:paraId="4BB3E793" w14:textId="34C85746" w:rsidR="00187C0C" w:rsidRPr="00187C0C" w:rsidRDefault="00187C0C" w:rsidP="00187C0C">
      <w:pPr>
        <w:pStyle w:val="Bodytextfirst"/>
        <w:rPr>
          <w:sz w:val="20"/>
          <w:szCs w:val="20"/>
        </w:rPr>
      </w:pPr>
      <w:r w:rsidRPr="00187C0C">
        <w:rPr>
          <w:sz w:val="20"/>
          <w:szCs w:val="20"/>
        </w:rPr>
        <w:t xml:space="preserve">Please note that </w:t>
      </w:r>
      <w:r w:rsidR="00ED72FE">
        <w:rPr>
          <w:sz w:val="20"/>
          <w:szCs w:val="20"/>
        </w:rPr>
        <w:t>in Tab. </w:t>
      </w:r>
      <w:r w:rsidR="00ED72FE" w:rsidRPr="00187C0C">
        <w:rPr>
          <w:sz w:val="20"/>
          <w:szCs w:val="20"/>
        </w:rPr>
        <w:t>3</w:t>
      </w:r>
      <w:r w:rsidR="00ED72FE">
        <w:rPr>
          <w:sz w:val="20"/>
          <w:szCs w:val="20"/>
        </w:rPr>
        <w:t>,</w:t>
      </w:r>
      <w:r w:rsidR="00ED72FE" w:rsidRPr="00187C0C">
        <w:rPr>
          <w:sz w:val="20"/>
          <w:szCs w:val="20"/>
        </w:rPr>
        <w:t xml:space="preserve"> </w:t>
      </w:r>
      <w:r w:rsidRPr="00187C0C">
        <w:rPr>
          <w:sz w:val="20"/>
          <w:szCs w:val="20"/>
        </w:rPr>
        <w:t>all signatures</w:t>
      </w:r>
      <w:r w:rsidR="00ED72FE">
        <w:rPr>
          <w:sz w:val="20"/>
          <w:szCs w:val="20"/>
        </w:rPr>
        <w:t xml:space="preserve"> of all faults </w:t>
      </w:r>
      <w:r w:rsidRPr="00187C0C">
        <w:rPr>
          <w:sz w:val="20"/>
          <w:szCs w:val="20"/>
        </w:rPr>
        <w:t>are identical</w:t>
      </w:r>
      <w:r w:rsidR="00ED72FE">
        <w:rPr>
          <w:sz w:val="20"/>
          <w:szCs w:val="20"/>
        </w:rPr>
        <w:t>.</w:t>
      </w:r>
      <w:r w:rsidRPr="00187C0C">
        <w:rPr>
          <w:sz w:val="20"/>
          <w:szCs w:val="20"/>
        </w:rPr>
        <w:t xml:space="preserve"> Therefore, in case of failure, we cannot indicate which fault</w:t>
      </w:r>
      <w:r w:rsidR="00AD14DE">
        <w:rPr>
          <w:sz w:val="20"/>
          <w:szCs w:val="20"/>
        </w:rPr>
        <w:t xml:space="preserve"> </w:t>
      </w:r>
      <w:r w:rsidRPr="00187C0C">
        <w:rPr>
          <w:sz w:val="20"/>
          <w:szCs w:val="20"/>
        </w:rPr>
        <w:t>occurred. Moreover, we cannot say anything about hypothetic compensation of fault impacts. This simple example leads to the following conclusion:</w:t>
      </w:r>
    </w:p>
    <w:p w14:paraId="3D60CA4D" w14:textId="77777777" w:rsidR="00187C0C" w:rsidRPr="00187C0C" w:rsidRDefault="00187C0C" w:rsidP="00187C0C">
      <w:pPr>
        <w:pStyle w:val="Bodytextfirst"/>
        <w:rPr>
          <w:sz w:val="20"/>
          <w:szCs w:val="20"/>
        </w:rPr>
      </w:pPr>
      <w:proofErr w:type="gramStart"/>
      <w:r w:rsidRPr="00187C0C">
        <w:rPr>
          <w:b/>
          <w:sz w:val="20"/>
          <w:szCs w:val="20"/>
        </w:rPr>
        <w:t>Conclusion 5</w:t>
      </w:r>
      <w:r w:rsidRPr="00187C0C">
        <w:rPr>
          <w:sz w:val="20"/>
          <w:szCs w:val="20"/>
        </w:rPr>
        <w:t>.</w:t>
      </w:r>
      <w:proofErr w:type="gramEnd"/>
      <w:r w:rsidRPr="00187C0C">
        <w:rPr>
          <w:sz w:val="20"/>
          <w:szCs w:val="20"/>
        </w:rPr>
        <w:t xml:space="preserve"> </w:t>
      </w:r>
      <w:r w:rsidRPr="00187C0C">
        <w:rPr>
          <w:i/>
          <w:sz w:val="20"/>
          <w:szCs w:val="20"/>
        </w:rPr>
        <w:t>The binary diagnostic matrix is useless for recognition of a fault compensation effect</w:t>
      </w:r>
      <w:r w:rsidRPr="00187C0C">
        <w:rPr>
          <w:sz w:val="20"/>
          <w:szCs w:val="20"/>
        </w:rPr>
        <w:t>.</w:t>
      </w:r>
    </w:p>
    <w:p w14:paraId="453DC6DC" w14:textId="77777777" w:rsidR="00187C0C" w:rsidRPr="00187C0C" w:rsidRDefault="00187C0C" w:rsidP="00187C0C">
      <w:pPr>
        <w:pStyle w:val="Bodytextfirst"/>
        <w:rPr>
          <w:sz w:val="20"/>
          <w:szCs w:val="20"/>
        </w:rPr>
      </w:pPr>
    </w:p>
    <w:p w14:paraId="22F7F823" w14:textId="544701B3" w:rsidR="003F7DEF" w:rsidRPr="00731E04" w:rsidRDefault="00187C0C" w:rsidP="00187C0C">
      <w:pPr>
        <w:pStyle w:val="Bodytextfirst"/>
        <w:rPr>
          <w:sz w:val="20"/>
          <w:szCs w:val="20"/>
        </w:rPr>
      </w:pPr>
      <w:r w:rsidRPr="00187C0C">
        <w:rPr>
          <w:sz w:val="20"/>
          <w:szCs w:val="20"/>
        </w:rPr>
        <w:t xml:space="preserve">Next, we discuss the case of the tri-valued incidence matrix [8]. This matrix is shown in Tab. 4. Here, the values of reference diagnostic signals of multiple faults are in the set of all possible results of the algebraic sums of all diagnostic signals of single faults constituting multiple faults. For example, diagnostic signal </w:t>
      </w:r>
      <w:r w:rsidRPr="00ED72FE">
        <w:rPr>
          <w:i/>
          <w:sz w:val="20"/>
          <w:szCs w:val="20"/>
        </w:rPr>
        <w:t>s</w:t>
      </w:r>
      <w:r w:rsidRPr="00187C0C">
        <w:rPr>
          <w:sz w:val="20"/>
          <w:szCs w:val="20"/>
        </w:rPr>
        <w:t xml:space="preserve"> in Tab. 4 may have three alternative values -1 or 0 or</w:t>
      </w:r>
      <w:r w:rsidR="004A13AA">
        <w:rPr>
          <w:sz w:val="20"/>
          <w:szCs w:val="20"/>
        </w:rPr>
        <w:t xml:space="preserve"> </w:t>
      </w:r>
      <w:r w:rsidRPr="00187C0C">
        <w:rPr>
          <w:sz w:val="20"/>
          <w:szCs w:val="20"/>
        </w:rPr>
        <w:t>+1.</w:t>
      </w:r>
    </w:p>
    <w:p w14:paraId="3D3419C2" w14:textId="4B782A90" w:rsidR="00DD0B76" w:rsidRPr="00BF032C" w:rsidRDefault="00DD0B76" w:rsidP="00DD0B76">
      <w:pPr>
        <w:pStyle w:val="Legenda"/>
        <w:keepNext/>
        <w:rPr>
          <w:rFonts w:cs="Times New Roman"/>
          <w:lang w:val="en-US"/>
        </w:rPr>
      </w:pPr>
      <w:proofErr w:type="gramStart"/>
      <w:r w:rsidRPr="00BF032C">
        <w:rPr>
          <w:rFonts w:cs="Times New Roman"/>
          <w:lang w:val="en-US"/>
        </w:rPr>
        <w:t>Table 4.</w:t>
      </w:r>
      <w:proofErr w:type="gramEnd"/>
      <w:r w:rsidRPr="00BF032C">
        <w:rPr>
          <w:rFonts w:cs="Times New Roman"/>
          <w:lang w:val="en-US"/>
        </w:rPr>
        <w:t xml:space="preserve">  </w:t>
      </w:r>
      <w:proofErr w:type="gramStart"/>
      <w:r w:rsidRPr="00BF032C">
        <w:rPr>
          <w:rFonts w:cs="Times New Roman"/>
          <w:lang w:val="en-US"/>
        </w:rPr>
        <w:t>Tri</w:t>
      </w:r>
      <w:r w:rsidR="003C4841" w:rsidRPr="00BF032C">
        <w:rPr>
          <w:rFonts w:cs="Times New Roman"/>
          <w:lang w:val="en-US"/>
        </w:rPr>
        <w:t>nary</w:t>
      </w:r>
      <w:r w:rsidRPr="00BF032C">
        <w:rPr>
          <w:rFonts w:cs="Times New Roman"/>
          <w:lang w:val="en-US"/>
        </w:rPr>
        <w:t xml:space="preserve"> diagnostic matrix for residual (2).</w:t>
      </w:r>
      <w:proofErr w:type="gramEnd"/>
    </w:p>
    <w:tbl>
      <w:tblPr>
        <w:tblStyle w:val="Tabela-Siatka"/>
        <w:tblW w:w="4307" w:type="dxa"/>
        <w:jc w:val="center"/>
        <w:tblInd w:w="108" w:type="dxa"/>
        <w:tblLook w:val="04A0" w:firstRow="1" w:lastRow="0" w:firstColumn="1" w:lastColumn="0" w:noHBand="0" w:noVBand="1"/>
      </w:tblPr>
      <w:tblGrid>
        <w:gridCol w:w="683"/>
        <w:gridCol w:w="1073"/>
        <w:gridCol w:w="850"/>
        <w:gridCol w:w="708"/>
        <w:gridCol w:w="993"/>
      </w:tblGrid>
      <w:tr w:rsidR="008A5369" w:rsidRPr="001255EB" w14:paraId="7BBD5ACC" w14:textId="77777777" w:rsidTr="001255EB">
        <w:trPr>
          <w:jc w:val="center"/>
        </w:trPr>
        <w:tc>
          <w:tcPr>
            <w:tcW w:w="683" w:type="dxa"/>
            <w:tcBorders>
              <w:top w:val="nil"/>
              <w:left w:val="nil"/>
            </w:tcBorders>
            <w:vAlign w:val="center"/>
          </w:tcPr>
          <w:p w14:paraId="2D938220" w14:textId="77777777" w:rsidR="008A5369" w:rsidRPr="001255EB" w:rsidRDefault="008A5369" w:rsidP="00B7490D">
            <w:pPr>
              <w:pStyle w:val="Bodytextfirst"/>
            </w:pPr>
          </w:p>
        </w:tc>
        <w:tc>
          <w:tcPr>
            <w:tcW w:w="1073" w:type="dxa"/>
            <w:tcBorders>
              <w:top w:val="single" w:sz="4" w:space="0" w:color="auto"/>
            </w:tcBorders>
            <w:vAlign w:val="center"/>
          </w:tcPr>
          <w:p w14:paraId="0EF3E011" w14:textId="692C242F" w:rsidR="008A5369" w:rsidRPr="001255EB" w:rsidRDefault="008A5369" w:rsidP="00ED72FE">
            <w:pPr>
              <w:pStyle w:val="Bodytextfirst"/>
            </w:pPr>
            <w:r w:rsidRPr="001255EB">
              <w:t>fault</w:t>
            </w:r>
            <w:r w:rsidR="00ED72FE">
              <w:t>-</w:t>
            </w:r>
            <w:r w:rsidRPr="001255EB">
              <w:t>free</w:t>
            </w:r>
          </w:p>
        </w:tc>
        <w:tc>
          <w:tcPr>
            <w:tcW w:w="850" w:type="dxa"/>
            <w:tcBorders>
              <w:top w:val="single" w:sz="4" w:space="0" w:color="auto"/>
            </w:tcBorders>
            <w:vAlign w:val="center"/>
          </w:tcPr>
          <w:p w14:paraId="3CE7A8DE" w14:textId="77777777" w:rsidR="008A5369" w:rsidRPr="001255EB"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708" w:type="dxa"/>
            <w:tcBorders>
              <w:top w:val="single" w:sz="4" w:space="0" w:color="auto"/>
            </w:tcBorders>
            <w:vAlign w:val="center"/>
          </w:tcPr>
          <w:p w14:paraId="1E462B6F" w14:textId="77777777" w:rsidR="008A5369" w:rsidRPr="001255EB"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993" w:type="dxa"/>
            <w:tcBorders>
              <w:top w:val="single" w:sz="4" w:space="0" w:color="auto"/>
            </w:tcBorders>
            <w:vAlign w:val="center"/>
          </w:tcPr>
          <w:p w14:paraId="04FD128D" w14:textId="77777777" w:rsidR="008A5369" w:rsidRPr="001255EB"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r w:rsidR="008A5369" w:rsidRPr="001255EB" w14:paraId="750D8FA3" w14:textId="77777777" w:rsidTr="001255EB">
        <w:trPr>
          <w:jc w:val="center"/>
        </w:trPr>
        <w:tc>
          <w:tcPr>
            <w:tcW w:w="683" w:type="dxa"/>
            <w:vAlign w:val="center"/>
          </w:tcPr>
          <w:p w14:paraId="2A51516D" w14:textId="77777777" w:rsidR="008A5369" w:rsidRPr="001255EB" w:rsidRDefault="008A5369" w:rsidP="00B7490D">
            <w:pPr>
              <w:pStyle w:val="Bodytextfirst"/>
            </w:pPr>
            <w:r w:rsidRPr="001255EB">
              <w:t>s</w:t>
            </w:r>
          </w:p>
        </w:tc>
        <w:tc>
          <w:tcPr>
            <w:tcW w:w="1073" w:type="dxa"/>
            <w:vAlign w:val="center"/>
          </w:tcPr>
          <w:p w14:paraId="0CAD8C1B" w14:textId="77777777" w:rsidR="008A5369" w:rsidRPr="001255EB" w:rsidRDefault="008A5369" w:rsidP="001255EB">
            <w:pPr>
              <w:pStyle w:val="Bodytextfirst"/>
              <w:jc w:val="center"/>
            </w:pPr>
            <w:r w:rsidRPr="001255EB">
              <w:t>0</w:t>
            </w:r>
          </w:p>
        </w:tc>
        <w:tc>
          <w:tcPr>
            <w:tcW w:w="850" w:type="dxa"/>
            <w:vAlign w:val="center"/>
          </w:tcPr>
          <w:p w14:paraId="78E4A28D" w14:textId="244C58DA" w:rsidR="008A5369" w:rsidRPr="001255EB" w:rsidRDefault="008A5369" w:rsidP="001255EB">
            <w:pPr>
              <w:pStyle w:val="Bodytextfirst"/>
              <w:jc w:val="center"/>
            </w:pPr>
            <w:r w:rsidRPr="001255EB">
              <w:t>-1</w:t>
            </w:r>
          </w:p>
        </w:tc>
        <w:tc>
          <w:tcPr>
            <w:tcW w:w="708" w:type="dxa"/>
            <w:vAlign w:val="center"/>
          </w:tcPr>
          <w:p w14:paraId="763CE4A5" w14:textId="1FF9679B" w:rsidR="008A5369" w:rsidRPr="001255EB" w:rsidRDefault="008A5369" w:rsidP="001255EB">
            <w:pPr>
              <w:pStyle w:val="Bodytextfirst"/>
              <w:jc w:val="center"/>
            </w:pPr>
            <w:r w:rsidRPr="001255EB">
              <w:t>+1</w:t>
            </w:r>
          </w:p>
        </w:tc>
        <w:tc>
          <w:tcPr>
            <w:tcW w:w="993" w:type="dxa"/>
            <w:vAlign w:val="center"/>
          </w:tcPr>
          <w:p w14:paraId="191C7DAA" w14:textId="66141135" w:rsidR="008A5369" w:rsidRPr="001255EB" w:rsidRDefault="008A5369" w:rsidP="001255EB">
            <w:pPr>
              <w:pStyle w:val="Bodytextfirst"/>
              <w:jc w:val="center"/>
            </w:pPr>
            <w:r w:rsidRPr="001255EB">
              <w:t>-1, 0, +1</w:t>
            </w:r>
          </w:p>
        </w:tc>
      </w:tr>
    </w:tbl>
    <w:p w14:paraId="594F0441" w14:textId="77777777" w:rsidR="005A51C1" w:rsidRDefault="005A51C1" w:rsidP="00B7490D">
      <w:pPr>
        <w:pStyle w:val="Bodytextfirst"/>
        <w:rPr>
          <w:sz w:val="20"/>
          <w:szCs w:val="20"/>
        </w:rPr>
      </w:pPr>
    </w:p>
    <w:p w14:paraId="7C38629E" w14:textId="3ADAB85E" w:rsidR="00187C0C" w:rsidRPr="00187C0C" w:rsidRDefault="00187C0C" w:rsidP="00187C0C">
      <w:pPr>
        <w:pStyle w:val="Bodytextfirst"/>
        <w:rPr>
          <w:sz w:val="20"/>
          <w:szCs w:val="20"/>
        </w:rPr>
      </w:pPr>
      <w:r w:rsidRPr="00187C0C">
        <w:rPr>
          <w:sz w:val="20"/>
          <w:szCs w:val="20"/>
        </w:rPr>
        <w:t xml:space="preserve">Now, we can easily distinguish single faults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sidRPr="003F5C75">
        <w:rPr>
          <w:sz w:val="20"/>
          <w:szCs w:val="20"/>
        </w:rPr>
        <w:t xml:space="preserve"> </w:t>
      </w:r>
      <w:proofErr w:type="gramStart"/>
      <w:r w:rsidRPr="003F5C75">
        <w:rPr>
          <w:sz w:val="20"/>
          <w:szCs w:val="20"/>
        </w:rPr>
        <w:t xml:space="preserve">and </w:t>
      </w:r>
      <w:proofErr w:type="gramEnd"/>
      <m:oMath>
        <m:sSub>
          <m:sSubPr>
            <m:ctrlPr>
              <w:rPr>
                <w:rFonts w:ascii="Cambria Math" w:hAnsi="Cambria Math"/>
                <w:i/>
              </w:rPr>
            </m:ctrlPr>
          </m:sSubPr>
          <m:e>
            <m:r>
              <w:rPr>
                <w:rFonts w:ascii="Cambria Math" w:hAnsi="Cambria Math"/>
              </w:rPr>
              <m:t>f</m:t>
            </m:r>
          </m:e>
          <m:sub>
            <m:r>
              <w:rPr>
                <w:rFonts w:ascii="Cambria Math" w:hAnsi="Cambria Math"/>
              </w:rPr>
              <m:t>2</m:t>
            </m:r>
          </m:sub>
        </m:sSub>
      </m:oMath>
      <w:r w:rsidRPr="00187C0C">
        <w:rPr>
          <w:sz w:val="20"/>
          <w:szCs w:val="20"/>
        </w:rPr>
        <w:t xml:space="preserve">. The reason is that </w:t>
      </w:r>
      <w:r w:rsidR="004A13AA">
        <w:rPr>
          <w:sz w:val="20"/>
          <w:szCs w:val="20"/>
        </w:rPr>
        <w:t xml:space="preserve">quite </w:t>
      </w:r>
      <w:r w:rsidRPr="00187C0C">
        <w:rPr>
          <w:sz w:val="20"/>
          <w:szCs w:val="20"/>
        </w:rPr>
        <w:t xml:space="preserve">distinct diagnostic signal values </w:t>
      </w:r>
      <w:r w:rsidRPr="00187C0C">
        <w:rPr>
          <w:sz w:val="20"/>
          <w:szCs w:val="20"/>
        </w:rPr>
        <w:lastRenderedPageBreak/>
        <w:t xml:space="preserve">are assigned to both faults. However, both single faults are conditionally indistinguishable from double fault. Moreover, the double fault may not be distinguishable from the fault-free state of the process. </w:t>
      </w:r>
      <w:r w:rsidR="00ED72FE">
        <w:rPr>
          <w:sz w:val="20"/>
          <w:szCs w:val="20"/>
        </w:rPr>
        <w:t>It</w:t>
      </w:r>
      <w:r w:rsidRPr="00187C0C">
        <w:rPr>
          <w:sz w:val="20"/>
          <w:szCs w:val="20"/>
        </w:rPr>
        <w:t xml:space="preserve"> takes place</w:t>
      </w:r>
      <w:r w:rsidR="00ED72FE">
        <w:rPr>
          <w:sz w:val="20"/>
          <w:szCs w:val="20"/>
        </w:rPr>
        <w:t>,</w:t>
      </w:r>
      <w:r w:rsidRPr="00187C0C">
        <w:rPr>
          <w:sz w:val="20"/>
          <w:szCs w:val="20"/>
        </w:rPr>
        <w:t xml:space="preserve"> for example</w:t>
      </w:r>
      <w:r w:rsidR="00ED72FE">
        <w:rPr>
          <w:sz w:val="20"/>
          <w:szCs w:val="20"/>
        </w:rPr>
        <w:t>,</w:t>
      </w:r>
      <w:r w:rsidRPr="00187C0C">
        <w:rPr>
          <w:sz w:val="20"/>
          <w:szCs w:val="20"/>
        </w:rPr>
        <w:t xml:space="preserve"> for</w:t>
      </w:r>
      <w:r w:rsidR="004A13AA">
        <w:rPr>
          <w:sz w:val="20"/>
          <w:szCs w:val="20"/>
        </w:rPr>
        <w:t xml:space="preserve"> diagnostic signal </w:t>
      </w:r>
      <w:r w:rsidRPr="00187C0C">
        <w:rPr>
          <w:sz w:val="20"/>
          <w:szCs w:val="20"/>
        </w:rPr>
        <w:t xml:space="preserve">  </w:t>
      </w:r>
      <w:r w:rsidRPr="004A13AA">
        <w:rPr>
          <w:i/>
          <w:sz w:val="20"/>
          <w:szCs w:val="20"/>
        </w:rPr>
        <w:t>s=0</w:t>
      </w:r>
      <w:r w:rsidRPr="00187C0C">
        <w:rPr>
          <w:sz w:val="20"/>
          <w:szCs w:val="20"/>
        </w:rPr>
        <w:t xml:space="preserve">.  </w:t>
      </w:r>
    </w:p>
    <w:p w14:paraId="1A2C5012" w14:textId="6AAC0AB8" w:rsidR="00187C0C" w:rsidRPr="00187C0C" w:rsidRDefault="00187C0C" w:rsidP="00187C0C">
      <w:pPr>
        <w:pStyle w:val="Bodytextfirst"/>
        <w:rPr>
          <w:sz w:val="20"/>
          <w:szCs w:val="20"/>
        </w:rPr>
      </w:pPr>
      <w:r w:rsidRPr="00187C0C">
        <w:rPr>
          <w:sz w:val="20"/>
          <w:szCs w:val="20"/>
        </w:rPr>
        <w:t xml:space="preserve">There is to mention that tri-valued residuals allow for </w:t>
      </w:r>
      <w:r w:rsidR="00ED72FE">
        <w:rPr>
          <w:sz w:val="20"/>
          <w:szCs w:val="20"/>
        </w:rPr>
        <w:t>an</w:t>
      </w:r>
      <w:r w:rsidRPr="00187C0C">
        <w:rPr>
          <w:sz w:val="20"/>
          <w:szCs w:val="20"/>
        </w:rPr>
        <w:t xml:space="preserve"> indication of possible fault compensation. Based on the observations</w:t>
      </w:r>
      <w:r w:rsidR="00ED72FE">
        <w:rPr>
          <w:sz w:val="20"/>
          <w:szCs w:val="20"/>
        </w:rPr>
        <w:t>,</w:t>
      </w:r>
      <w:r w:rsidRPr="00187C0C">
        <w:rPr>
          <w:sz w:val="20"/>
          <w:szCs w:val="20"/>
        </w:rPr>
        <w:t xml:space="preserve"> we can formulate necessary and sufficient conditions for fault compensation </w:t>
      </w:r>
      <w:r w:rsidR="00ED72FE">
        <w:rPr>
          <w:sz w:val="20"/>
          <w:szCs w:val="20"/>
        </w:rPr>
        <w:t>concerning</w:t>
      </w:r>
      <w:r w:rsidRPr="00187C0C">
        <w:rPr>
          <w:sz w:val="20"/>
          <w:szCs w:val="20"/>
        </w:rPr>
        <w:t xml:space="preserve"> diagnostic signals. </w:t>
      </w:r>
    </w:p>
    <w:p w14:paraId="2E70346F" w14:textId="7629DD97" w:rsidR="00187C0C" w:rsidRPr="00187C0C" w:rsidRDefault="00187C0C" w:rsidP="00187C0C">
      <w:pPr>
        <w:pStyle w:val="Bodytextfirst"/>
        <w:rPr>
          <w:i/>
          <w:sz w:val="20"/>
          <w:szCs w:val="20"/>
        </w:rPr>
      </w:pPr>
      <w:proofErr w:type="gramStart"/>
      <w:r>
        <w:rPr>
          <w:b/>
          <w:sz w:val="20"/>
          <w:szCs w:val="20"/>
        </w:rPr>
        <w:t xml:space="preserve">Condition </w:t>
      </w:r>
      <w:r w:rsidRPr="00187C0C">
        <w:rPr>
          <w:b/>
          <w:sz w:val="20"/>
          <w:szCs w:val="20"/>
        </w:rPr>
        <w:t>1</w:t>
      </w:r>
      <w:r w:rsidRPr="00187C0C">
        <w:rPr>
          <w:sz w:val="20"/>
          <w:szCs w:val="20"/>
        </w:rPr>
        <w:t>.</w:t>
      </w:r>
      <w:proofErr w:type="gramEnd"/>
      <w:r w:rsidRPr="00187C0C">
        <w:rPr>
          <w:sz w:val="20"/>
          <w:szCs w:val="20"/>
        </w:rPr>
        <w:t xml:space="preserve"> </w:t>
      </w:r>
      <w:proofErr w:type="gramStart"/>
      <w:r w:rsidRPr="00187C0C">
        <w:rPr>
          <w:sz w:val="20"/>
          <w:szCs w:val="20"/>
        </w:rPr>
        <w:t>A necessary condition for fault compensation.</w:t>
      </w:r>
      <w:proofErr w:type="gramEnd"/>
    </w:p>
    <w:p w14:paraId="0E38CA50" w14:textId="54641223" w:rsidR="004A13AA" w:rsidRPr="00187C0C" w:rsidRDefault="00187C0C" w:rsidP="00187C0C">
      <w:pPr>
        <w:pStyle w:val="Bodytextfirst"/>
        <w:rPr>
          <w:i/>
          <w:sz w:val="20"/>
          <w:szCs w:val="20"/>
        </w:rPr>
      </w:pPr>
      <w:r w:rsidRPr="00187C0C">
        <w:rPr>
          <w:i/>
          <w:sz w:val="20"/>
          <w:szCs w:val="20"/>
        </w:rPr>
        <w:t>The full set of diagnostic signals {-1</w:t>
      </w:r>
      <w:proofErr w:type="gramStart"/>
      <w:r w:rsidRPr="00187C0C">
        <w:rPr>
          <w:i/>
          <w:sz w:val="20"/>
          <w:szCs w:val="20"/>
        </w:rPr>
        <w:t>,0</w:t>
      </w:r>
      <w:proofErr w:type="gramEnd"/>
      <w:r w:rsidRPr="00187C0C">
        <w:rPr>
          <w:i/>
          <w:sz w:val="20"/>
          <w:szCs w:val="20"/>
        </w:rPr>
        <w:t xml:space="preserve">,+1} of at least one entry of multiple fault signature </w:t>
      </w:r>
      <w:r w:rsidR="004A13AA">
        <w:rPr>
          <w:i/>
          <w:sz w:val="20"/>
          <w:szCs w:val="20"/>
        </w:rPr>
        <w:t>is</w:t>
      </w:r>
      <w:r w:rsidRPr="00187C0C">
        <w:rPr>
          <w:i/>
          <w:sz w:val="20"/>
          <w:szCs w:val="20"/>
        </w:rPr>
        <w:t xml:space="preserve"> necessary </w:t>
      </w:r>
      <w:r w:rsidR="004A13AA">
        <w:rPr>
          <w:i/>
          <w:sz w:val="20"/>
          <w:szCs w:val="20"/>
        </w:rPr>
        <w:t>to indicate</w:t>
      </w:r>
      <w:r w:rsidRPr="00187C0C">
        <w:rPr>
          <w:i/>
          <w:sz w:val="20"/>
          <w:szCs w:val="20"/>
        </w:rPr>
        <w:t xml:space="preserve"> the possibility of occurrence of fault compensation effect. </w:t>
      </w:r>
    </w:p>
    <w:p w14:paraId="56BEDF00" w14:textId="66C1E0E4" w:rsidR="00187C0C" w:rsidRPr="00187C0C" w:rsidRDefault="00187C0C" w:rsidP="00187C0C">
      <w:pPr>
        <w:pStyle w:val="Bodytextfirst"/>
        <w:rPr>
          <w:sz w:val="20"/>
          <w:szCs w:val="20"/>
        </w:rPr>
      </w:pPr>
      <w:proofErr w:type="gramStart"/>
      <w:r w:rsidRPr="00187C0C">
        <w:rPr>
          <w:b/>
          <w:sz w:val="20"/>
          <w:szCs w:val="20"/>
        </w:rPr>
        <w:t>Condition 2</w:t>
      </w:r>
      <w:r w:rsidRPr="00187C0C">
        <w:rPr>
          <w:sz w:val="20"/>
          <w:szCs w:val="20"/>
        </w:rPr>
        <w:t>.</w:t>
      </w:r>
      <w:proofErr w:type="gramEnd"/>
      <w:r w:rsidRPr="00187C0C">
        <w:rPr>
          <w:sz w:val="20"/>
          <w:szCs w:val="20"/>
        </w:rPr>
        <w:t xml:space="preserve"> </w:t>
      </w:r>
      <w:proofErr w:type="gramStart"/>
      <w:r w:rsidRPr="00187C0C">
        <w:rPr>
          <w:sz w:val="20"/>
          <w:szCs w:val="20"/>
        </w:rPr>
        <w:t>Sufficient condition for fault compensation</w:t>
      </w:r>
      <w:r w:rsidR="007D4EB0">
        <w:rPr>
          <w:sz w:val="20"/>
          <w:szCs w:val="20"/>
        </w:rPr>
        <w:t>.</w:t>
      </w:r>
      <w:proofErr w:type="gramEnd"/>
    </w:p>
    <w:p w14:paraId="4298C738" w14:textId="26AB979B" w:rsidR="00187C0C" w:rsidRPr="004A13AA" w:rsidRDefault="00187C0C" w:rsidP="00187C0C">
      <w:pPr>
        <w:pStyle w:val="Bodytextfirst"/>
        <w:rPr>
          <w:i/>
          <w:sz w:val="20"/>
          <w:szCs w:val="20"/>
        </w:rPr>
      </w:pPr>
      <w:r w:rsidRPr="00187C0C">
        <w:rPr>
          <w:i/>
          <w:sz w:val="20"/>
          <w:szCs w:val="20"/>
        </w:rPr>
        <w:t xml:space="preserve">It is sufficient for fault compensation if </w:t>
      </w:r>
      <w:r w:rsidR="004A13AA">
        <w:rPr>
          <w:i/>
          <w:sz w:val="20"/>
          <w:szCs w:val="20"/>
        </w:rPr>
        <w:t xml:space="preserve">it </w:t>
      </w:r>
      <w:r w:rsidRPr="00187C0C">
        <w:rPr>
          <w:i/>
          <w:sz w:val="20"/>
          <w:szCs w:val="20"/>
        </w:rPr>
        <w:t>holds necessary condition and</w:t>
      </w:r>
      <w:r w:rsidR="007D4EB0">
        <w:rPr>
          <w:i/>
          <w:sz w:val="20"/>
          <w:szCs w:val="20"/>
        </w:rPr>
        <w:t>, moreover,</w:t>
      </w:r>
      <w:r w:rsidRPr="00187C0C">
        <w:rPr>
          <w:i/>
          <w:sz w:val="20"/>
          <w:szCs w:val="20"/>
        </w:rPr>
        <w:t xml:space="preserve"> if </w:t>
      </w:r>
      <w:r w:rsidR="007D4EB0">
        <w:rPr>
          <w:i/>
          <w:sz w:val="20"/>
          <w:szCs w:val="20"/>
        </w:rPr>
        <w:t xml:space="preserve">it </w:t>
      </w:r>
      <w:r w:rsidR="004A13AA">
        <w:rPr>
          <w:i/>
          <w:sz w:val="20"/>
          <w:szCs w:val="20"/>
        </w:rPr>
        <w:t xml:space="preserve">exists </w:t>
      </w:r>
      <w:r w:rsidRPr="00187C0C">
        <w:rPr>
          <w:i/>
          <w:sz w:val="20"/>
          <w:szCs w:val="20"/>
        </w:rPr>
        <w:t>at least any other entry of signa</w:t>
      </w:r>
      <w:r w:rsidR="004A13AA">
        <w:rPr>
          <w:i/>
          <w:sz w:val="20"/>
          <w:szCs w:val="20"/>
        </w:rPr>
        <w:t>ture of the same fault</w:t>
      </w:r>
      <w:r w:rsidRPr="00187C0C">
        <w:rPr>
          <w:i/>
          <w:sz w:val="20"/>
          <w:szCs w:val="20"/>
        </w:rPr>
        <w:t xml:space="preserve"> </w:t>
      </w:r>
      <w:r w:rsidR="004A13AA">
        <w:rPr>
          <w:i/>
          <w:sz w:val="20"/>
          <w:szCs w:val="20"/>
        </w:rPr>
        <w:t xml:space="preserve">that </w:t>
      </w:r>
      <w:r w:rsidRPr="00187C0C">
        <w:rPr>
          <w:i/>
          <w:sz w:val="20"/>
          <w:szCs w:val="20"/>
        </w:rPr>
        <w:t xml:space="preserve">does not contain 0 value. </w:t>
      </w:r>
    </w:p>
    <w:p w14:paraId="0938B9D0" w14:textId="7A1F9551" w:rsidR="003C4841" w:rsidRPr="00731E04" w:rsidRDefault="00187C0C" w:rsidP="00187C0C">
      <w:pPr>
        <w:pStyle w:val="Bodytextfirst"/>
        <w:rPr>
          <w:sz w:val="20"/>
          <w:szCs w:val="20"/>
        </w:rPr>
      </w:pPr>
      <w:r w:rsidRPr="00187C0C">
        <w:rPr>
          <w:sz w:val="20"/>
          <w:szCs w:val="20"/>
        </w:rPr>
        <w:t xml:space="preserve">Let us now discuss the case of a diagnostic system for which the GP graph is shown in Fig. 4. The appropriate binary and trinary diagnostic matrices are shown respectively in Tabs. </w:t>
      </w:r>
      <w:proofErr w:type="gramStart"/>
      <w:r w:rsidRPr="00187C0C">
        <w:rPr>
          <w:sz w:val="20"/>
          <w:szCs w:val="20"/>
        </w:rPr>
        <w:t>5 and 6</w:t>
      </w:r>
      <w:r w:rsidR="003C4841" w:rsidRPr="00731E04">
        <w:rPr>
          <w:sz w:val="20"/>
          <w:szCs w:val="20"/>
        </w:rPr>
        <w:t>.</w:t>
      </w:r>
      <w:proofErr w:type="gramEnd"/>
    </w:p>
    <w:p w14:paraId="4A42F346" w14:textId="328B4E0F" w:rsidR="003C4841" w:rsidRPr="00B96DC1" w:rsidRDefault="003C4841" w:rsidP="003C4841">
      <w:pPr>
        <w:pStyle w:val="Legenda"/>
        <w:keepNext/>
        <w:rPr>
          <w:rFonts w:cs="Times New Roman"/>
          <w:lang w:val="en-US"/>
        </w:rPr>
      </w:pPr>
      <w:proofErr w:type="gramStart"/>
      <w:r w:rsidRPr="00B96DC1">
        <w:rPr>
          <w:rFonts w:cs="Times New Roman"/>
          <w:lang w:val="en-US"/>
        </w:rPr>
        <w:t>Table 5.</w:t>
      </w:r>
      <w:proofErr w:type="gramEnd"/>
      <w:r w:rsidRPr="00B96DC1">
        <w:rPr>
          <w:rFonts w:cs="Times New Roman"/>
          <w:lang w:val="en-US"/>
        </w:rPr>
        <w:t xml:space="preserve">  </w:t>
      </w:r>
      <w:proofErr w:type="gramStart"/>
      <w:r w:rsidRPr="00B96DC1">
        <w:rPr>
          <w:rFonts w:cs="Times New Roman"/>
          <w:lang w:val="en-US"/>
        </w:rPr>
        <w:t>Binary diagnostic matrix for residual (8).</w:t>
      </w:r>
      <w:proofErr w:type="gramEnd"/>
    </w:p>
    <w:tbl>
      <w:tblPr>
        <w:tblStyle w:val="Tabela-Siatka"/>
        <w:tblW w:w="4191" w:type="dxa"/>
        <w:jc w:val="center"/>
        <w:tblInd w:w="108" w:type="dxa"/>
        <w:tblLook w:val="04A0" w:firstRow="1" w:lastRow="0" w:firstColumn="1" w:lastColumn="0" w:noHBand="0" w:noVBand="1"/>
      </w:tblPr>
      <w:tblGrid>
        <w:gridCol w:w="683"/>
        <w:gridCol w:w="1073"/>
        <w:gridCol w:w="850"/>
        <w:gridCol w:w="708"/>
        <w:gridCol w:w="877"/>
      </w:tblGrid>
      <w:tr w:rsidR="003C4841" w:rsidRPr="00B96DC1" w14:paraId="6C6AC654" w14:textId="77777777" w:rsidTr="00B96DC1">
        <w:trPr>
          <w:jc w:val="center"/>
        </w:trPr>
        <w:tc>
          <w:tcPr>
            <w:tcW w:w="683" w:type="dxa"/>
            <w:tcBorders>
              <w:top w:val="nil"/>
              <w:left w:val="nil"/>
            </w:tcBorders>
            <w:vAlign w:val="center"/>
          </w:tcPr>
          <w:p w14:paraId="057BADEF" w14:textId="77777777" w:rsidR="003C4841" w:rsidRPr="00B96DC1" w:rsidRDefault="003C4841" w:rsidP="00B7490D">
            <w:pPr>
              <w:pStyle w:val="Bodytextfirst"/>
            </w:pPr>
          </w:p>
        </w:tc>
        <w:tc>
          <w:tcPr>
            <w:tcW w:w="1073" w:type="dxa"/>
            <w:tcBorders>
              <w:top w:val="single" w:sz="4" w:space="0" w:color="auto"/>
            </w:tcBorders>
            <w:vAlign w:val="center"/>
          </w:tcPr>
          <w:p w14:paraId="74CC53B5" w14:textId="0D073975" w:rsidR="003C4841" w:rsidRPr="00B96DC1" w:rsidRDefault="003C4841" w:rsidP="00ED72FE">
            <w:pPr>
              <w:pStyle w:val="Bodytextfirst"/>
            </w:pPr>
            <w:r w:rsidRPr="00B96DC1">
              <w:t>fault</w:t>
            </w:r>
            <w:r w:rsidR="00ED72FE">
              <w:t>-</w:t>
            </w:r>
            <w:r w:rsidRPr="00B96DC1">
              <w:t>free</w:t>
            </w:r>
          </w:p>
        </w:tc>
        <w:tc>
          <w:tcPr>
            <w:tcW w:w="850" w:type="dxa"/>
            <w:tcBorders>
              <w:top w:val="single" w:sz="4" w:space="0" w:color="auto"/>
            </w:tcBorders>
            <w:vAlign w:val="center"/>
          </w:tcPr>
          <w:p w14:paraId="5DB43532" w14:textId="77777777" w:rsidR="003C4841"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708" w:type="dxa"/>
            <w:tcBorders>
              <w:top w:val="single" w:sz="4" w:space="0" w:color="auto"/>
            </w:tcBorders>
            <w:vAlign w:val="center"/>
          </w:tcPr>
          <w:p w14:paraId="6569B553" w14:textId="77777777" w:rsidR="003C4841"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877" w:type="dxa"/>
            <w:tcBorders>
              <w:top w:val="single" w:sz="4" w:space="0" w:color="auto"/>
            </w:tcBorders>
            <w:vAlign w:val="center"/>
          </w:tcPr>
          <w:p w14:paraId="235E1C27" w14:textId="77777777" w:rsidR="003C4841"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r w:rsidR="003C4841" w:rsidRPr="00B96DC1" w14:paraId="18140582" w14:textId="77777777" w:rsidTr="00B96DC1">
        <w:trPr>
          <w:jc w:val="center"/>
        </w:trPr>
        <w:tc>
          <w:tcPr>
            <w:tcW w:w="683" w:type="dxa"/>
            <w:vAlign w:val="center"/>
          </w:tcPr>
          <w:p w14:paraId="57476D44" w14:textId="74F90C3A" w:rsidR="003C4841" w:rsidRPr="00B96DC1" w:rsidRDefault="003C4841" w:rsidP="00B96DC1">
            <w:pPr>
              <w:pStyle w:val="Bodytextfirst"/>
              <w:jc w:val="center"/>
            </w:pPr>
            <w:r w:rsidRPr="00B96DC1">
              <w:t>s</w:t>
            </w:r>
            <w:r w:rsidRPr="00B96DC1">
              <w:rPr>
                <w:vertAlign w:val="subscript"/>
              </w:rPr>
              <w:t>1</w:t>
            </w:r>
          </w:p>
        </w:tc>
        <w:tc>
          <w:tcPr>
            <w:tcW w:w="1073" w:type="dxa"/>
            <w:vAlign w:val="center"/>
          </w:tcPr>
          <w:p w14:paraId="6A37A0FE" w14:textId="544BC0AD" w:rsidR="003C4841" w:rsidRPr="00B96DC1" w:rsidRDefault="003C4841" w:rsidP="00B96DC1">
            <w:pPr>
              <w:pStyle w:val="Bodytextfirst"/>
              <w:jc w:val="center"/>
            </w:pPr>
            <w:r w:rsidRPr="00B96DC1">
              <w:t>0</w:t>
            </w:r>
          </w:p>
        </w:tc>
        <w:tc>
          <w:tcPr>
            <w:tcW w:w="850" w:type="dxa"/>
            <w:vAlign w:val="center"/>
          </w:tcPr>
          <w:p w14:paraId="73282190" w14:textId="1581C39F" w:rsidR="003C4841" w:rsidRPr="00B96DC1" w:rsidRDefault="003C4841" w:rsidP="00B96DC1">
            <w:pPr>
              <w:pStyle w:val="Bodytextfirst"/>
              <w:jc w:val="center"/>
            </w:pPr>
            <w:r w:rsidRPr="00B96DC1">
              <w:t>1</w:t>
            </w:r>
          </w:p>
        </w:tc>
        <w:tc>
          <w:tcPr>
            <w:tcW w:w="708" w:type="dxa"/>
            <w:vAlign w:val="center"/>
          </w:tcPr>
          <w:p w14:paraId="659C83BA" w14:textId="24B76523" w:rsidR="003C4841" w:rsidRPr="00B96DC1" w:rsidRDefault="008B6608" w:rsidP="00B96DC1">
            <w:pPr>
              <w:pStyle w:val="Bodytextfirst"/>
              <w:jc w:val="center"/>
            </w:pPr>
            <w:r w:rsidRPr="00B96DC1">
              <w:t>0</w:t>
            </w:r>
          </w:p>
        </w:tc>
        <w:tc>
          <w:tcPr>
            <w:tcW w:w="877" w:type="dxa"/>
            <w:vAlign w:val="center"/>
          </w:tcPr>
          <w:p w14:paraId="40765E7F" w14:textId="7C1B1C0B" w:rsidR="003C4841" w:rsidRPr="00B96DC1" w:rsidRDefault="003C4841" w:rsidP="00B96DC1">
            <w:pPr>
              <w:pStyle w:val="Bodytextfirst"/>
              <w:jc w:val="center"/>
            </w:pPr>
            <w:r w:rsidRPr="00B96DC1">
              <w:t>1</w:t>
            </w:r>
          </w:p>
        </w:tc>
      </w:tr>
      <w:tr w:rsidR="008B6608" w:rsidRPr="00B96DC1" w14:paraId="6E664917" w14:textId="77777777" w:rsidTr="00B96DC1">
        <w:trPr>
          <w:jc w:val="center"/>
        </w:trPr>
        <w:tc>
          <w:tcPr>
            <w:tcW w:w="683" w:type="dxa"/>
            <w:vAlign w:val="center"/>
          </w:tcPr>
          <w:p w14:paraId="71E7FD6A" w14:textId="2B3E78E8" w:rsidR="008B6608" w:rsidRPr="00B96DC1" w:rsidRDefault="008B6608" w:rsidP="00B96DC1">
            <w:pPr>
              <w:pStyle w:val="Bodytextfirst"/>
              <w:jc w:val="center"/>
            </w:pPr>
            <w:r w:rsidRPr="00B96DC1">
              <w:t>s</w:t>
            </w:r>
            <w:r w:rsidRPr="00B96DC1">
              <w:rPr>
                <w:vertAlign w:val="subscript"/>
              </w:rPr>
              <w:t>2</w:t>
            </w:r>
          </w:p>
        </w:tc>
        <w:tc>
          <w:tcPr>
            <w:tcW w:w="1073" w:type="dxa"/>
            <w:vAlign w:val="center"/>
          </w:tcPr>
          <w:p w14:paraId="6BF1C903" w14:textId="6A5CF31B" w:rsidR="008B6608" w:rsidRPr="00B96DC1" w:rsidRDefault="008B6608" w:rsidP="00B96DC1">
            <w:pPr>
              <w:pStyle w:val="Bodytextfirst"/>
              <w:jc w:val="center"/>
            </w:pPr>
            <w:r w:rsidRPr="00B96DC1">
              <w:t>0</w:t>
            </w:r>
          </w:p>
        </w:tc>
        <w:tc>
          <w:tcPr>
            <w:tcW w:w="850" w:type="dxa"/>
            <w:vAlign w:val="center"/>
          </w:tcPr>
          <w:p w14:paraId="35B95B85" w14:textId="37009744" w:rsidR="008B6608" w:rsidRPr="00B96DC1" w:rsidRDefault="008B6608" w:rsidP="00B96DC1">
            <w:pPr>
              <w:pStyle w:val="Bodytextfirst"/>
              <w:jc w:val="center"/>
            </w:pPr>
            <w:r w:rsidRPr="00B96DC1">
              <w:t>0</w:t>
            </w:r>
          </w:p>
        </w:tc>
        <w:tc>
          <w:tcPr>
            <w:tcW w:w="708" w:type="dxa"/>
            <w:vAlign w:val="center"/>
          </w:tcPr>
          <w:p w14:paraId="22F8D8A8" w14:textId="6748CD2F" w:rsidR="008B6608" w:rsidRPr="00B96DC1" w:rsidRDefault="008B6608" w:rsidP="00B96DC1">
            <w:pPr>
              <w:pStyle w:val="Bodytextfirst"/>
              <w:jc w:val="center"/>
            </w:pPr>
            <w:r w:rsidRPr="00B96DC1">
              <w:t>1</w:t>
            </w:r>
          </w:p>
        </w:tc>
        <w:tc>
          <w:tcPr>
            <w:tcW w:w="877" w:type="dxa"/>
            <w:vAlign w:val="center"/>
          </w:tcPr>
          <w:p w14:paraId="3F9C689E" w14:textId="6EF4646E" w:rsidR="008B6608" w:rsidRPr="00B96DC1" w:rsidRDefault="008B6608" w:rsidP="00B96DC1">
            <w:pPr>
              <w:pStyle w:val="Bodytextfirst"/>
              <w:jc w:val="center"/>
            </w:pPr>
            <w:r w:rsidRPr="00B96DC1">
              <w:t>1</w:t>
            </w:r>
          </w:p>
        </w:tc>
      </w:tr>
    </w:tbl>
    <w:p w14:paraId="6E93F541" w14:textId="77777777" w:rsidR="00763A95" w:rsidRDefault="00763A95" w:rsidP="008B6608">
      <w:pPr>
        <w:pStyle w:val="Legenda"/>
        <w:keepNext/>
        <w:rPr>
          <w:rFonts w:cs="Times New Roman"/>
          <w:lang w:val="en-US"/>
        </w:rPr>
      </w:pPr>
    </w:p>
    <w:p w14:paraId="141CC89C" w14:textId="6FD2E96C" w:rsidR="008B6608" w:rsidRPr="00B96DC1" w:rsidRDefault="008B6608" w:rsidP="008B6608">
      <w:pPr>
        <w:pStyle w:val="Legenda"/>
        <w:keepNext/>
        <w:rPr>
          <w:rFonts w:cs="Times New Roman"/>
          <w:lang w:val="en-US"/>
        </w:rPr>
      </w:pPr>
      <w:proofErr w:type="gramStart"/>
      <w:r w:rsidRPr="00B96DC1">
        <w:rPr>
          <w:rFonts w:cs="Times New Roman"/>
          <w:lang w:val="en-US"/>
        </w:rPr>
        <w:t>Table 6.</w:t>
      </w:r>
      <w:proofErr w:type="gramEnd"/>
      <w:r w:rsidRPr="00B96DC1">
        <w:rPr>
          <w:rFonts w:cs="Times New Roman"/>
          <w:lang w:val="en-US"/>
        </w:rPr>
        <w:t xml:space="preserve">  </w:t>
      </w:r>
      <w:proofErr w:type="gramStart"/>
      <w:r w:rsidRPr="00B96DC1">
        <w:rPr>
          <w:rFonts w:cs="Times New Roman"/>
          <w:lang w:val="en-US"/>
        </w:rPr>
        <w:t>Trinary diagnostic matrix for residual (8).</w:t>
      </w:r>
      <w:proofErr w:type="gramEnd"/>
    </w:p>
    <w:tbl>
      <w:tblPr>
        <w:tblStyle w:val="Tabela-Siatka"/>
        <w:tblW w:w="4191" w:type="dxa"/>
        <w:jc w:val="center"/>
        <w:tblInd w:w="108" w:type="dxa"/>
        <w:tblLook w:val="04A0" w:firstRow="1" w:lastRow="0" w:firstColumn="1" w:lastColumn="0" w:noHBand="0" w:noVBand="1"/>
      </w:tblPr>
      <w:tblGrid>
        <w:gridCol w:w="683"/>
        <w:gridCol w:w="1073"/>
        <w:gridCol w:w="850"/>
        <w:gridCol w:w="708"/>
        <w:gridCol w:w="877"/>
      </w:tblGrid>
      <w:tr w:rsidR="008B6608" w:rsidRPr="00731E04" w14:paraId="1F5E80E9" w14:textId="77777777" w:rsidTr="008E222F">
        <w:trPr>
          <w:jc w:val="center"/>
        </w:trPr>
        <w:tc>
          <w:tcPr>
            <w:tcW w:w="683" w:type="dxa"/>
            <w:tcBorders>
              <w:top w:val="nil"/>
              <w:left w:val="nil"/>
            </w:tcBorders>
            <w:vAlign w:val="center"/>
          </w:tcPr>
          <w:p w14:paraId="2F48B1F5" w14:textId="77777777" w:rsidR="008B6608" w:rsidRPr="00B96DC1" w:rsidRDefault="008B6608" w:rsidP="00B7490D">
            <w:pPr>
              <w:pStyle w:val="Bodytextfirst"/>
            </w:pPr>
          </w:p>
        </w:tc>
        <w:tc>
          <w:tcPr>
            <w:tcW w:w="1073" w:type="dxa"/>
            <w:tcBorders>
              <w:top w:val="single" w:sz="4" w:space="0" w:color="auto"/>
            </w:tcBorders>
            <w:vAlign w:val="center"/>
          </w:tcPr>
          <w:p w14:paraId="12DFE111" w14:textId="5068BC2C" w:rsidR="008B6608" w:rsidRPr="00B96DC1" w:rsidRDefault="008B6608" w:rsidP="00ED72FE">
            <w:pPr>
              <w:pStyle w:val="Bodytextfirst"/>
            </w:pPr>
            <w:r w:rsidRPr="00B96DC1">
              <w:t>fault</w:t>
            </w:r>
            <w:r w:rsidR="00ED72FE">
              <w:t>-</w:t>
            </w:r>
            <w:r w:rsidRPr="00B96DC1">
              <w:t>free</w:t>
            </w:r>
          </w:p>
        </w:tc>
        <w:tc>
          <w:tcPr>
            <w:tcW w:w="850" w:type="dxa"/>
            <w:tcBorders>
              <w:top w:val="single" w:sz="4" w:space="0" w:color="auto"/>
            </w:tcBorders>
            <w:vAlign w:val="center"/>
          </w:tcPr>
          <w:p w14:paraId="31CA1395" w14:textId="77777777" w:rsidR="008B6608"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708" w:type="dxa"/>
            <w:tcBorders>
              <w:top w:val="single" w:sz="4" w:space="0" w:color="auto"/>
            </w:tcBorders>
            <w:vAlign w:val="center"/>
          </w:tcPr>
          <w:p w14:paraId="305DFCC4" w14:textId="77777777" w:rsidR="008B6608"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877" w:type="dxa"/>
            <w:tcBorders>
              <w:top w:val="single" w:sz="4" w:space="0" w:color="auto"/>
            </w:tcBorders>
            <w:vAlign w:val="center"/>
          </w:tcPr>
          <w:p w14:paraId="20B6C98A" w14:textId="77777777" w:rsidR="008B6608" w:rsidRPr="00B96DC1" w:rsidRDefault="003E3364" w:rsidP="00B7490D">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r w:rsidR="008B6608" w:rsidRPr="00731E04" w14:paraId="3E2FAD96" w14:textId="77777777" w:rsidTr="008E222F">
        <w:trPr>
          <w:jc w:val="center"/>
        </w:trPr>
        <w:tc>
          <w:tcPr>
            <w:tcW w:w="683" w:type="dxa"/>
            <w:vAlign w:val="center"/>
          </w:tcPr>
          <w:p w14:paraId="078432F4" w14:textId="77777777" w:rsidR="008B6608" w:rsidRPr="00B96DC1" w:rsidRDefault="008B6608" w:rsidP="00B96DC1">
            <w:pPr>
              <w:pStyle w:val="Bodytextfirst"/>
              <w:jc w:val="center"/>
            </w:pPr>
            <w:r w:rsidRPr="00B96DC1">
              <w:t>s</w:t>
            </w:r>
            <w:r w:rsidRPr="00B96DC1">
              <w:rPr>
                <w:vertAlign w:val="subscript"/>
              </w:rPr>
              <w:t>1</w:t>
            </w:r>
          </w:p>
        </w:tc>
        <w:tc>
          <w:tcPr>
            <w:tcW w:w="1073" w:type="dxa"/>
            <w:vAlign w:val="center"/>
          </w:tcPr>
          <w:p w14:paraId="75A378FA" w14:textId="77777777" w:rsidR="008B6608" w:rsidRPr="00B96DC1" w:rsidRDefault="008B6608" w:rsidP="00B96DC1">
            <w:pPr>
              <w:pStyle w:val="Bodytextfirst"/>
              <w:jc w:val="center"/>
            </w:pPr>
            <w:r w:rsidRPr="00B96DC1">
              <w:t>0</w:t>
            </w:r>
          </w:p>
        </w:tc>
        <w:tc>
          <w:tcPr>
            <w:tcW w:w="850" w:type="dxa"/>
            <w:vAlign w:val="center"/>
          </w:tcPr>
          <w:p w14:paraId="1B6513D2" w14:textId="0951CFA5" w:rsidR="008B6608" w:rsidRPr="00B96DC1" w:rsidRDefault="008B6608" w:rsidP="00B96DC1">
            <w:pPr>
              <w:pStyle w:val="Bodytextfirst"/>
              <w:jc w:val="center"/>
            </w:pPr>
            <w:r w:rsidRPr="00B96DC1">
              <w:t>-1</w:t>
            </w:r>
          </w:p>
        </w:tc>
        <w:tc>
          <w:tcPr>
            <w:tcW w:w="708" w:type="dxa"/>
            <w:vAlign w:val="center"/>
          </w:tcPr>
          <w:p w14:paraId="0FB622A7" w14:textId="77777777" w:rsidR="008B6608" w:rsidRPr="00B96DC1" w:rsidRDefault="008B6608" w:rsidP="00B96DC1">
            <w:pPr>
              <w:pStyle w:val="Bodytextfirst"/>
              <w:jc w:val="center"/>
            </w:pPr>
            <w:r w:rsidRPr="00B96DC1">
              <w:t>0</w:t>
            </w:r>
          </w:p>
        </w:tc>
        <w:tc>
          <w:tcPr>
            <w:tcW w:w="877" w:type="dxa"/>
            <w:vAlign w:val="center"/>
          </w:tcPr>
          <w:p w14:paraId="595C1F75" w14:textId="2EE36FAE" w:rsidR="008B6608" w:rsidRPr="00B96DC1" w:rsidRDefault="008B6608" w:rsidP="00B96DC1">
            <w:pPr>
              <w:pStyle w:val="Bodytextfirst"/>
              <w:jc w:val="center"/>
            </w:pPr>
            <w:r w:rsidRPr="00B96DC1">
              <w:t>-1</w:t>
            </w:r>
          </w:p>
        </w:tc>
      </w:tr>
      <w:tr w:rsidR="008B6608" w:rsidRPr="00731E04" w14:paraId="5E743ED4" w14:textId="77777777" w:rsidTr="008E222F">
        <w:trPr>
          <w:jc w:val="center"/>
        </w:trPr>
        <w:tc>
          <w:tcPr>
            <w:tcW w:w="683" w:type="dxa"/>
            <w:vAlign w:val="center"/>
          </w:tcPr>
          <w:p w14:paraId="4623246A" w14:textId="77777777" w:rsidR="008B6608" w:rsidRPr="00B96DC1" w:rsidRDefault="008B6608" w:rsidP="00B96DC1">
            <w:pPr>
              <w:pStyle w:val="Bodytextfirst"/>
              <w:jc w:val="center"/>
            </w:pPr>
            <w:r w:rsidRPr="00B96DC1">
              <w:t>s</w:t>
            </w:r>
            <w:r w:rsidRPr="00B96DC1">
              <w:rPr>
                <w:vertAlign w:val="subscript"/>
              </w:rPr>
              <w:t>2</w:t>
            </w:r>
          </w:p>
        </w:tc>
        <w:tc>
          <w:tcPr>
            <w:tcW w:w="1073" w:type="dxa"/>
            <w:vAlign w:val="center"/>
          </w:tcPr>
          <w:p w14:paraId="4D38D6F1" w14:textId="77777777" w:rsidR="008B6608" w:rsidRPr="00B96DC1" w:rsidRDefault="008B6608" w:rsidP="00B96DC1">
            <w:pPr>
              <w:pStyle w:val="Bodytextfirst"/>
              <w:jc w:val="center"/>
            </w:pPr>
            <w:r w:rsidRPr="00B96DC1">
              <w:t>0</w:t>
            </w:r>
          </w:p>
        </w:tc>
        <w:tc>
          <w:tcPr>
            <w:tcW w:w="850" w:type="dxa"/>
            <w:vAlign w:val="center"/>
          </w:tcPr>
          <w:p w14:paraId="189AACA0" w14:textId="77777777" w:rsidR="008B6608" w:rsidRPr="00B96DC1" w:rsidRDefault="008B6608" w:rsidP="00B96DC1">
            <w:pPr>
              <w:pStyle w:val="Bodytextfirst"/>
              <w:jc w:val="center"/>
            </w:pPr>
            <w:r w:rsidRPr="00B96DC1">
              <w:t>0</w:t>
            </w:r>
          </w:p>
        </w:tc>
        <w:tc>
          <w:tcPr>
            <w:tcW w:w="708" w:type="dxa"/>
            <w:vAlign w:val="center"/>
          </w:tcPr>
          <w:p w14:paraId="00DD3E23" w14:textId="2297A6B7" w:rsidR="008B6608" w:rsidRPr="00B96DC1" w:rsidRDefault="008B6608" w:rsidP="00B96DC1">
            <w:pPr>
              <w:pStyle w:val="Bodytextfirst"/>
              <w:jc w:val="center"/>
            </w:pPr>
            <w:r w:rsidRPr="00B96DC1">
              <w:t>+1</w:t>
            </w:r>
          </w:p>
        </w:tc>
        <w:tc>
          <w:tcPr>
            <w:tcW w:w="877" w:type="dxa"/>
            <w:vAlign w:val="center"/>
          </w:tcPr>
          <w:p w14:paraId="42A5672F" w14:textId="66403EB3" w:rsidR="008B6608" w:rsidRPr="00B96DC1" w:rsidRDefault="008B6608" w:rsidP="00B96DC1">
            <w:pPr>
              <w:pStyle w:val="Bodytextfirst"/>
              <w:jc w:val="center"/>
            </w:pPr>
            <w:r w:rsidRPr="00B96DC1">
              <w:t>+1</w:t>
            </w:r>
          </w:p>
        </w:tc>
      </w:tr>
    </w:tbl>
    <w:p w14:paraId="2E4ECF17" w14:textId="77777777" w:rsidR="008A5369" w:rsidRPr="00731E04" w:rsidRDefault="008A5369" w:rsidP="00B7490D">
      <w:pPr>
        <w:pStyle w:val="Bodytextfirst"/>
        <w:rPr>
          <w:sz w:val="20"/>
          <w:szCs w:val="20"/>
        </w:rPr>
      </w:pPr>
    </w:p>
    <w:p w14:paraId="054B04B9" w14:textId="46064BD2" w:rsidR="00187C0C" w:rsidRPr="00187C0C" w:rsidRDefault="00187C0C" w:rsidP="00187C0C">
      <w:pPr>
        <w:pStyle w:val="Bodytextfirst"/>
        <w:rPr>
          <w:sz w:val="20"/>
          <w:szCs w:val="20"/>
        </w:rPr>
      </w:pPr>
      <w:r w:rsidRPr="00187C0C">
        <w:rPr>
          <w:sz w:val="20"/>
          <w:szCs w:val="20"/>
        </w:rPr>
        <w:t>Now, the binary diagnostic matrix allows for uniquely distinguishing all considered faults. In this case, the fault compensation effect cannot occur. Similarly, the application of the trinary diagnostic matrix shown in Tab. 6 allows for uniquely distinguishing of all faults. Here, the fault compensation effect cannot take place because the necessary condition does not hold. It is easy to see th</w:t>
      </w:r>
      <w:r w:rsidR="00ED72FE">
        <w:rPr>
          <w:sz w:val="20"/>
          <w:szCs w:val="20"/>
        </w:rPr>
        <w:t>e</w:t>
      </w:r>
      <w:r w:rsidRPr="00187C0C">
        <w:rPr>
          <w:sz w:val="20"/>
          <w:szCs w:val="20"/>
        </w:rPr>
        <w:t xml:space="preserve"> submatrix of the diagnostic matrix shown in Tab. 6</w:t>
      </w:r>
      <w:r w:rsidR="00ED72FE">
        <w:rPr>
          <w:sz w:val="20"/>
          <w:szCs w:val="20"/>
        </w:rPr>
        <w:t>,</w:t>
      </w:r>
      <w:r w:rsidRPr="00187C0C">
        <w:rPr>
          <w:sz w:val="20"/>
          <w:szCs w:val="20"/>
        </w:rPr>
        <w:t xml:space="preserve"> consisting exclusively of signatures of single faults</w:t>
      </w:r>
      <w:r w:rsidR="00ED72FE">
        <w:rPr>
          <w:sz w:val="20"/>
          <w:szCs w:val="20"/>
        </w:rPr>
        <w:t>,</w:t>
      </w:r>
      <w:r w:rsidRPr="00187C0C">
        <w:rPr>
          <w:sz w:val="20"/>
          <w:szCs w:val="20"/>
        </w:rPr>
        <w:t xml:space="preserve"> is diagonal. </w:t>
      </w:r>
    </w:p>
    <w:p w14:paraId="7F11873C" w14:textId="77777777" w:rsidR="00187C0C" w:rsidRPr="00187C0C" w:rsidRDefault="00187C0C" w:rsidP="00187C0C">
      <w:pPr>
        <w:pStyle w:val="Bodytextfirst"/>
        <w:rPr>
          <w:b/>
          <w:sz w:val="20"/>
          <w:szCs w:val="20"/>
        </w:rPr>
      </w:pPr>
      <w:r w:rsidRPr="00187C0C">
        <w:rPr>
          <w:b/>
          <w:sz w:val="20"/>
          <w:szCs w:val="20"/>
        </w:rPr>
        <w:t xml:space="preserve">Conclusion 6:  </w:t>
      </w:r>
    </w:p>
    <w:p w14:paraId="5E7DFBE3" w14:textId="5BC4CCE7" w:rsidR="00187C0C" w:rsidRPr="00187C0C" w:rsidRDefault="00187C0C" w:rsidP="00187C0C">
      <w:pPr>
        <w:pStyle w:val="Bodytextfirst"/>
        <w:rPr>
          <w:sz w:val="20"/>
          <w:szCs w:val="20"/>
        </w:rPr>
      </w:pPr>
      <w:r w:rsidRPr="00187C0C">
        <w:rPr>
          <w:i/>
          <w:sz w:val="20"/>
          <w:szCs w:val="20"/>
        </w:rPr>
        <w:t xml:space="preserve">The diagonal tri-valued binary diagnostic matrix of single faults </w:t>
      </w:r>
      <w:r w:rsidR="004A13AA">
        <w:rPr>
          <w:i/>
          <w:sz w:val="20"/>
          <w:szCs w:val="20"/>
        </w:rPr>
        <w:t xml:space="preserve">should be designed </w:t>
      </w:r>
      <w:r w:rsidRPr="00187C0C">
        <w:rPr>
          <w:i/>
          <w:sz w:val="20"/>
          <w:szCs w:val="20"/>
        </w:rPr>
        <w:t xml:space="preserve">to avoid </w:t>
      </w:r>
      <w:r w:rsidR="004A13AA">
        <w:rPr>
          <w:i/>
          <w:sz w:val="20"/>
          <w:szCs w:val="20"/>
        </w:rPr>
        <w:t>residual</w:t>
      </w:r>
      <w:r w:rsidRPr="00187C0C">
        <w:rPr>
          <w:i/>
          <w:sz w:val="20"/>
          <w:szCs w:val="20"/>
        </w:rPr>
        <w:t xml:space="preserve"> compensation effect</w:t>
      </w:r>
      <w:r w:rsidR="00A50011">
        <w:rPr>
          <w:i/>
          <w:sz w:val="20"/>
          <w:szCs w:val="20"/>
        </w:rPr>
        <w:t>s</w:t>
      </w:r>
      <w:r w:rsidR="004A13AA">
        <w:rPr>
          <w:i/>
          <w:sz w:val="20"/>
          <w:szCs w:val="20"/>
        </w:rPr>
        <w:t xml:space="preserve"> due to multiple faults</w:t>
      </w:r>
      <w:r w:rsidRPr="00187C0C">
        <w:rPr>
          <w:sz w:val="20"/>
          <w:szCs w:val="20"/>
        </w:rPr>
        <w:t>.</w:t>
      </w:r>
    </w:p>
    <w:p w14:paraId="0CF2BB3E" w14:textId="2540114E" w:rsidR="00763036" w:rsidRPr="00731E04" w:rsidRDefault="004A13AA" w:rsidP="00187C0C">
      <w:pPr>
        <w:pStyle w:val="Bodytextfirst"/>
        <w:rPr>
          <w:sz w:val="20"/>
          <w:szCs w:val="20"/>
        </w:rPr>
      </w:pPr>
      <w:r>
        <w:rPr>
          <w:sz w:val="20"/>
          <w:szCs w:val="20"/>
        </w:rPr>
        <w:t xml:space="preserve">The </w:t>
      </w:r>
      <w:r w:rsidR="00187C0C" w:rsidRPr="00187C0C">
        <w:rPr>
          <w:sz w:val="20"/>
          <w:szCs w:val="20"/>
        </w:rPr>
        <w:t>above recommendation is</w:t>
      </w:r>
      <w:r>
        <w:rPr>
          <w:sz w:val="20"/>
          <w:szCs w:val="20"/>
        </w:rPr>
        <w:t xml:space="preserve"> </w:t>
      </w:r>
      <w:r w:rsidR="00187C0C" w:rsidRPr="00187C0C">
        <w:rPr>
          <w:sz w:val="20"/>
          <w:szCs w:val="20"/>
        </w:rPr>
        <w:t xml:space="preserve">postulated </w:t>
      </w:r>
      <w:r w:rsidR="007D4EB0">
        <w:rPr>
          <w:sz w:val="20"/>
          <w:szCs w:val="20"/>
        </w:rPr>
        <w:t xml:space="preserve">mainly </w:t>
      </w:r>
      <w:r w:rsidR="00763036" w:rsidRPr="00731E04">
        <w:rPr>
          <w:sz w:val="20"/>
          <w:szCs w:val="20"/>
        </w:rPr>
        <w:t xml:space="preserve">for diagnostic systems </w:t>
      </w:r>
      <w:r w:rsidR="000335EE" w:rsidRPr="00731E04">
        <w:rPr>
          <w:sz w:val="20"/>
          <w:szCs w:val="20"/>
        </w:rPr>
        <w:t xml:space="preserve">intended </w:t>
      </w:r>
      <w:r w:rsidR="00763036" w:rsidRPr="00731E04">
        <w:rPr>
          <w:sz w:val="20"/>
          <w:szCs w:val="20"/>
        </w:rPr>
        <w:t xml:space="preserve">for </w:t>
      </w:r>
      <w:r>
        <w:rPr>
          <w:sz w:val="20"/>
          <w:szCs w:val="20"/>
        </w:rPr>
        <w:t>the new installations. Implementing</w:t>
      </w:r>
      <w:r w:rsidR="00763036" w:rsidRPr="00731E04">
        <w:rPr>
          <w:sz w:val="20"/>
          <w:szCs w:val="20"/>
        </w:rPr>
        <w:t xml:space="preserve"> this recommendation for diagnostic systems </w:t>
      </w:r>
      <w:r>
        <w:rPr>
          <w:sz w:val="20"/>
          <w:szCs w:val="20"/>
        </w:rPr>
        <w:t>in</w:t>
      </w:r>
      <w:r w:rsidR="00763036" w:rsidRPr="00731E04">
        <w:rPr>
          <w:sz w:val="20"/>
          <w:szCs w:val="20"/>
        </w:rPr>
        <w:t xml:space="preserve"> </w:t>
      </w:r>
      <w:r>
        <w:rPr>
          <w:sz w:val="20"/>
          <w:szCs w:val="20"/>
        </w:rPr>
        <w:t xml:space="preserve">actually </w:t>
      </w:r>
      <w:r w:rsidR="00B05B1D">
        <w:rPr>
          <w:sz w:val="20"/>
          <w:szCs w:val="20"/>
        </w:rPr>
        <w:t>running</w:t>
      </w:r>
      <w:r w:rsidR="00763036" w:rsidRPr="00731E04">
        <w:rPr>
          <w:sz w:val="20"/>
          <w:szCs w:val="20"/>
        </w:rPr>
        <w:t xml:space="preserve"> processes </w:t>
      </w:r>
      <w:r>
        <w:rPr>
          <w:sz w:val="20"/>
          <w:szCs w:val="20"/>
        </w:rPr>
        <w:t>seems</w:t>
      </w:r>
      <w:r w:rsidR="00763036" w:rsidRPr="00731E04">
        <w:rPr>
          <w:sz w:val="20"/>
          <w:szCs w:val="20"/>
        </w:rPr>
        <w:t xml:space="preserve"> </w:t>
      </w:r>
      <w:r>
        <w:rPr>
          <w:sz w:val="20"/>
          <w:szCs w:val="20"/>
        </w:rPr>
        <w:t>un</w:t>
      </w:r>
      <w:r w:rsidR="00763036" w:rsidRPr="00731E04">
        <w:rPr>
          <w:sz w:val="20"/>
          <w:szCs w:val="20"/>
        </w:rPr>
        <w:t xml:space="preserve">realistic because it </w:t>
      </w:r>
      <w:r w:rsidR="00A50011">
        <w:rPr>
          <w:sz w:val="20"/>
          <w:szCs w:val="20"/>
        </w:rPr>
        <w:t>demands additional</w:t>
      </w:r>
      <w:r w:rsidR="00763036" w:rsidRPr="00731E04">
        <w:rPr>
          <w:sz w:val="20"/>
          <w:szCs w:val="20"/>
        </w:rPr>
        <w:t xml:space="preserve"> instrumentation.</w:t>
      </w:r>
    </w:p>
    <w:p w14:paraId="638F539A" w14:textId="53939169" w:rsidR="00104602" w:rsidRPr="00731E04" w:rsidRDefault="00104602" w:rsidP="00104602">
      <w:pPr>
        <w:pStyle w:val="Sectionheading"/>
        <w:rPr>
          <w:rFonts w:cs="Times New Roman"/>
          <w:color w:val="000000" w:themeColor="text1"/>
          <w:szCs w:val="20"/>
        </w:rPr>
      </w:pPr>
      <w:r w:rsidRPr="00731E04">
        <w:rPr>
          <w:rFonts w:cs="Times New Roman"/>
          <w:color w:val="000000" w:themeColor="text1"/>
          <w:szCs w:val="20"/>
        </w:rPr>
        <w:lastRenderedPageBreak/>
        <w:t>Simulation</w:t>
      </w:r>
      <w:r w:rsidR="00994272" w:rsidRPr="00731E04">
        <w:rPr>
          <w:rFonts w:cs="Times New Roman"/>
          <w:color w:val="000000" w:themeColor="text1"/>
          <w:szCs w:val="20"/>
        </w:rPr>
        <w:t>s</w:t>
      </w:r>
    </w:p>
    <w:p w14:paraId="3C69CD1E" w14:textId="1CAEF337" w:rsidR="003D1671" w:rsidRDefault="003D1671" w:rsidP="00B7490D">
      <w:pPr>
        <w:pStyle w:val="Bodytextfirst"/>
        <w:rPr>
          <w:iCs w:val="0"/>
          <w:kern w:val="0"/>
          <w:sz w:val="20"/>
          <w:szCs w:val="20"/>
          <w:lang w:val="en-GB"/>
        </w:rPr>
      </w:pPr>
      <w:r w:rsidRPr="003D1671">
        <w:rPr>
          <w:iCs w:val="0"/>
          <w:kern w:val="0"/>
          <w:sz w:val="20"/>
          <w:szCs w:val="20"/>
          <w:lang w:val="en-GB"/>
        </w:rPr>
        <w:t>The simulation</w:t>
      </w:r>
      <w:r w:rsidR="007D4EB0">
        <w:rPr>
          <w:iCs w:val="0"/>
          <w:kern w:val="0"/>
          <w:sz w:val="20"/>
          <w:szCs w:val="20"/>
          <w:lang w:val="en-GB"/>
        </w:rPr>
        <w:t>s</w:t>
      </w:r>
      <w:r w:rsidRPr="003D1671">
        <w:rPr>
          <w:iCs w:val="0"/>
          <w:kern w:val="0"/>
          <w:sz w:val="20"/>
          <w:szCs w:val="20"/>
          <w:lang w:val="en-GB"/>
        </w:rPr>
        <w:t xml:space="preserve"> </w:t>
      </w:r>
      <w:r w:rsidR="007D4EB0">
        <w:rPr>
          <w:iCs w:val="0"/>
          <w:kern w:val="0"/>
          <w:sz w:val="20"/>
          <w:szCs w:val="20"/>
          <w:lang w:val="en-GB"/>
        </w:rPr>
        <w:t>were</w:t>
      </w:r>
      <w:r w:rsidRPr="003D1671">
        <w:rPr>
          <w:iCs w:val="0"/>
          <w:kern w:val="0"/>
          <w:sz w:val="20"/>
          <w:szCs w:val="20"/>
          <w:lang w:val="en-GB"/>
        </w:rPr>
        <w:t xml:space="preserve"> performed to exemplify the fault compensation effect in a single buffer tank depicted in Fig. 2. The simulation model was developed in a </w:t>
      </w:r>
      <w:proofErr w:type="spellStart"/>
      <w:r w:rsidRPr="003D1671">
        <w:rPr>
          <w:iCs w:val="0"/>
          <w:kern w:val="0"/>
          <w:sz w:val="20"/>
          <w:szCs w:val="20"/>
          <w:lang w:val="en-GB"/>
        </w:rPr>
        <w:t>Matlab</w:t>
      </w:r>
      <w:proofErr w:type="spellEnd"/>
      <w:r w:rsidRPr="003D1671">
        <w:rPr>
          <w:iCs w:val="0"/>
          <w:kern w:val="0"/>
          <w:sz w:val="20"/>
          <w:szCs w:val="20"/>
          <w:lang w:val="en-GB"/>
        </w:rPr>
        <w:t>-S</w:t>
      </w:r>
      <w:r w:rsidR="004A13AA">
        <w:rPr>
          <w:iCs w:val="0"/>
          <w:kern w:val="0"/>
          <w:sz w:val="20"/>
          <w:szCs w:val="20"/>
          <w:lang w:val="en-GB"/>
        </w:rPr>
        <w:t>imulink environment. The result</w:t>
      </w:r>
      <w:r w:rsidRPr="003D1671">
        <w:rPr>
          <w:iCs w:val="0"/>
          <w:kern w:val="0"/>
          <w:sz w:val="20"/>
          <w:szCs w:val="20"/>
          <w:lang w:val="en-GB"/>
        </w:rPr>
        <w:t xml:space="preserve">ing flowchart of the simulation of the liquid storing process is shown in Fig. 5. The tank model generates an output vector, which includes liquid level signal, liquid inflow and outflow rates, residua, and diagnostic signals. The liquid </w:t>
      </w:r>
      <w:r w:rsidR="00ED72FE">
        <w:rPr>
          <w:iCs w:val="0"/>
          <w:kern w:val="0"/>
          <w:sz w:val="20"/>
          <w:szCs w:val="20"/>
          <w:lang w:val="en-GB"/>
        </w:rPr>
        <w:t xml:space="preserve">level </w:t>
      </w:r>
      <w:r w:rsidRPr="003D1671">
        <w:rPr>
          <w:iCs w:val="0"/>
          <w:kern w:val="0"/>
          <w:sz w:val="20"/>
          <w:szCs w:val="20"/>
          <w:lang w:val="en-GB"/>
        </w:rPr>
        <w:t xml:space="preserve">in the tank </w:t>
      </w:r>
      <w:r w:rsidR="00C11F6A">
        <w:rPr>
          <w:iCs w:val="0"/>
          <w:kern w:val="0"/>
          <w:sz w:val="20"/>
          <w:szCs w:val="20"/>
          <w:lang w:val="en-GB"/>
        </w:rPr>
        <w:t>depends</w:t>
      </w:r>
      <w:r w:rsidR="00ED72FE">
        <w:rPr>
          <w:iCs w:val="0"/>
          <w:kern w:val="0"/>
          <w:sz w:val="20"/>
          <w:szCs w:val="20"/>
          <w:lang w:val="en-GB"/>
        </w:rPr>
        <w:t xml:space="preserve"> </w:t>
      </w:r>
      <w:r w:rsidR="00C11F6A">
        <w:rPr>
          <w:iCs w:val="0"/>
          <w:kern w:val="0"/>
          <w:sz w:val="20"/>
          <w:szCs w:val="20"/>
          <w:lang w:val="en-GB"/>
        </w:rPr>
        <w:t>on</w:t>
      </w:r>
      <w:r w:rsidR="00ED72FE">
        <w:rPr>
          <w:iCs w:val="0"/>
          <w:kern w:val="0"/>
          <w:sz w:val="20"/>
          <w:szCs w:val="20"/>
          <w:lang w:val="en-GB"/>
        </w:rPr>
        <w:t xml:space="preserve"> </w:t>
      </w:r>
      <w:r w:rsidRPr="003D1671">
        <w:rPr>
          <w:iCs w:val="0"/>
          <w:kern w:val="0"/>
          <w:sz w:val="20"/>
          <w:szCs w:val="20"/>
          <w:lang w:val="en-GB"/>
        </w:rPr>
        <w:t>the change in the dynamic accumulation of liquid. This change depends on inlet and outlet liquid rates, leakages, and obliteration of pipe.  The level of liquid in each tank can</w:t>
      </w:r>
      <w:r w:rsidR="00ED72FE">
        <w:rPr>
          <w:iCs w:val="0"/>
          <w:kern w:val="0"/>
          <w:sz w:val="20"/>
          <w:szCs w:val="20"/>
          <w:lang w:val="en-GB"/>
        </w:rPr>
        <w:t>,</w:t>
      </w:r>
      <w:r w:rsidRPr="003D1671">
        <w:rPr>
          <w:iCs w:val="0"/>
          <w:kern w:val="0"/>
          <w:sz w:val="20"/>
          <w:szCs w:val="20"/>
          <w:lang w:val="en-GB"/>
        </w:rPr>
        <w:t xml:space="preserve"> therefore</w:t>
      </w:r>
      <w:r w:rsidR="00ED72FE">
        <w:rPr>
          <w:iCs w:val="0"/>
          <w:kern w:val="0"/>
          <w:sz w:val="20"/>
          <w:szCs w:val="20"/>
          <w:lang w:val="en-GB"/>
        </w:rPr>
        <w:t>,</w:t>
      </w:r>
      <w:r w:rsidRPr="003D1671">
        <w:rPr>
          <w:iCs w:val="0"/>
          <w:kern w:val="0"/>
          <w:sz w:val="20"/>
          <w:szCs w:val="20"/>
          <w:lang w:val="en-GB"/>
        </w:rPr>
        <w:t xml:space="preserve"> be determined by integrating the dynamic liquid accumulation, i.e.</w:t>
      </w:r>
      <w:r w:rsidR="00ED72FE">
        <w:rPr>
          <w:iCs w:val="0"/>
          <w:kern w:val="0"/>
          <w:sz w:val="20"/>
          <w:szCs w:val="20"/>
          <w:lang w:val="en-GB"/>
        </w:rPr>
        <w:t>,</w:t>
      </w:r>
      <w:r w:rsidRPr="003D1671">
        <w:rPr>
          <w:iCs w:val="0"/>
          <w:kern w:val="0"/>
          <w:sz w:val="20"/>
          <w:szCs w:val="20"/>
          <w:lang w:val="en-GB"/>
        </w:rPr>
        <w:t xml:space="preserve"> by integrating the difference in the flow rate of liquid entering and leaving the tank.</w:t>
      </w:r>
    </w:p>
    <w:p w14:paraId="7B0F9710" w14:textId="41EECB38" w:rsidR="00A23459" w:rsidRPr="00731E04" w:rsidRDefault="00A23459" w:rsidP="00B7490D">
      <w:pPr>
        <w:pStyle w:val="Bodytextfirst"/>
        <w:rPr>
          <w:sz w:val="20"/>
          <w:szCs w:val="20"/>
        </w:rPr>
      </w:pPr>
      <w:r w:rsidRPr="00731E04">
        <w:rPr>
          <w:noProof/>
          <w:sz w:val="20"/>
          <w:szCs w:val="20"/>
          <w:lang w:val="pl-PL" w:eastAsia="pl-PL" w:bidi="ar-SA"/>
        </w:rPr>
        <w:drawing>
          <wp:inline distT="0" distB="0" distL="0" distR="0" wp14:anchorId="075CB5C7" wp14:editId="0BFAE9A8">
            <wp:extent cx="2952115" cy="1096010"/>
            <wp:effectExtent l="0" t="0" r="635"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52115" cy="1096010"/>
                    </a:xfrm>
                    <a:prstGeom prst="rect">
                      <a:avLst/>
                    </a:prstGeom>
                  </pic:spPr>
                </pic:pic>
              </a:graphicData>
            </a:graphic>
          </wp:inline>
        </w:drawing>
      </w:r>
    </w:p>
    <w:p w14:paraId="0C5694FB" w14:textId="18276F66" w:rsidR="00A23459" w:rsidRDefault="00A23459" w:rsidP="00B05B1D">
      <w:pPr>
        <w:pStyle w:val="Bodytextfirst"/>
        <w:jc w:val="center"/>
        <w:rPr>
          <w:i/>
        </w:rPr>
      </w:pPr>
      <w:proofErr w:type="gramStart"/>
      <w:r w:rsidRPr="00B05B1D">
        <w:rPr>
          <w:i/>
        </w:rPr>
        <w:t>Fig. 5.</w:t>
      </w:r>
      <w:proofErr w:type="gramEnd"/>
      <w:r w:rsidRPr="00B05B1D">
        <w:rPr>
          <w:i/>
        </w:rPr>
        <w:t xml:space="preserve"> </w:t>
      </w:r>
      <w:proofErr w:type="gramStart"/>
      <w:r w:rsidRPr="00B05B1D">
        <w:rPr>
          <w:i/>
        </w:rPr>
        <w:t xml:space="preserve">Simulation diagram of </w:t>
      </w:r>
      <w:r w:rsidR="003D1671">
        <w:rPr>
          <w:i/>
        </w:rPr>
        <w:t xml:space="preserve">a </w:t>
      </w:r>
      <w:r w:rsidRPr="00B05B1D">
        <w:rPr>
          <w:i/>
        </w:rPr>
        <w:t>single buffer tank process.</w:t>
      </w:r>
      <w:proofErr w:type="gramEnd"/>
    </w:p>
    <w:p w14:paraId="7BA28EBE" w14:textId="2B9FB3CD" w:rsidR="002F69F4" w:rsidRDefault="003D1671" w:rsidP="00B7490D">
      <w:pPr>
        <w:pStyle w:val="Bodytextfirst"/>
        <w:rPr>
          <w:sz w:val="20"/>
          <w:szCs w:val="20"/>
          <w:lang w:eastAsia="hu-HU"/>
        </w:rPr>
      </w:pPr>
      <w:r w:rsidRPr="003D1671">
        <w:rPr>
          <w:sz w:val="20"/>
          <w:szCs w:val="20"/>
        </w:rPr>
        <w:t xml:space="preserve">Due to limited space, we will discuss here only one simulation scenario. Consider two incipient faults: leakage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sidRPr="003F5C75">
        <w:rPr>
          <w:sz w:val="20"/>
          <w:szCs w:val="20"/>
        </w:rPr>
        <w:t xml:space="preserve"> </w:t>
      </w:r>
      <w:r w:rsidRPr="003D1671">
        <w:rPr>
          <w:sz w:val="20"/>
          <w:szCs w:val="20"/>
        </w:rPr>
        <w:t xml:space="preserve">and pipe </w:t>
      </w:r>
      <w:proofErr w:type="gramStart"/>
      <w:r w:rsidRPr="003D1671">
        <w:rPr>
          <w:sz w:val="20"/>
          <w:szCs w:val="20"/>
        </w:rPr>
        <w:t>obliteration</w:t>
      </w:r>
      <w:r w:rsidRPr="003F5C75">
        <w:rPr>
          <w:sz w:val="20"/>
          <w:szCs w:val="20"/>
        </w:rPr>
        <w:t xml:space="preserve"> </w:t>
      </w:r>
      <w:proofErr w:type="gramEnd"/>
      <m:oMath>
        <m:sSub>
          <m:sSubPr>
            <m:ctrlPr>
              <w:rPr>
                <w:rFonts w:ascii="Cambria Math" w:hAnsi="Cambria Math"/>
                <w:i/>
              </w:rPr>
            </m:ctrlPr>
          </m:sSubPr>
          <m:e>
            <m:r>
              <w:rPr>
                <w:rFonts w:ascii="Cambria Math" w:hAnsi="Cambria Math"/>
              </w:rPr>
              <m:t>f</m:t>
            </m:r>
          </m:e>
          <m:sub>
            <m:r>
              <w:rPr>
                <w:rFonts w:ascii="Cambria Math" w:hAnsi="Cambria Math"/>
              </w:rPr>
              <m:t>2</m:t>
            </m:r>
          </m:sub>
        </m:sSub>
      </m:oMath>
      <w:r w:rsidRPr="003D1671">
        <w:rPr>
          <w:sz w:val="20"/>
          <w:szCs w:val="20"/>
        </w:rPr>
        <w:t xml:space="preserve">. The obliteration starts to grow immediately after the </w:t>
      </w:r>
      <w:r w:rsidR="00C11F6A">
        <w:rPr>
          <w:sz w:val="20"/>
          <w:szCs w:val="20"/>
        </w:rPr>
        <w:t>running</w:t>
      </w:r>
      <w:r w:rsidRPr="003D1671">
        <w:rPr>
          <w:sz w:val="20"/>
          <w:szCs w:val="20"/>
        </w:rPr>
        <w:t xml:space="preserve"> simulation. The leakage </w:t>
      </w:r>
      <w:r w:rsidR="00ED72FE">
        <w:rPr>
          <w:sz w:val="20"/>
          <w:szCs w:val="20"/>
        </w:rPr>
        <w:t>begin</w:t>
      </w:r>
      <w:r w:rsidRPr="003D1671">
        <w:rPr>
          <w:sz w:val="20"/>
          <w:szCs w:val="20"/>
        </w:rPr>
        <w:t>s to grow at the time instant 0.50∙10</w:t>
      </w:r>
      <w:r w:rsidRPr="00C11F6A">
        <w:rPr>
          <w:sz w:val="20"/>
          <w:szCs w:val="20"/>
          <w:vertAlign w:val="superscript"/>
        </w:rPr>
        <w:t xml:space="preserve">5 </w:t>
      </w:r>
      <w:r w:rsidRPr="003D1671">
        <w:rPr>
          <w:sz w:val="20"/>
          <w:szCs w:val="20"/>
        </w:rPr>
        <w:t>s. The slopes of both faults are slightly different</w:t>
      </w:r>
      <w:r w:rsidR="00ED72FE">
        <w:rPr>
          <w:sz w:val="20"/>
          <w:szCs w:val="20"/>
        </w:rPr>
        <w:t>,</w:t>
      </w:r>
      <w:r w:rsidRPr="003D1671">
        <w:rPr>
          <w:sz w:val="20"/>
          <w:szCs w:val="20"/>
        </w:rPr>
        <w:t xml:space="preserve"> as shown in F</w:t>
      </w:r>
      <w:r>
        <w:rPr>
          <w:sz w:val="20"/>
          <w:szCs w:val="20"/>
        </w:rPr>
        <w:t xml:space="preserve">ig. 6. The liquid inflow rate </w:t>
      </w:r>
      <w:r w:rsidRPr="003D1671">
        <w:rPr>
          <w:i/>
          <w:sz w:val="20"/>
          <w:szCs w:val="20"/>
        </w:rPr>
        <w:t>F</w:t>
      </w:r>
      <w:r w:rsidRPr="003D1671">
        <w:rPr>
          <w:i/>
          <w:sz w:val="20"/>
          <w:szCs w:val="20"/>
          <w:vertAlign w:val="subscript"/>
        </w:rPr>
        <w:t>0</w:t>
      </w:r>
      <w:r w:rsidRPr="003D1671">
        <w:rPr>
          <w:sz w:val="20"/>
          <w:szCs w:val="20"/>
        </w:rPr>
        <w:t xml:space="preserve"> fluctuates around constant value within ±10% limits. Residuals are tri-valued</w:t>
      </w:r>
      <w:r w:rsidR="00C11F6A">
        <w:rPr>
          <w:sz w:val="20"/>
          <w:szCs w:val="20"/>
        </w:rPr>
        <w:t xml:space="preserve">. </w:t>
      </w:r>
      <w:r w:rsidRPr="003D1671">
        <w:rPr>
          <w:sz w:val="20"/>
          <w:szCs w:val="20"/>
        </w:rPr>
        <w:t xml:space="preserve"> </w:t>
      </w:r>
      <w:r w:rsidR="00C11F6A">
        <w:rPr>
          <w:sz w:val="20"/>
          <w:szCs w:val="20"/>
        </w:rPr>
        <w:t>The diagnostic signals</w:t>
      </w:r>
      <w:r w:rsidRPr="003D1671">
        <w:rPr>
          <w:sz w:val="20"/>
          <w:szCs w:val="20"/>
        </w:rPr>
        <w:t xml:space="preserve"> </w:t>
      </w:r>
      <w:r w:rsidRPr="00ED72FE">
        <w:rPr>
          <w:i/>
          <w:sz w:val="20"/>
          <w:szCs w:val="20"/>
        </w:rPr>
        <w:t>s</w:t>
      </w:r>
      <w:r w:rsidR="00ED72FE">
        <w:rPr>
          <w:i/>
          <w:sz w:val="20"/>
          <w:szCs w:val="20"/>
        </w:rPr>
        <w:t>,</w:t>
      </w:r>
      <w:r w:rsidRPr="003D1671">
        <w:rPr>
          <w:sz w:val="20"/>
          <w:szCs w:val="20"/>
        </w:rPr>
        <w:t xml:space="preserve"> according to (3)</w:t>
      </w:r>
      <w:r w:rsidR="00C11F6A">
        <w:rPr>
          <w:sz w:val="20"/>
          <w:szCs w:val="20"/>
        </w:rPr>
        <w:t>,</w:t>
      </w:r>
      <w:r w:rsidRPr="003D1671">
        <w:rPr>
          <w:sz w:val="20"/>
          <w:szCs w:val="20"/>
        </w:rPr>
        <w:t xml:space="preserve"> as well as  </w:t>
      </w:r>
      <w:r w:rsidRPr="00ED72FE">
        <w:rPr>
          <w:i/>
          <w:sz w:val="20"/>
          <w:szCs w:val="20"/>
        </w:rPr>
        <w:t>s</w:t>
      </w:r>
      <w:r w:rsidRPr="00ED72FE">
        <w:rPr>
          <w:i/>
          <w:sz w:val="20"/>
          <w:szCs w:val="20"/>
          <w:vertAlign w:val="subscript"/>
        </w:rPr>
        <w:t>1</w:t>
      </w:r>
      <w:r w:rsidRPr="003D1671">
        <w:rPr>
          <w:sz w:val="20"/>
          <w:szCs w:val="20"/>
        </w:rPr>
        <w:t xml:space="preserve"> and  </w:t>
      </w:r>
      <w:r w:rsidRPr="00ED72FE">
        <w:rPr>
          <w:i/>
          <w:sz w:val="20"/>
          <w:szCs w:val="20"/>
        </w:rPr>
        <w:t>s</w:t>
      </w:r>
      <w:r w:rsidRPr="00ED72FE">
        <w:rPr>
          <w:i/>
          <w:sz w:val="20"/>
          <w:szCs w:val="20"/>
          <w:vertAlign w:val="subscript"/>
        </w:rPr>
        <w:t>2</w:t>
      </w:r>
      <w:r w:rsidR="00C11F6A">
        <w:rPr>
          <w:sz w:val="20"/>
          <w:szCs w:val="20"/>
        </w:rPr>
        <w:t xml:space="preserve">, </w:t>
      </w:r>
      <w:r w:rsidRPr="003D1671">
        <w:rPr>
          <w:sz w:val="20"/>
          <w:szCs w:val="20"/>
        </w:rPr>
        <w:t>according to (8)</w:t>
      </w:r>
      <w:r w:rsidR="00C11F6A">
        <w:rPr>
          <w:sz w:val="20"/>
          <w:szCs w:val="20"/>
        </w:rPr>
        <w:t>,</w:t>
      </w:r>
      <w:r w:rsidRPr="003D1671">
        <w:rPr>
          <w:sz w:val="20"/>
          <w:szCs w:val="20"/>
        </w:rPr>
        <w:t xml:space="preserve"> are calculated based on constant threshold </w:t>
      </w:r>
      <w:proofErr w:type="spellStart"/>
      <w:r w:rsidRPr="003D1671">
        <w:rPr>
          <w:i/>
          <w:sz w:val="20"/>
          <w:szCs w:val="20"/>
        </w:rPr>
        <w:t>T</w:t>
      </w:r>
      <w:r w:rsidRPr="003D1671">
        <w:rPr>
          <w:i/>
          <w:sz w:val="20"/>
          <w:szCs w:val="20"/>
          <w:vertAlign w:val="subscript"/>
        </w:rPr>
        <w:t>h</w:t>
      </w:r>
      <w:proofErr w:type="spellEnd"/>
      <w:r w:rsidRPr="003D1671">
        <w:rPr>
          <w:sz w:val="20"/>
          <w:szCs w:val="20"/>
        </w:rPr>
        <w:t>=5%. The obtained results are collected in Tab. 7</w:t>
      </w:r>
      <w:r w:rsidR="0031603E" w:rsidRPr="00731E04">
        <w:rPr>
          <w:sz w:val="20"/>
          <w:szCs w:val="20"/>
          <w:lang w:eastAsia="hu-HU"/>
        </w:rPr>
        <w:t>.</w:t>
      </w:r>
      <w:r w:rsidR="00C25CD5" w:rsidRPr="00731E04">
        <w:rPr>
          <w:sz w:val="20"/>
          <w:szCs w:val="20"/>
          <w:lang w:eastAsia="hu-HU"/>
        </w:rPr>
        <w:t xml:space="preserve">  </w:t>
      </w:r>
      <w:r w:rsidR="00A802B5" w:rsidRPr="00731E04">
        <w:rPr>
          <w:sz w:val="20"/>
          <w:szCs w:val="20"/>
          <w:lang w:eastAsia="hu-HU"/>
        </w:rPr>
        <w:t xml:space="preserve"> </w:t>
      </w:r>
      <w:r w:rsidR="002504C3" w:rsidRPr="00731E04">
        <w:rPr>
          <w:sz w:val="20"/>
          <w:szCs w:val="20"/>
          <w:lang w:eastAsia="hu-HU"/>
        </w:rPr>
        <w:t xml:space="preserve"> </w:t>
      </w:r>
    </w:p>
    <w:p w14:paraId="264B08B5" w14:textId="555956ED" w:rsidR="002F69F4" w:rsidRPr="00731E04" w:rsidRDefault="002F69F4" w:rsidP="00B7490D">
      <w:pPr>
        <w:pStyle w:val="Bodytextfirst"/>
        <w:rPr>
          <w:sz w:val="20"/>
          <w:szCs w:val="20"/>
        </w:rPr>
      </w:pPr>
      <w:r w:rsidRPr="00731E04">
        <w:rPr>
          <w:noProof/>
          <w:sz w:val="20"/>
          <w:szCs w:val="20"/>
          <w:lang w:val="pl-PL" w:eastAsia="pl-PL" w:bidi="ar-SA"/>
        </w:rPr>
        <w:drawing>
          <wp:inline distT="0" distB="0" distL="0" distR="0" wp14:anchorId="5F689617" wp14:editId="329B5779">
            <wp:extent cx="2952115" cy="1453515"/>
            <wp:effectExtent l="0" t="0" r="63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52115" cy="1453515"/>
                    </a:xfrm>
                    <a:prstGeom prst="rect">
                      <a:avLst/>
                    </a:prstGeom>
                  </pic:spPr>
                </pic:pic>
              </a:graphicData>
            </a:graphic>
          </wp:inline>
        </w:drawing>
      </w:r>
    </w:p>
    <w:p w14:paraId="3F1AB6A3" w14:textId="62E64A14" w:rsidR="002F69F4" w:rsidRDefault="000335EE" w:rsidP="002F69F4">
      <w:pPr>
        <w:widowControl/>
        <w:suppressAutoHyphens w:val="0"/>
        <w:autoSpaceDE w:val="0"/>
        <w:autoSpaceDN w:val="0"/>
        <w:adjustRightInd w:val="0"/>
        <w:jc w:val="center"/>
        <w:rPr>
          <w:rFonts w:cs="Times New Roman"/>
          <w:i/>
          <w:iCs/>
          <w:sz w:val="18"/>
          <w:szCs w:val="18"/>
          <w:lang w:val="en-US"/>
        </w:rPr>
      </w:pPr>
      <w:r w:rsidRPr="00B354A8">
        <w:rPr>
          <w:rFonts w:cs="Times New Roman"/>
          <w:i/>
          <w:iCs/>
          <w:sz w:val="18"/>
          <w:szCs w:val="18"/>
          <w:lang w:val="en-US"/>
        </w:rPr>
        <w:t>Figure 6</w:t>
      </w:r>
      <w:r w:rsidR="002F69F4" w:rsidRPr="00B354A8">
        <w:rPr>
          <w:rFonts w:cs="Times New Roman"/>
          <w:i/>
          <w:iCs/>
          <w:sz w:val="18"/>
          <w:szCs w:val="18"/>
          <w:lang w:val="en-US"/>
        </w:rPr>
        <w:t>: Example of a simulation of a double fault. Notation: F</w:t>
      </w:r>
      <w:r w:rsidR="002F69F4" w:rsidRPr="00B354A8">
        <w:rPr>
          <w:rFonts w:cs="Times New Roman"/>
          <w:i/>
          <w:iCs/>
          <w:sz w:val="18"/>
          <w:szCs w:val="18"/>
          <w:vertAlign w:val="subscript"/>
          <w:lang w:val="en-US"/>
        </w:rPr>
        <w:t>0</w:t>
      </w:r>
      <w:r w:rsidR="002F69F4" w:rsidRPr="00B354A8">
        <w:rPr>
          <w:rFonts w:cs="Times New Roman"/>
          <w:i/>
          <w:iCs/>
          <w:sz w:val="18"/>
          <w:szCs w:val="18"/>
          <w:lang w:val="en-US"/>
        </w:rPr>
        <w:t xml:space="preserve"> - liquid inflow rate - dark blue line; L – liquid level  - blue line; f</w:t>
      </w:r>
      <w:r w:rsidR="002F69F4" w:rsidRPr="00B354A8">
        <w:rPr>
          <w:rFonts w:cs="Times New Roman"/>
          <w:i/>
          <w:iCs/>
          <w:sz w:val="18"/>
          <w:szCs w:val="18"/>
          <w:vertAlign w:val="subscript"/>
          <w:lang w:val="en-US"/>
        </w:rPr>
        <w:t>1</w:t>
      </w:r>
      <w:r w:rsidR="002F69F4" w:rsidRPr="00B354A8">
        <w:rPr>
          <w:rFonts w:cs="Times New Roman"/>
          <w:i/>
          <w:iCs/>
          <w:sz w:val="18"/>
          <w:szCs w:val="18"/>
          <w:lang w:val="en-US"/>
        </w:rPr>
        <w:t xml:space="preserve"> – leakage fault - red line; f</w:t>
      </w:r>
      <w:r w:rsidR="002F69F4" w:rsidRPr="00B354A8">
        <w:rPr>
          <w:rFonts w:cs="Times New Roman"/>
          <w:i/>
          <w:iCs/>
          <w:sz w:val="18"/>
          <w:szCs w:val="18"/>
          <w:vertAlign w:val="subscript"/>
          <w:lang w:val="en-US"/>
        </w:rPr>
        <w:t>2</w:t>
      </w:r>
      <w:r w:rsidR="002F69F4" w:rsidRPr="00B354A8">
        <w:rPr>
          <w:rFonts w:cs="Times New Roman"/>
          <w:i/>
          <w:iCs/>
          <w:sz w:val="18"/>
          <w:szCs w:val="18"/>
          <w:lang w:val="en-US"/>
        </w:rPr>
        <w:t xml:space="preserve"> – oblite</w:t>
      </w:r>
      <w:r w:rsidR="006F346A">
        <w:rPr>
          <w:rFonts w:cs="Times New Roman"/>
          <w:i/>
          <w:iCs/>
          <w:sz w:val="18"/>
          <w:szCs w:val="18"/>
          <w:lang w:val="en-US"/>
        </w:rPr>
        <w:t>ration fault –blue line; r1– dotted red line;</w:t>
      </w:r>
      <w:r w:rsidR="002F69F4" w:rsidRPr="00B354A8">
        <w:rPr>
          <w:rFonts w:cs="Times New Roman"/>
          <w:i/>
          <w:iCs/>
          <w:sz w:val="18"/>
          <w:szCs w:val="18"/>
          <w:lang w:val="en-US"/>
        </w:rPr>
        <w:t xml:space="preserve"> r2 – dotted blue line; r – purple line; diagnostic signals: s</w:t>
      </w:r>
      <w:r w:rsidR="002F69F4" w:rsidRPr="00B354A8">
        <w:rPr>
          <w:rFonts w:cs="Times New Roman"/>
          <w:i/>
          <w:iCs/>
          <w:sz w:val="18"/>
          <w:szCs w:val="18"/>
          <w:vertAlign w:val="subscript"/>
          <w:lang w:val="en-US"/>
        </w:rPr>
        <w:t>1</w:t>
      </w:r>
      <w:r w:rsidR="002F69F4" w:rsidRPr="00B354A8">
        <w:rPr>
          <w:rFonts w:cs="Times New Roman"/>
          <w:i/>
          <w:iCs/>
          <w:sz w:val="18"/>
          <w:szCs w:val="18"/>
          <w:lang w:val="en-US"/>
        </w:rPr>
        <w:t xml:space="preserve"> – blue</w:t>
      </w:r>
      <w:r w:rsidR="006F346A">
        <w:rPr>
          <w:rFonts w:cs="Times New Roman"/>
          <w:i/>
          <w:iCs/>
          <w:sz w:val="18"/>
          <w:szCs w:val="18"/>
          <w:lang w:val="en-US"/>
        </w:rPr>
        <w:t>;</w:t>
      </w:r>
      <w:r w:rsidR="002F69F4" w:rsidRPr="00B354A8">
        <w:rPr>
          <w:rFonts w:cs="Times New Roman"/>
          <w:i/>
          <w:iCs/>
          <w:sz w:val="18"/>
          <w:szCs w:val="18"/>
          <w:lang w:val="en-US"/>
        </w:rPr>
        <w:t xml:space="preserve"> s</w:t>
      </w:r>
      <w:r w:rsidR="002F69F4" w:rsidRPr="00B354A8">
        <w:rPr>
          <w:rFonts w:cs="Times New Roman"/>
          <w:i/>
          <w:iCs/>
          <w:sz w:val="18"/>
          <w:szCs w:val="18"/>
          <w:vertAlign w:val="subscript"/>
          <w:lang w:val="en-US"/>
        </w:rPr>
        <w:t>2</w:t>
      </w:r>
      <w:r w:rsidR="006F346A">
        <w:rPr>
          <w:rFonts w:cs="Times New Roman"/>
          <w:i/>
          <w:iCs/>
          <w:sz w:val="18"/>
          <w:szCs w:val="18"/>
          <w:lang w:val="en-US"/>
        </w:rPr>
        <w:t xml:space="preserve"> – red;</w:t>
      </w:r>
      <w:r w:rsidR="002F69F4" w:rsidRPr="00B354A8">
        <w:rPr>
          <w:rFonts w:cs="Times New Roman"/>
          <w:i/>
          <w:iCs/>
          <w:sz w:val="18"/>
          <w:szCs w:val="18"/>
          <w:lang w:val="en-US"/>
        </w:rPr>
        <w:t xml:space="preserve"> s</w:t>
      </w:r>
      <w:r w:rsidR="002F69F4" w:rsidRPr="00B354A8">
        <w:rPr>
          <w:rFonts w:cs="Times New Roman"/>
          <w:i/>
          <w:iCs/>
          <w:sz w:val="18"/>
          <w:szCs w:val="18"/>
          <w:vertAlign w:val="subscript"/>
          <w:lang w:val="en-US"/>
        </w:rPr>
        <w:t xml:space="preserve"> </w:t>
      </w:r>
      <w:r w:rsidR="002F69F4" w:rsidRPr="00B354A8">
        <w:rPr>
          <w:rFonts w:cs="Times New Roman"/>
          <w:i/>
          <w:iCs/>
          <w:sz w:val="18"/>
          <w:szCs w:val="18"/>
          <w:lang w:val="en-US"/>
        </w:rPr>
        <w:t xml:space="preserve"> – purple.</w:t>
      </w:r>
    </w:p>
    <w:p w14:paraId="78F56831" w14:textId="77777777" w:rsidR="00C11F6A" w:rsidRPr="00B354A8" w:rsidRDefault="00C11F6A" w:rsidP="002F69F4">
      <w:pPr>
        <w:widowControl/>
        <w:suppressAutoHyphens w:val="0"/>
        <w:autoSpaceDE w:val="0"/>
        <w:autoSpaceDN w:val="0"/>
        <w:adjustRightInd w:val="0"/>
        <w:jc w:val="center"/>
        <w:rPr>
          <w:rFonts w:cs="Times New Roman"/>
          <w:i/>
          <w:iCs/>
          <w:sz w:val="18"/>
          <w:szCs w:val="18"/>
          <w:lang w:val="en-US"/>
        </w:rPr>
      </w:pPr>
    </w:p>
    <w:p w14:paraId="62D98577" w14:textId="66E3A858" w:rsidR="00B05B1D" w:rsidRPr="00731E04" w:rsidRDefault="003D1671" w:rsidP="00B05B1D">
      <w:pPr>
        <w:pStyle w:val="Bodytextfirst"/>
        <w:rPr>
          <w:sz w:val="20"/>
          <w:szCs w:val="20"/>
        </w:rPr>
      </w:pPr>
      <w:r w:rsidRPr="003D1671">
        <w:rPr>
          <w:sz w:val="20"/>
          <w:szCs w:val="20"/>
        </w:rPr>
        <w:t>Discussion: Tab. 8 summarizes the obtained diagnoses from simulations. Diagnose D1 is based on the tri-valued diagnostic matrix shown in Tab. 4, while diagnose D2 is based on the tri-valued diagnostic matrix shown in Tab. 6.</w:t>
      </w:r>
      <w:r w:rsidR="007D4EB0">
        <w:rPr>
          <w:sz w:val="20"/>
          <w:szCs w:val="20"/>
        </w:rPr>
        <w:t xml:space="preserve"> </w:t>
      </w:r>
    </w:p>
    <w:p w14:paraId="45980B2A" w14:textId="09A20B34" w:rsidR="00C25CD5" w:rsidRPr="00B05B1D" w:rsidRDefault="00C25CD5" w:rsidP="00C25CD5">
      <w:pPr>
        <w:pStyle w:val="Legenda"/>
        <w:keepNext/>
        <w:rPr>
          <w:rFonts w:cs="Times New Roman"/>
          <w:lang w:val="en-US"/>
        </w:rPr>
      </w:pPr>
      <w:proofErr w:type="gramStart"/>
      <w:r w:rsidRPr="00B05B1D">
        <w:rPr>
          <w:rFonts w:cs="Times New Roman"/>
          <w:lang w:val="en-US"/>
        </w:rPr>
        <w:lastRenderedPageBreak/>
        <w:t>Table 7.</w:t>
      </w:r>
      <w:proofErr w:type="gramEnd"/>
      <w:r w:rsidRPr="00B05B1D">
        <w:rPr>
          <w:rFonts w:cs="Times New Roman"/>
          <w:lang w:val="en-US"/>
        </w:rPr>
        <w:t xml:space="preserve">  </w:t>
      </w:r>
      <w:r w:rsidR="007916F0" w:rsidRPr="00B05B1D">
        <w:rPr>
          <w:rFonts w:cs="Times New Roman"/>
          <w:lang w:val="en-US"/>
        </w:rPr>
        <w:t>Diagnostic signals values</w:t>
      </w:r>
      <w:r w:rsidRPr="00B05B1D">
        <w:rPr>
          <w:rFonts w:cs="Times New Roman"/>
          <w:lang w:val="en-US"/>
        </w:rPr>
        <w:t>.</w:t>
      </w:r>
    </w:p>
    <w:tbl>
      <w:tblPr>
        <w:tblStyle w:val="Tabela-Siatka"/>
        <w:tblW w:w="3663" w:type="dxa"/>
        <w:jc w:val="center"/>
        <w:tblInd w:w="108" w:type="dxa"/>
        <w:tblLook w:val="04A0" w:firstRow="1" w:lastRow="0" w:firstColumn="1" w:lastColumn="0" w:noHBand="0" w:noVBand="1"/>
      </w:tblPr>
      <w:tblGrid>
        <w:gridCol w:w="792"/>
        <w:gridCol w:w="735"/>
        <w:gridCol w:w="712"/>
        <w:gridCol w:w="712"/>
        <w:gridCol w:w="712"/>
      </w:tblGrid>
      <w:tr w:rsidR="005A7F16" w:rsidRPr="00731E04" w14:paraId="7655B7A7" w14:textId="77777777" w:rsidTr="00731E04">
        <w:trPr>
          <w:jc w:val="center"/>
        </w:trPr>
        <w:tc>
          <w:tcPr>
            <w:tcW w:w="792" w:type="dxa"/>
            <w:tcBorders>
              <w:top w:val="single" w:sz="4" w:space="0" w:color="auto"/>
              <w:left w:val="single" w:sz="4" w:space="0" w:color="auto"/>
            </w:tcBorders>
            <w:vAlign w:val="center"/>
          </w:tcPr>
          <w:p w14:paraId="74F12D76" w14:textId="2AFBA00C" w:rsidR="005A7F16" w:rsidRPr="00B05B1D" w:rsidRDefault="005A7F16" w:rsidP="00B7490D">
            <w:pPr>
              <w:pStyle w:val="Bodytextfirst"/>
            </w:pPr>
            <w:r w:rsidRPr="00B05B1D">
              <w:t>time [s∙10</w:t>
            </w:r>
            <w:r w:rsidRPr="00B05B1D">
              <w:rPr>
                <w:vertAlign w:val="superscript"/>
              </w:rPr>
              <w:t>5</w:t>
            </w:r>
            <w:r w:rsidRPr="00B05B1D">
              <w:t>]</w:t>
            </w:r>
          </w:p>
        </w:tc>
        <w:tc>
          <w:tcPr>
            <w:tcW w:w="735" w:type="dxa"/>
            <w:tcBorders>
              <w:top w:val="single" w:sz="4" w:space="0" w:color="auto"/>
            </w:tcBorders>
            <w:vAlign w:val="center"/>
          </w:tcPr>
          <w:p w14:paraId="42521A49" w14:textId="1237B5CB" w:rsidR="005A7F16" w:rsidRPr="00B05B1D" w:rsidRDefault="005A7F16" w:rsidP="00C07470">
            <w:pPr>
              <w:pStyle w:val="Bodytextfirst"/>
              <w:jc w:val="center"/>
            </w:pPr>
            <w:r w:rsidRPr="00B05B1D">
              <w:t>0.00</w:t>
            </w:r>
          </w:p>
          <w:p w14:paraId="6369F496" w14:textId="78F795DB" w:rsidR="005A7F16" w:rsidRPr="00B05B1D" w:rsidRDefault="007A3047" w:rsidP="00C07470">
            <w:pPr>
              <w:pStyle w:val="Bodytextfirst"/>
              <w:jc w:val="center"/>
            </w:pPr>
            <w:r w:rsidRPr="00B05B1D">
              <w:t>0.82</w:t>
            </w:r>
          </w:p>
        </w:tc>
        <w:tc>
          <w:tcPr>
            <w:tcW w:w="712" w:type="dxa"/>
            <w:tcBorders>
              <w:top w:val="single" w:sz="4" w:space="0" w:color="auto"/>
            </w:tcBorders>
            <w:vAlign w:val="center"/>
          </w:tcPr>
          <w:p w14:paraId="3D8983A7" w14:textId="2DC5B391" w:rsidR="005A7F16" w:rsidRPr="00B05B1D" w:rsidRDefault="007A3047" w:rsidP="00C07470">
            <w:pPr>
              <w:pStyle w:val="Bodytextfirst"/>
              <w:jc w:val="center"/>
            </w:pPr>
            <w:r w:rsidRPr="00B05B1D">
              <w:t>0.82</w:t>
            </w:r>
          </w:p>
          <w:p w14:paraId="472AFEC0" w14:textId="38D24950" w:rsidR="005A7F16" w:rsidRPr="00B05B1D" w:rsidRDefault="007A3047" w:rsidP="00C07470">
            <w:pPr>
              <w:pStyle w:val="Bodytextfirst"/>
              <w:jc w:val="center"/>
            </w:pPr>
            <w:r w:rsidRPr="00B05B1D">
              <w:t>0.90</w:t>
            </w:r>
          </w:p>
        </w:tc>
        <w:tc>
          <w:tcPr>
            <w:tcW w:w="712" w:type="dxa"/>
            <w:tcBorders>
              <w:top w:val="single" w:sz="4" w:space="0" w:color="auto"/>
            </w:tcBorders>
            <w:vAlign w:val="center"/>
          </w:tcPr>
          <w:p w14:paraId="0EB4E716" w14:textId="199526AB" w:rsidR="005A7F16" w:rsidRPr="00B05B1D" w:rsidRDefault="007A3047" w:rsidP="00C07470">
            <w:pPr>
              <w:pStyle w:val="Bodytextfirst"/>
              <w:jc w:val="center"/>
            </w:pPr>
            <w:r w:rsidRPr="00B05B1D">
              <w:t>0.90</w:t>
            </w:r>
          </w:p>
          <w:p w14:paraId="33D5CBF2" w14:textId="4D11F0B0" w:rsidR="005A7F16" w:rsidRPr="00B05B1D" w:rsidRDefault="005A7F16" w:rsidP="00C07470">
            <w:pPr>
              <w:pStyle w:val="Bodytextfirst"/>
              <w:jc w:val="center"/>
            </w:pPr>
            <w:r w:rsidRPr="00B05B1D">
              <w:t>1.35</w:t>
            </w:r>
          </w:p>
        </w:tc>
        <w:tc>
          <w:tcPr>
            <w:tcW w:w="712" w:type="dxa"/>
            <w:tcBorders>
              <w:top w:val="single" w:sz="4" w:space="0" w:color="auto"/>
            </w:tcBorders>
            <w:vAlign w:val="center"/>
          </w:tcPr>
          <w:p w14:paraId="2CB16176" w14:textId="75FAFB1C" w:rsidR="005A7F16" w:rsidRPr="00B05B1D" w:rsidRDefault="005A7F16" w:rsidP="00C07470">
            <w:pPr>
              <w:pStyle w:val="Bodytextfirst"/>
              <w:jc w:val="center"/>
            </w:pPr>
            <w:r w:rsidRPr="00B05B1D">
              <w:t>1.35</w:t>
            </w:r>
          </w:p>
          <w:p w14:paraId="72D90DE8" w14:textId="6788308F" w:rsidR="005A7F16" w:rsidRPr="00B05B1D" w:rsidRDefault="007A3047" w:rsidP="00C07470">
            <w:pPr>
              <w:pStyle w:val="Bodytextfirst"/>
              <w:jc w:val="center"/>
            </w:pPr>
            <w:r w:rsidRPr="00B05B1D">
              <w:t>2.00</w:t>
            </w:r>
          </w:p>
        </w:tc>
      </w:tr>
      <w:tr w:rsidR="005A7F16" w:rsidRPr="00731E04" w14:paraId="4BCFEE77" w14:textId="77777777" w:rsidTr="00731E04">
        <w:trPr>
          <w:jc w:val="center"/>
        </w:trPr>
        <w:tc>
          <w:tcPr>
            <w:tcW w:w="792" w:type="dxa"/>
            <w:vAlign w:val="center"/>
          </w:tcPr>
          <w:p w14:paraId="5173895D" w14:textId="77777777" w:rsidR="005A7F16" w:rsidRPr="00B05B1D" w:rsidRDefault="005A7F16" w:rsidP="00B05B1D">
            <w:pPr>
              <w:pStyle w:val="Bodytextfirst"/>
              <w:jc w:val="center"/>
            </w:pPr>
            <w:r w:rsidRPr="00B05B1D">
              <w:t>s</w:t>
            </w:r>
          </w:p>
        </w:tc>
        <w:tc>
          <w:tcPr>
            <w:tcW w:w="735" w:type="dxa"/>
            <w:vAlign w:val="center"/>
          </w:tcPr>
          <w:p w14:paraId="58698CD3" w14:textId="77777777" w:rsidR="005A7F16" w:rsidRPr="00B05B1D" w:rsidRDefault="005A7F16" w:rsidP="00C07470">
            <w:pPr>
              <w:pStyle w:val="Bodytextfirst"/>
              <w:jc w:val="center"/>
            </w:pPr>
            <w:r w:rsidRPr="00B05B1D">
              <w:t>0</w:t>
            </w:r>
          </w:p>
        </w:tc>
        <w:tc>
          <w:tcPr>
            <w:tcW w:w="712" w:type="dxa"/>
            <w:vAlign w:val="center"/>
          </w:tcPr>
          <w:p w14:paraId="4298D4D3" w14:textId="0622D0F1" w:rsidR="005A7F16" w:rsidRPr="00B05B1D" w:rsidRDefault="005A7F16" w:rsidP="00C07470">
            <w:pPr>
              <w:pStyle w:val="Bodytextfirst"/>
              <w:jc w:val="center"/>
            </w:pPr>
            <w:r w:rsidRPr="00B05B1D">
              <w:t>0</w:t>
            </w:r>
          </w:p>
        </w:tc>
        <w:tc>
          <w:tcPr>
            <w:tcW w:w="712" w:type="dxa"/>
            <w:vAlign w:val="center"/>
          </w:tcPr>
          <w:p w14:paraId="0744B860" w14:textId="495A90C6" w:rsidR="005A7F16" w:rsidRPr="00B05B1D" w:rsidRDefault="005A7F16" w:rsidP="00C07470">
            <w:pPr>
              <w:pStyle w:val="Bodytextfirst"/>
              <w:jc w:val="center"/>
            </w:pPr>
            <w:r w:rsidRPr="00B05B1D">
              <w:t>0</w:t>
            </w:r>
          </w:p>
        </w:tc>
        <w:tc>
          <w:tcPr>
            <w:tcW w:w="712" w:type="dxa"/>
            <w:vAlign w:val="center"/>
          </w:tcPr>
          <w:p w14:paraId="644C64E6" w14:textId="2F7239A4" w:rsidR="005A7F16" w:rsidRPr="00B05B1D" w:rsidRDefault="005A7F16" w:rsidP="00C07470">
            <w:pPr>
              <w:pStyle w:val="Bodytextfirst"/>
              <w:jc w:val="center"/>
            </w:pPr>
            <w:r w:rsidRPr="00B05B1D">
              <w:t>-1</w:t>
            </w:r>
          </w:p>
        </w:tc>
      </w:tr>
      <w:tr w:rsidR="0031603E" w:rsidRPr="00731E04" w14:paraId="11898F7C" w14:textId="77777777" w:rsidTr="008E73DE">
        <w:trPr>
          <w:jc w:val="center"/>
        </w:trPr>
        <w:tc>
          <w:tcPr>
            <w:tcW w:w="792" w:type="dxa"/>
            <w:shd w:val="clear" w:color="auto" w:fill="FFFFCC"/>
            <w:vAlign w:val="center"/>
          </w:tcPr>
          <w:p w14:paraId="5EE0DB03" w14:textId="534E05F1" w:rsidR="0031603E" w:rsidRPr="00B05B1D" w:rsidRDefault="0031603E" w:rsidP="00B05B1D">
            <w:pPr>
              <w:pStyle w:val="Bodytextfirst"/>
              <w:jc w:val="center"/>
            </w:pPr>
            <w:r w:rsidRPr="00B05B1D">
              <w:t>s</w:t>
            </w:r>
            <w:r w:rsidRPr="00B05B1D">
              <w:rPr>
                <w:vertAlign w:val="subscript"/>
              </w:rPr>
              <w:t>1</w:t>
            </w:r>
          </w:p>
        </w:tc>
        <w:tc>
          <w:tcPr>
            <w:tcW w:w="735" w:type="dxa"/>
            <w:shd w:val="clear" w:color="auto" w:fill="FFFFCC"/>
            <w:vAlign w:val="center"/>
          </w:tcPr>
          <w:p w14:paraId="733EF879" w14:textId="7346C697" w:rsidR="0031603E" w:rsidRPr="00B05B1D" w:rsidRDefault="0031603E" w:rsidP="00C07470">
            <w:pPr>
              <w:pStyle w:val="Bodytextfirst"/>
              <w:jc w:val="center"/>
            </w:pPr>
            <w:r w:rsidRPr="00B05B1D">
              <w:t>0</w:t>
            </w:r>
          </w:p>
        </w:tc>
        <w:tc>
          <w:tcPr>
            <w:tcW w:w="712" w:type="dxa"/>
            <w:shd w:val="clear" w:color="auto" w:fill="FFFFCC"/>
            <w:vAlign w:val="center"/>
          </w:tcPr>
          <w:p w14:paraId="51CF39DC" w14:textId="7D3D791A" w:rsidR="0031603E" w:rsidRPr="00B05B1D" w:rsidRDefault="0031603E" w:rsidP="00C07470">
            <w:pPr>
              <w:pStyle w:val="Bodytextfirst"/>
              <w:jc w:val="center"/>
            </w:pPr>
            <w:r w:rsidRPr="00B05B1D">
              <w:t>-1</w:t>
            </w:r>
          </w:p>
        </w:tc>
        <w:tc>
          <w:tcPr>
            <w:tcW w:w="712" w:type="dxa"/>
            <w:shd w:val="clear" w:color="auto" w:fill="FFFFCC"/>
            <w:vAlign w:val="center"/>
          </w:tcPr>
          <w:p w14:paraId="15EB8929" w14:textId="3A5BCA04" w:rsidR="0031603E" w:rsidRPr="00B05B1D" w:rsidRDefault="0031603E" w:rsidP="00C07470">
            <w:pPr>
              <w:pStyle w:val="Bodytextfirst"/>
              <w:jc w:val="center"/>
            </w:pPr>
            <w:r w:rsidRPr="00B05B1D">
              <w:t>-1</w:t>
            </w:r>
          </w:p>
        </w:tc>
        <w:tc>
          <w:tcPr>
            <w:tcW w:w="712" w:type="dxa"/>
            <w:shd w:val="clear" w:color="auto" w:fill="FFFFCC"/>
            <w:vAlign w:val="center"/>
          </w:tcPr>
          <w:p w14:paraId="07F9B461" w14:textId="6E61C0C2" w:rsidR="0031603E" w:rsidRPr="00B05B1D" w:rsidRDefault="0031603E" w:rsidP="00C07470">
            <w:pPr>
              <w:pStyle w:val="Bodytextfirst"/>
              <w:jc w:val="center"/>
            </w:pPr>
            <w:r w:rsidRPr="00B05B1D">
              <w:t>-1</w:t>
            </w:r>
          </w:p>
        </w:tc>
      </w:tr>
      <w:tr w:rsidR="0031603E" w:rsidRPr="00731E04" w14:paraId="6ABFD6A0" w14:textId="77777777" w:rsidTr="008E73DE">
        <w:trPr>
          <w:jc w:val="center"/>
        </w:trPr>
        <w:tc>
          <w:tcPr>
            <w:tcW w:w="792" w:type="dxa"/>
            <w:shd w:val="clear" w:color="auto" w:fill="FFFFCC"/>
            <w:vAlign w:val="center"/>
          </w:tcPr>
          <w:p w14:paraId="486F2240" w14:textId="39597AF6" w:rsidR="0031603E" w:rsidRPr="00B05B1D" w:rsidRDefault="0031603E" w:rsidP="00B05B1D">
            <w:pPr>
              <w:pStyle w:val="Bodytextfirst"/>
              <w:jc w:val="center"/>
            </w:pPr>
            <w:r w:rsidRPr="00B05B1D">
              <w:t>s</w:t>
            </w:r>
            <w:r w:rsidRPr="00B05B1D">
              <w:rPr>
                <w:vertAlign w:val="subscript"/>
              </w:rPr>
              <w:t>2</w:t>
            </w:r>
          </w:p>
        </w:tc>
        <w:tc>
          <w:tcPr>
            <w:tcW w:w="735" w:type="dxa"/>
            <w:shd w:val="clear" w:color="auto" w:fill="FFFFCC"/>
            <w:vAlign w:val="center"/>
          </w:tcPr>
          <w:p w14:paraId="6A81BCB3" w14:textId="7B3C156E" w:rsidR="0031603E" w:rsidRPr="00B05B1D" w:rsidRDefault="0031603E" w:rsidP="00C07470">
            <w:pPr>
              <w:pStyle w:val="Bodytextfirst"/>
              <w:jc w:val="center"/>
            </w:pPr>
            <w:r w:rsidRPr="00B05B1D">
              <w:t>0</w:t>
            </w:r>
          </w:p>
        </w:tc>
        <w:tc>
          <w:tcPr>
            <w:tcW w:w="712" w:type="dxa"/>
            <w:shd w:val="clear" w:color="auto" w:fill="FFFFCC"/>
            <w:vAlign w:val="center"/>
          </w:tcPr>
          <w:p w14:paraId="0E311BDC" w14:textId="1BB99EA2" w:rsidR="0031603E" w:rsidRPr="00B05B1D" w:rsidRDefault="0031603E" w:rsidP="00C07470">
            <w:pPr>
              <w:pStyle w:val="Bodytextfirst"/>
              <w:jc w:val="center"/>
            </w:pPr>
            <w:r w:rsidRPr="00B05B1D">
              <w:t>0</w:t>
            </w:r>
          </w:p>
        </w:tc>
        <w:tc>
          <w:tcPr>
            <w:tcW w:w="712" w:type="dxa"/>
            <w:shd w:val="clear" w:color="auto" w:fill="FFFFCC"/>
            <w:vAlign w:val="center"/>
          </w:tcPr>
          <w:p w14:paraId="0D0691EE" w14:textId="27EFC6B2" w:rsidR="0031603E" w:rsidRPr="00B05B1D" w:rsidRDefault="0031603E" w:rsidP="00C07470">
            <w:pPr>
              <w:pStyle w:val="Bodytextfirst"/>
              <w:jc w:val="center"/>
            </w:pPr>
            <w:r w:rsidRPr="00B05B1D">
              <w:t>+1</w:t>
            </w:r>
          </w:p>
        </w:tc>
        <w:tc>
          <w:tcPr>
            <w:tcW w:w="712" w:type="dxa"/>
            <w:shd w:val="clear" w:color="auto" w:fill="FFFFCC"/>
            <w:vAlign w:val="center"/>
          </w:tcPr>
          <w:p w14:paraId="5019041E" w14:textId="6C04E1C1" w:rsidR="0031603E" w:rsidRPr="00B05B1D" w:rsidRDefault="0031603E" w:rsidP="00C07470">
            <w:pPr>
              <w:pStyle w:val="Bodytextfirst"/>
              <w:jc w:val="center"/>
            </w:pPr>
            <w:r w:rsidRPr="00B05B1D">
              <w:t>+1</w:t>
            </w:r>
          </w:p>
        </w:tc>
      </w:tr>
      <w:tr w:rsidR="00477E3F" w:rsidRPr="00ED72FE" w14:paraId="376B7DA0" w14:textId="77777777" w:rsidTr="00477E3F">
        <w:trPr>
          <w:jc w:val="center"/>
        </w:trPr>
        <w:tc>
          <w:tcPr>
            <w:tcW w:w="3663" w:type="dxa"/>
            <w:gridSpan w:val="5"/>
            <w:shd w:val="clear" w:color="auto" w:fill="auto"/>
            <w:vAlign w:val="center"/>
          </w:tcPr>
          <w:p w14:paraId="58AE0852" w14:textId="6D300726" w:rsidR="00477E3F" w:rsidRPr="00B05B1D" w:rsidRDefault="00477E3F" w:rsidP="00B05B1D">
            <w:pPr>
              <w:pStyle w:val="Bodytextfirst"/>
              <w:jc w:val="center"/>
            </w:pPr>
            <w:r w:rsidRPr="00B05B1D">
              <w:t xml:space="preserve">Interval of </w:t>
            </w:r>
            <w:r w:rsidR="00ED72FE">
              <w:t xml:space="preserve">the </w:t>
            </w:r>
            <w:r w:rsidRPr="00B05B1D">
              <w:t>fault compensation effect</w:t>
            </w:r>
          </w:p>
          <w:p w14:paraId="7CDFF94A" w14:textId="130351EB" w:rsidR="00477E3F" w:rsidRPr="00B05B1D" w:rsidRDefault="00477E3F" w:rsidP="00B05B1D">
            <w:pPr>
              <w:pStyle w:val="Bodytextfirst"/>
              <w:jc w:val="center"/>
            </w:pPr>
            <w:r w:rsidRPr="00B05B1D">
              <w:t>0.85..1.35∙10</w:t>
            </w:r>
            <w:r w:rsidRPr="00B05B1D">
              <w:rPr>
                <w:vertAlign w:val="superscript"/>
              </w:rPr>
              <w:t>5</w:t>
            </w:r>
            <w:r w:rsidRPr="00B05B1D">
              <w:t xml:space="preserve"> s</w:t>
            </w:r>
          </w:p>
        </w:tc>
      </w:tr>
    </w:tbl>
    <w:p w14:paraId="601F6C9B" w14:textId="2682CFAF" w:rsidR="00A802B5" w:rsidRPr="00B05B1D" w:rsidRDefault="00A802B5" w:rsidP="00A802B5">
      <w:pPr>
        <w:pStyle w:val="Legenda"/>
        <w:keepNext/>
        <w:rPr>
          <w:rFonts w:cs="Times New Roman"/>
          <w:lang w:val="en-US"/>
        </w:rPr>
      </w:pPr>
      <w:proofErr w:type="gramStart"/>
      <w:r w:rsidRPr="00B05B1D">
        <w:rPr>
          <w:rFonts w:cs="Times New Roman"/>
          <w:lang w:val="en-US"/>
        </w:rPr>
        <w:t xml:space="preserve">Table </w:t>
      </w:r>
      <w:r w:rsidR="00C25CD5" w:rsidRPr="00B05B1D">
        <w:rPr>
          <w:rFonts w:cs="Times New Roman"/>
          <w:lang w:val="en-US"/>
        </w:rPr>
        <w:t>8</w:t>
      </w:r>
      <w:r w:rsidRPr="00B05B1D">
        <w:rPr>
          <w:rFonts w:cs="Times New Roman"/>
          <w:lang w:val="en-US"/>
        </w:rPr>
        <w:t>.</w:t>
      </w:r>
      <w:proofErr w:type="gramEnd"/>
      <w:r w:rsidRPr="00B05B1D">
        <w:rPr>
          <w:rFonts w:cs="Times New Roman"/>
          <w:lang w:val="en-US"/>
        </w:rPr>
        <w:t xml:space="preserve">  </w:t>
      </w:r>
      <w:proofErr w:type="gramStart"/>
      <w:r w:rsidR="00477E3F" w:rsidRPr="00B05B1D">
        <w:rPr>
          <w:rFonts w:cs="Times New Roman"/>
          <w:lang w:val="en-US"/>
        </w:rPr>
        <w:t>Obtained d</w:t>
      </w:r>
      <w:r w:rsidR="007916F0" w:rsidRPr="00B05B1D">
        <w:rPr>
          <w:rFonts w:cs="Times New Roman"/>
          <w:lang w:val="en-US"/>
        </w:rPr>
        <w:t>iagnoses</w:t>
      </w:r>
      <w:r w:rsidRPr="00B05B1D">
        <w:rPr>
          <w:rFonts w:cs="Times New Roman"/>
          <w:lang w:val="en-US"/>
        </w:rPr>
        <w:t>.</w:t>
      </w:r>
      <w:proofErr w:type="gramEnd"/>
    </w:p>
    <w:tbl>
      <w:tblPr>
        <w:tblStyle w:val="Tabela-Siatka"/>
        <w:tblW w:w="4375" w:type="dxa"/>
        <w:jc w:val="center"/>
        <w:tblInd w:w="108" w:type="dxa"/>
        <w:tblLook w:val="04A0" w:firstRow="1" w:lastRow="0" w:firstColumn="1" w:lastColumn="0" w:noHBand="0" w:noVBand="1"/>
      </w:tblPr>
      <w:tblGrid>
        <w:gridCol w:w="743"/>
        <w:gridCol w:w="895"/>
        <w:gridCol w:w="821"/>
        <w:gridCol w:w="948"/>
        <w:gridCol w:w="968"/>
      </w:tblGrid>
      <w:tr w:rsidR="007A3047" w:rsidRPr="00731E04" w14:paraId="43CA9B65" w14:textId="77777777" w:rsidTr="0031603E">
        <w:trPr>
          <w:jc w:val="center"/>
        </w:trPr>
        <w:tc>
          <w:tcPr>
            <w:tcW w:w="743" w:type="dxa"/>
            <w:tcBorders>
              <w:top w:val="single" w:sz="4" w:space="0" w:color="auto"/>
              <w:left w:val="single" w:sz="4" w:space="0" w:color="auto"/>
            </w:tcBorders>
            <w:vAlign w:val="center"/>
          </w:tcPr>
          <w:p w14:paraId="263CF5BA" w14:textId="77777777" w:rsidR="007A3047" w:rsidRPr="00C07470" w:rsidRDefault="007A3047" w:rsidP="00C07470">
            <w:pPr>
              <w:pStyle w:val="Bodytextfirst"/>
              <w:jc w:val="center"/>
            </w:pPr>
            <w:r w:rsidRPr="00C07470">
              <w:t>time [s∙10</w:t>
            </w:r>
            <w:r w:rsidRPr="00C07470">
              <w:rPr>
                <w:vertAlign w:val="superscript"/>
              </w:rPr>
              <w:t>5</w:t>
            </w:r>
            <w:r w:rsidRPr="00C07470">
              <w:t>]</w:t>
            </w:r>
          </w:p>
        </w:tc>
        <w:tc>
          <w:tcPr>
            <w:tcW w:w="895" w:type="dxa"/>
            <w:tcBorders>
              <w:top w:val="single" w:sz="4" w:space="0" w:color="auto"/>
            </w:tcBorders>
            <w:vAlign w:val="center"/>
          </w:tcPr>
          <w:p w14:paraId="066D58DA" w14:textId="77777777" w:rsidR="007A3047" w:rsidRPr="00C07470" w:rsidRDefault="007A3047" w:rsidP="00C07470">
            <w:pPr>
              <w:pStyle w:val="Bodytextfirst"/>
              <w:jc w:val="center"/>
            </w:pPr>
            <w:r w:rsidRPr="00C07470">
              <w:t>0.00</w:t>
            </w:r>
          </w:p>
          <w:p w14:paraId="5147176D" w14:textId="2BF65F84" w:rsidR="007A3047" w:rsidRPr="00C07470" w:rsidRDefault="007A3047" w:rsidP="00C07470">
            <w:pPr>
              <w:pStyle w:val="Bodytextfirst"/>
              <w:jc w:val="center"/>
            </w:pPr>
            <w:r w:rsidRPr="00C07470">
              <w:t>0.82</w:t>
            </w:r>
          </w:p>
        </w:tc>
        <w:tc>
          <w:tcPr>
            <w:tcW w:w="821" w:type="dxa"/>
            <w:tcBorders>
              <w:top w:val="single" w:sz="4" w:space="0" w:color="auto"/>
            </w:tcBorders>
            <w:vAlign w:val="center"/>
          </w:tcPr>
          <w:p w14:paraId="13046506" w14:textId="77777777" w:rsidR="007A3047" w:rsidRPr="00C07470" w:rsidRDefault="007A3047" w:rsidP="00C07470">
            <w:pPr>
              <w:pStyle w:val="Bodytextfirst"/>
              <w:jc w:val="center"/>
            </w:pPr>
            <w:r w:rsidRPr="00C07470">
              <w:t>0.82</w:t>
            </w:r>
          </w:p>
          <w:p w14:paraId="40863076" w14:textId="2AA444E3" w:rsidR="007A3047" w:rsidRPr="00C07470" w:rsidRDefault="007A3047" w:rsidP="00C07470">
            <w:pPr>
              <w:pStyle w:val="Bodytextfirst"/>
              <w:jc w:val="center"/>
            </w:pPr>
            <w:r w:rsidRPr="00C07470">
              <w:t>0.90</w:t>
            </w:r>
          </w:p>
        </w:tc>
        <w:tc>
          <w:tcPr>
            <w:tcW w:w="948" w:type="dxa"/>
            <w:tcBorders>
              <w:top w:val="single" w:sz="4" w:space="0" w:color="auto"/>
            </w:tcBorders>
            <w:vAlign w:val="center"/>
          </w:tcPr>
          <w:p w14:paraId="6C1B5932" w14:textId="77777777" w:rsidR="007A3047" w:rsidRPr="00C07470" w:rsidRDefault="007A3047" w:rsidP="00C07470">
            <w:pPr>
              <w:pStyle w:val="Bodytextfirst"/>
              <w:jc w:val="center"/>
            </w:pPr>
            <w:r w:rsidRPr="00C07470">
              <w:t>0.90</w:t>
            </w:r>
          </w:p>
          <w:p w14:paraId="08D64272" w14:textId="7039D144" w:rsidR="007A3047" w:rsidRPr="00C07470" w:rsidRDefault="007A3047" w:rsidP="00C07470">
            <w:pPr>
              <w:pStyle w:val="Bodytextfirst"/>
              <w:jc w:val="center"/>
            </w:pPr>
            <w:r w:rsidRPr="00C07470">
              <w:t>1.35</w:t>
            </w:r>
          </w:p>
        </w:tc>
        <w:tc>
          <w:tcPr>
            <w:tcW w:w="968" w:type="dxa"/>
            <w:tcBorders>
              <w:top w:val="single" w:sz="4" w:space="0" w:color="auto"/>
            </w:tcBorders>
            <w:vAlign w:val="center"/>
          </w:tcPr>
          <w:p w14:paraId="1DB932B0" w14:textId="77777777" w:rsidR="007A3047" w:rsidRPr="00C07470" w:rsidRDefault="007A3047" w:rsidP="00C07470">
            <w:pPr>
              <w:pStyle w:val="Bodytextfirst"/>
              <w:jc w:val="center"/>
            </w:pPr>
            <w:r w:rsidRPr="00C07470">
              <w:t>1.35</w:t>
            </w:r>
          </w:p>
          <w:p w14:paraId="3EB86A16" w14:textId="64DA5098" w:rsidR="007A3047" w:rsidRPr="00C07470" w:rsidRDefault="007A3047" w:rsidP="00C07470">
            <w:pPr>
              <w:pStyle w:val="Bodytextfirst"/>
              <w:jc w:val="center"/>
            </w:pPr>
            <w:r w:rsidRPr="00C07470">
              <w:t>2.00</w:t>
            </w:r>
          </w:p>
        </w:tc>
      </w:tr>
      <w:tr w:rsidR="0031603E" w:rsidRPr="00731E04" w14:paraId="381AA1FE" w14:textId="77777777" w:rsidTr="0031603E">
        <w:trPr>
          <w:jc w:val="center"/>
        </w:trPr>
        <w:tc>
          <w:tcPr>
            <w:tcW w:w="743" w:type="dxa"/>
            <w:vAlign w:val="center"/>
          </w:tcPr>
          <w:p w14:paraId="79ACECF1" w14:textId="60B5FE7B" w:rsidR="0031603E" w:rsidRPr="00C07470" w:rsidRDefault="0031603E" w:rsidP="008E73DE">
            <w:pPr>
              <w:pStyle w:val="Bodytextfirst"/>
            </w:pPr>
            <w:r w:rsidRPr="00C07470">
              <w:t>D1</w:t>
            </w:r>
          </w:p>
        </w:tc>
        <w:tc>
          <w:tcPr>
            <w:tcW w:w="895" w:type="dxa"/>
            <w:vAlign w:val="center"/>
          </w:tcPr>
          <w:p w14:paraId="52E46B40" w14:textId="77777777" w:rsidR="0031603E" w:rsidRPr="00C07470" w:rsidRDefault="0031603E" w:rsidP="008E73DE">
            <w:pPr>
              <w:pStyle w:val="Bodytextfirst"/>
            </w:pPr>
            <m:oMathPara>
              <m:oMath>
                <m:r>
                  <m:rPr>
                    <m:sty m:val="p"/>
                  </m:rPr>
                  <w:rPr>
                    <w:rFonts w:ascii="Cambria Math" w:hAnsi="Cambria Math"/>
                  </w:rPr>
                  <m:t>∅</m:t>
                </m:r>
              </m:oMath>
            </m:oMathPara>
          </w:p>
          <w:p w14:paraId="7A0AC55F" w14:textId="1FF349F2"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821" w:type="dxa"/>
            <w:vAlign w:val="center"/>
          </w:tcPr>
          <w:p w14:paraId="364E8FF8" w14:textId="77777777" w:rsidR="0031603E" w:rsidRPr="00C07470" w:rsidRDefault="0031603E" w:rsidP="008E73DE">
            <w:pPr>
              <w:pStyle w:val="Bodytextfirst"/>
            </w:pPr>
            <m:oMathPara>
              <m:oMath>
                <m:r>
                  <m:rPr>
                    <m:sty m:val="p"/>
                  </m:rPr>
                  <w:rPr>
                    <w:rFonts w:ascii="Cambria Math" w:hAnsi="Cambria Math"/>
                  </w:rPr>
                  <m:t>∅,</m:t>
                </m:r>
              </m:oMath>
            </m:oMathPara>
          </w:p>
          <w:p w14:paraId="0A42B60A" w14:textId="7EF5FDD3"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948" w:type="dxa"/>
            <w:vAlign w:val="center"/>
          </w:tcPr>
          <w:p w14:paraId="00A9855C" w14:textId="77777777" w:rsidR="0031603E" w:rsidRPr="00C07470" w:rsidRDefault="0031603E" w:rsidP="008E73DE">
            <w:pPr>
              <w:pStyle w:val="Bodytextfirst"/>
            </w:pPr>
            <m:oMathPara>
              <m:oMath>
                <m:r>
                  <m:rPr>
                    <m:sty m:val="p"/>
                  </m:rPr>
                  <w:rPr>
                    <w:rFonts w:ascii="Cambria Math" w:hAnsi="Cambria Math"/>
                  </w:rPr>
                  <m:t>∅,</m:t>
                </m:r>
              </m:oMath>
            </m:oMathPara>
          </w:p>
          <w:p w14:paraId="3C4E6018" w14:textId="026DD326"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968" w:type="dxa"/>
            <w:vAlign w:val="center"/>
          </w:tcPr>
          <w:p w14:paraId="17771606" w14:textId="77777777"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oMath>
            </m:oMathPara>
          </w:p>
          <w:p w14:paraId="25C956FB" w14:textId="4E94AB96"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r w:rsidR="0031603E" w:rsidRPr="00731E04" w14:paraId="67B6B765" w14:textId="77777777" w:rsidTr="008E73DE">
        <w:trPr>
          <w:jc w:val="center"/>
        </w:trPr>
        <w:tc>
          <w:tcPr>
            <w:tcW w:w="743" w:type="dxa"/>
            <w:shd w:val="clear" w:color="auto" w:fill="FFFFCC"/>
            <w:vAlign w:val="center"/>
          </w:tcPr>
          <w:p w14:paraId="56BD12E7" w14:textId="3A6E34B2" w:rsidR="0031603E" w:rsidRPr="00C07470" w:rsidRDefault="0031603E" w:rsidP="008E73DE">
            <w:pPr>
              <w:pStyle w:val="Bodytextfirst"/>
            </w:pPr>
            <w:r w:rsidRPr="00C07470">
              <w:t>D2</w:t>
            </w:r>
          </w:p>
        </w:tc>
        <w:tc>
          <w:tcPr>
            <w:tcW w:w="895" w:type="dxa"/>
            <w:shd w:val="clear" w:color="auto" w:fill="FFFFCC"/>
            <w:vAlign w:val="center"/>
          </w:tcPr>
          <w:p w14:paraId="2E8AFAB7" w14:textId="3AAA5AB3" w:rsidR="0031603E" w:rsidRPr="00C07470" w:rsidRDefault="0031603E" w:rsidP="008E73DE">
            <w:pPr>
              <w:pStyle w:val="Bodytextfirst"/>
            </w:pPr>
            <m:oMathPara>
              <m:oMath>
                <m:r>
                  <m:rPr>
                    <m:sty m:val="p"/>
                  </m:rPr>
                  <w:rPr>
                    <w:rFonts w:ascii="Cambria Math" w:hAnsi="Cambria Math"/>
                  </w:rPr>
                  <m:t>∅</m:t>
                </m:r>
              </m:oMath>
            </m:oMathPara>
          </w:p>
        </w:tc>
        <w:tc>
          <w:tcPr>
            <w:tcW w:w="821" w:type="dxa"/>
            <w:shd w:val="clear" w:color="auto" w:fill="FFFFCC"/>
            <w:vAlign w:val="center"/>
          </w:tcPr>
          <w:p w14:paraId="24C10D4F" w14:textId="34666875"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948" w:type="dxa"/>
            <w:shd w:val="clear" w:color="auto" w:fill="FFFFCC"/>
            <w:vAlign w:val="center"/>
          </w:tcPr>
          <w:p w14:paraId="1D284679" w14:textId="57C22BC4"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968" w:type="dxa"/>
            <w:shd w:val="clear" w:color="auto" w:fill="FFFFCC"/>
            <w:vAlign w:val="center"/>
          </w:tcPr>
          <w:p w14:paraId="2D246155" w14:textId="4F15E12F" w:rsidR="0031603E" w:rsidRPr="00C07470" w:rsidRDefault="003E3364" w:rsidP="008E73DE">
            <w:pPr>
              <w:pStyle w:val="Bodytextfirst"/>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r>
    </w:tbl>
    <w:p w14:paraId="1B35FE80" w14:textId="36142B3C" w:rsidR="007916F0" w:rsidRPr="00731E04" w:rsidRDefault="003D1671" w:rsidP="00B7490D">
      <w:pPr>
        <w:pStyle w:val="Bodytextfirst"/>
        <w:rPr>
          <w:sz w:val="20"/>
          <w:szCs w:val="20"/>
        </w:rPr>
      </w:pPr>
      <w:proofErr w:type="gramStart"/>
      <w:r w:rsidRPr="003D1671">
        <w:rPr>
          <w:sz w:val="20"/>
          <w:szCs w:val="20"/>
        </w:rPr>
        <w:t>isolates</w:t>
      </w:r>
      <w:proofErr w:type="gramEnd"/>
      <w:r w:rsidRPr="003D1671">
        <w:rPr>
          <w:sz w:val="20"/>
          <w:szCs w:val="20"/>
        </w:rPr>
        <w:t xml:space="preserve"> and </w:t>
      </w:r>
      <w:r w:rsidR="00C11F6A">
        <w:rPr>
          <w:sz w:val="20"/>
          <w:szCs w:val="20"/>
        </w:rPr>
        <w:t>corr</w:t>
      </w:r>
      <w:r w:rsidRPr="003D1671">
        <w:rPr>
          <w:sz w:val="20"/>
          <w:szCs w:val="20"/>
        </w:rPr>
        <w:t>ectly distinguishes all faults. In turn, diagnose D1 is ambiguous</w:t>
      </w:r>
      <w:r w:rsidR="00ED72FE">
        <w:rPr>
          <w:sz w:val="20"/>
          <w:szCs w:val="20"/>
        </w:rPr>
        <w:t>,</w:t>
      </w:r>
      <w:r w:rsidRPr="003D1671">
        <w:rPr>
          <w:sz w:val="20"/>
          <w:szCs w:val="20"/>
        </w:rPr>
        <w:t xml:space="preserve"> i.e.</w:t>
      </w:r>
      <w:r w:rsidR="00ED72FE">
        <w:rPr>
          <w:sz w:val="20"/>
          <w:szCs w:val="20"/>
        </w:rPr>
        <w:t>,</w:t>
      </w:r>
      <w:r w:rsidRPr="003D1671">
        <w:rPr>
          <w:sz w:val="20"/>
          <w:szCs w:val="20"/>
        </w:rPr>
        <w:t xml:space="preserve"> delivers much less usable information, in part due to the fault compensation effect.</w:t>
      </w:r>
      <w:r w:rsidR="00154408" w:rsidRPr="00731E04">
        <w:rPr>
          <w:sz w:val="20"/>
          <w:szCs w:val="20"/>
        </w:rPr>
        <w:t xml:space="preserve"> </w:t>
      </w:r>
    </w:p>
    <w:p w14:paraId="221497AB" w14:textId="497D2A68" w:rsidR="00104602" w:rsidRPr="00731E04" w:rsidRDefault="00104602" w:rsidP="00104602">
      <w:pPr>
        <w:pStyle w:val="Sectionheading"/>
        <w:rPr>
          <w:rFonts w:cs="Times New Roman"/>
          <w:color w:val="000000" w:themeColor="text1"/>
          <w:szCs w:val="20"/>
        </w:rPr>
      </w:pPr>
      <w:r w:rsidRPr="00731E04">
        <w:rPr>
          <w:rFonts w:cs="Times New Roman"/>
          <w:color w:val="000000" w:themeColor="text1"/>
          <w:szCs w:val="20"/>
        </w:rPr>
        <w:t>FAULT MASKING EFFECT</w:t>
      </w:r>
    </w:p>
    <w:p w14:paraId="377F7DAB" w14:textId="7EA3EEB2" w:rsidR="003D1671" w:rsidRPr="003D1671" w:rsidRDefault="003D1671" w:rsidP="003D1671">
      <w:pPr>
        <w:pStyle w:val="Bodytextfirst"/>
        <w:rPr>
          <w:sz w:val="20"/>
          <w:szCs w:val="20"/>
        </w:rPr>
      </w:pPr>
      <w:r w:rsidRPr="003D1671">
        <w:rPr>
          <w:sz w:val="20"/>
          <w:szCs w:val="20"/>
        </w:rPr>
        <w:t xml:space="preserve">As long as the process value tracks the </w:t>
      </w:r>
      <w:proofErr w:type="spellStart"/>
      <w:r w:rsidRPr="003D1671">
        <w:rPr>
          <w:sz w:val="20"/>
          <w:szCs w:val="20"/>
        </w:rPr>
        <w:t>setpoint</w:t>
      </w:r>
      <w:proofErr w:type="spellEnd"/>
      <w:r w:rsidRPr="003D1671">
        <w:rPr>
          <w:sz w:val="20"/>
          <w:szCs w:val="20"/>
        </w:rPr>
        <w:t xml:space="preserve"> value within some predefined limits, either process operator or alarm system does not have </w:t>
      </w:r>
      <w:r w:rsidR="00C11F6A">
        <w:rPr>
          <w:sz w:val="20"/>
          <w:szCs w:val="20"/>
        </w:rPr>
        <w:t xml:space="preserve">substantial </w:t>
      </w:r>
      <w:r w:rsidRPr="003D1671">
        <w:rPr>
          <w:sz w:val="20"/>
          <w:szCs w:val="20"/>
        </w:rPr>
        <w:t xml:space="preserve">reasons to react. In the closed-loop systems, the effects </w:t>
      </w:r>
      <w:r w:rsidR="00C11F6A">
        <w:rPr>
          <w:sz w:val="20"/>
          <w:szCs w:val="20"/>
        </w:rPr>
        <w:t xml:space="preserve">of </w:t>
      </w:r>
      <w:r w:rsidRPr="003D1671">
        <w:rPr>
          <w:sz w:val="20"/>
          <w:szCs w:val="20"/>
        </w:rPr>
        <w:t>faults are compensated by controller action as long as the system is controllable. Therefore, the fault-masking effect is frequently understood as an effect of the invisibility of faults by process operators or alarm systems.  I</w:t>
      </w:r>
      <w:r w:rsidR="00C11F6A">
        <w:rPr>
          <w:sz w:val="20"/>
          <w:szCs w:val="20"/>
        </w:rPr>
        <w:t>n</w:t>
      </w:r>
      <w:r w:rsidRPr="003D1671">
        <w:rPr>
          <w:sz w:val="20"/>
          <w:szCs w:val="20"/>
        </w:rPr>
        <w:t xml:space="preserve"> other words, </w:t>
      </w:r>
      <w:r w:rsidR="00ED72FE" w:rsidRPr="003D1671">
        <w:rPr>
          <w:sz w:val="20"/>
          <w:szCs w:val="20"/>
        </w:rPr>
        <w:t>in a steady</w:t>
      </w:r>
      <w:r w:rsidR="00C11F6A">
        <w:rPr>
          <w:sz w:val="20"/>
          <w:szCs w:val="20"/>
        </w:rPr>
        <w:t>-</w:t>
      </w:r>
      <w:r w:rsidR="00ED72FE" w:rsidRPr="003D1671">
        <w:rPr>
          <w:sz w:val="20"/>
          <w:szCs w:val="20"/>
        </w:rPr>
        <w:t>state</w:t>
      </w:r>
      <w:r w:rsidR="00ED72FE">
        <w:rPr>
          <w:sz w:val="20"/>
          <w:szCs w:val="20"/>
        </w:rPr>
        <w:t>,</w:t>
      </w:r>
      <w:r w:rsidR="00ED72FE" w:rsidRPr="003D1671">
        <w:rPr>
          <w:sz w:val="20"/>
          <w:szCs w:val="20"/>
        </w:rPr>
        <w:t xml:space="preserve"> </w:t>
      </w:r>
      <w:r w:rsidRPr="003D1671">
        <w:rPr>
          <w:sz w:val="20"/>
          <w:szCs w:val="20"/>
        </w:rPr>
        <w:t xml:space="preserve">the difference between </w:t>
      </w:r>
      <w:r w:rsidR="00C11F6A">
        <w:rPr>
          <w:sz w:val="20"/>
          <w:szCs w:val="20"/>
        </w:rPr>
        <w:t xml:space="preserve">the </w:t>
      </w:r>
      <w:proofErr w:type="spellStart"/>
      <w:r w:rsidRPr="003D1671">
        <w:rPr>
          <w:sz w:val="20"/>
          <w:szCs w:val="20"/>
        </w:rPr>
        <w:t>s</w:t>
      </w:r>
      <w:r w:rsidR="00C11F6A">
        <w:rPr>
          <w:sz w:val="20"/>
          <w:szCs w:val="20"/>
        </w:rPr>
        <w:t>etpoint</w:t>
      </w:r>
      <w:proofErr w:type="spellEnd"/>
      <w:r w:rsidR="00C11F6A">
        <w:rPr>
          <w:sz w:val="20"/>
          <w:szCs w:val="20"/>
        </w:rPr>
        <w:t xml:space="preserve"> and process value is nor sensitive nor indicative of</w:t>
      </w:r>
      <w:r w:rsidRPr="003D1671">
        <w:rPr>
          <w:sz w:val="20"/>
          <w:szCs w:val="20"/>
        </w:rPr>
        <w:t xml:space="preserve"> faults.  Here, the question arises: do the model-based fault diagnostics discussed earlier for the open control system is still valid if we close the loop?  </w:t>
      </w:r>
    </w:p>
    <w:p w14:paraId="37B4D6C1" w14:textId="223C17C9" w:rsidR="006F346A" w:rsidRDefault="003D1671" w:rsidP="003D1671">
      <w:pPr>
        <w:pStyle w:val="Bodytextfirst"/>
        <w:rPr>
          <w:sz w:val="20"/>
          <w:szCs w:val="20"/>
        </w:rPr>
      </w:pPr>
      <w:r w:rsidRPr="003D1671">
        <w:rPr>
          <w:sz w:val="20"/>
          <w:szCs w:val="20"/>
        </w:rPr>
        <w:t>To answer this question, we close the loop of the system shown in Fig. 2. The modified control system is shown in Fig. 7.</w:t>
      </w:r>
      <w:r w:rsidR="00EF5AB4">
        <w:rPr>
          <w:sz w:val="20"/>
          <w:szCs w:val="20"/>
        </w:rPr>
        <w:t xml:space="preserve"> </w:t>
      </w:r>
    </w:p>
    <w:p w14:paraId="2F025D49" w14:textId="77777777" w:rsidR="006F346A" w:rsidRPr="00731E04" w:rsidRDefault="006F346A" w:rsidP="006F346A">
      <w:pPr>
        <w:pStyle w:val="Bodytextfirst"/>
        <w:jc w:val="center"/>
        <w:rPr>
          <w:sz w:val="20"/>
          <w:szCs w:val="20"/>
        </w:rPr>
      </w:pPr>
      <w:r w:rsidRPr="00731E04">
        <w:rPr>
          <w:noProof/>
          <w:sz w:val="20"/>
          <w:szCs w:val="20"/>
          <w:lang w:val="pl-PL" w:eastAsia="pl-PL" w:bidi="ar-SA"/>
        </w:rPr>
        <w:drawing>
          <wp:inline distT="0" distB="0" distL="0" distR="0" wp14:anchorId="05C8FBE4" wp14:editId="375F36F4">
            <wp:extent cx="1952689" cy="170771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57696" cy="1712094"/>
                    </a:xfrm>
                    <a:prstGeom prst="rect">
                      <a:avLst/>
                    </a:prstGeom>
                  </pic:spPr>
                </pic:pic>
              </a:graphicData>
            </a:graphic>
          </wp:inline>
        </w:drawing>
      </w:r>
    </w:p>
    <w:p w14:paraId="08C196F5" w14:textId="24D2519D" w:rsidR="006F346A" w:rsidRPr="00902829" w:rsidRDefault="006F346A" w:rsidP="006F346A">
      <w:pPr>
        <w:pStyle w:val="Bodytextfirst"/>
        <w:jc w:val="center"/>
        <w:rPr>
          <w:i/>
        </w:rPr>
      </w:pPr>
      <w:proofErr w:type="gramStart"/>
      <w:r w:rsidRPr="00902829">
        <w:rPr>
          <w:i/>
        </w:rPr>
        <w:t>Fig. 7.</w:t>
      </w:r>
      <w:proofErr w:type="gramEnd"/>
      <w:r w:rsidRPr="00902829">
        <w:rPr>
          <w:i/>
        </w:rPr>
        <w:t xml:space="preserve"> A closed</w:t>
      </w:r>
      <w:r w:rsidR="00ED72FE">
        <w:rPr>
          <w:i/>
        </w:rPr>
        <w:t>-</w:t>
      </w:r>
      <w:r w:rsidRPr="00902829">
        <w:rPr>
          <w:i/>
        </w:rPr>
        <w:t xml:space="preserve">loop liquid level control system. Notions: SP - </w:t>
      </w:r>
      <w:proofErr w:type="spellStart"/>
      <w:r w:rsidRPr="00902829">
        <w:rPr>
          <w:i/>
        </w:rPr>
        <w:t>setpoint</w:t>
      </w:r>
      <w:proofErr w:type="spellEnd"/>
      <w:r w:rsidRPr="00902829">
        <w:rPr>
          <w:i/>
        </w:rPr>
        <w:t xml:space="preserve">; CV - control valve; PI – proportional and integral controller; AV - </w:t>
      </w:r>
      <w:r>
        <w:rPr>
          <w:i/>
        </w:rPr>
        <w:t>positioner feedback signal</w:t>
      </w:r>
      <w:r w:rsidRPr="00902829">
        <w:rPr>
          <w:i/>
        </w:rPr>
        <w:t>.</w:t>
      </w:r>
    </w:p>
    <w:p w14:paraId="2BF451F3" w14:textId="654611EC" w:rsidR="00805F62" w:rsidRPr="00805F62" w:rsidRDefault="00C11F6A" w:rsidP="00805F62">
      <w:pPr>
        <w:pStyle w:val="Bodytextfirst"/>
        <w:rPr>
          <w:sz w:val="20"/>
          <w:szCs w:val="20"/>
        </w:rPr>
      </w:pPr>
      <w:r>
        <w:rPr>
          <w:sz w:val="20"/>
          <w:szCs w:val="20"/>
        </w:rPr>
        <w:t>T</w:t>
      </w:r>
      <w:r w:rsidR="00805F62" w:rsidRPr="00805F62">
        <w:rPr>
          <w:sz w:val="20"/>
          <w:szCs w:val="20"/>
        </w:rPr>
        <w:t xml:space="preserve">he liquid inflow rate </w:t>
      </w:r>
      <w:r>
        <w:rPr>
          <w:sz w:val="20"/>
          <w:szCs w:val="20"/>
        </w:rPr>
        <w:t>in</w:t>
      </w:r>
      <w:r w:rsidR="00805F62" w:rsidRPr="00805F62">
        <w:rPr>
          <w:sz w:val="20"/>
          <w:szCs w:val="20"/>
        </w:rPr>
        <w:t xml:space="preserve">to the buffer tank is controlled by a control valve driven by </w:t>
      </w:r>
      <w:proofErr w:type="gramStart"/>
      <w:r w:rsidR="00805F62" w:rsidRPr="00805F62">
        <w:rPr>
          <w:sz w:val="20"/>
          <w:szCs w:val="20"/>
        </w:rPr>
        <w:t>a  PI</w:t>
      </w:r>
      <w:proofErr w:type="gramEnd"/>
      <w:r w:rsidR="00805F62" w:rsidRPr="00805F62">
        <w:rPr>
          <w:sz w:val="20"/>
          <w:szCs w:val="20"/>
        </w:rPr>
        <w:t xml:space="preserve"> controller. The PI controller, </w:t>
      </w:r>
      <w:r w:rsidR="00ED72FE">
        <w:rPr>
          <w:sz w:val="20"/>
          <w:szCs w:val="20"/>
        </w:rPr>
        <w:t>employing</w:t>
      </w:r>
      <w:r w:rsidR="00805F62" w:rsidRPr="00805F62">
        <w:rPr>
          <w:sz w:val="20"/>
          <w:szCs w:val="20"/>
        </w:rPr>
        <w:t xml:space="preserve"> an actuator (control valve), adjusts the liquid inflow rate into the tank to keep </w:t>
      </w:r>
      <w:r w:rsidRPr="00805F62">
        <w:rPr>
          <w:sz w:val="20"/>
          <w:szCs w:val="20"/>
        </w:rPr>
        <w:t xml:space="preserve">the </w:t>
      </w:r>
      <w:proofErr w:type="spellStart"/>
      <w:r w:rsidRPr="00805F62">
        <w:rPr>
          <w:sz w:val="20"/>
          <w:szCs w:val="20"/>
        </w:rPr>
        <w:t>setpoint</w:t>
      </w:r>
      <w:proofErr w:type="spellEnd"/>
      <w:r w:rsidR="00805F62" w:rsidRPr="00805F62">
        <w:rPr>
          <w:sz w:val="20"/>
          <w:szCs w:val="20"/>
        </w:rPr>
        <w:t xml:space="preserve"> value. Thus, in case of leakage, the controller simply increases the inflow rate to compensate for additional </w:t>
      </w:r>
      <w:r w:rsidR="00805F62" w:rsidRPr="00805F62">
        <w:rPr>
          <w:sz w:val="20"/>
          <w:szCs w:val="20"/>
        </w:rPr>
        <w:lastRenderedPageBreak/>
        <w:t>demand for liquid.</w:t>
      </w:r>
    </w:p>
    <w:p w14:paraId="56F8A248" w14:textId="2AE26088" w:rsidR="00805F62" w:rsidRPr="00805F62" w:rsidRDefault="00805F62" w:rsidP="00805F62">
      <w:pPr>
        <w:pStyle w:val="Bodytextfirst"/>
        <w:rPr>
          <w:sz w:val="20"/>
          <w:szCs w:val="20"/>
        </w:rPr>
      </w:pPr>
      <w:r w:rsidRPr="00805F62">
        <w:rPr>
          <w:sz w:val="20"/>
          <w:szCs w:val="20"/>
        </w:rPr>
        <w:t xml:space="preserve">Let us now develop the GP graph for the closed-loop system. In </w:t>
      </w:r>
      <w:r w:rsidR="00C11F6A">
        <w:rPr>
          <w:sz w:val="20"/>
          <w:szCs w:val="20"/>
        </w:rPr>
        <w:t xml:space="preserve">the </w:t>
      </w:r>
      <w:r w:rsidRPr="00805F62">
        <w:rPr>
          <w:sz w:val="20"/>
          <w:szCs w:val="20"/>
        </w:rPr>
        <w:t xml:space="preserve">graph, shown in Fig. 8, we introduce an additional node reflecting actuator fault denoted as </w:t>
      </w:r>
      <w:r w:rsidR="00C11F6A">
        <w:rPr>
          <w:i/>
          <w:sz w:val="20"/>
          <w:szCs w:val="20"/>
        </w:rPr>
        <w:t>f</w:t>
      </w:r>
      <w:r w:rsidRPr="00C11F6A">
        <w:rPr>
          <w:i/>
          <w:sz w:val="20"/>
          <w:szCs w:val="20"/>
          <w:vertAlign w:val="subscript"/>
        </w:rPr>
        <w:t>3</w:t>
      </w:r>
      <w:r w:rsidR="00C11F6A">
        <w:rPr>
          <w:i/>
          <w:sz w:val="20"/>
          <w:szCs w:val="20"/>
          <w:vertAlign w:val="subscript"/>
        </w:rPr>
        <w:t xml:space="preserve"> </w:t>
      </w:r>
      <w:r w:rsidR="00C11F6A" w:rsidRPr="00C11F6A">
        <w:rPr>
          <w:sz w:val="20"/>
          <w:szCs w:val="20"/>
        </w:rPr>
        <w:t>and</w:t>
      </w:r>
      <w:r w:rsidRPr="00805F62">
        <w:rPr>
          <w:sz w:val="20"/>
          <w:szCs w:val="20"/>
        </w:rPr>
        <w:t xml:space="preserve"> nodes and arc</w:t>
      </w:r>
      <w:r w:rsidR="00C11F6A">
        <w:rPr>
          <w:sz w:val="20"/>
          <w:szCs w:val="20"/>
        </w:rPr>
        <w:t>s</w:t>
      </w:r>
      <w:r w:rsidRPr="00805F62">
        <w:rPr>
          <w:sz w:val="20"/>
          <w:szCs w:val="20"/>
        </w:rPr>
        <w:t xml:space="preserve"> representing the PI controller in the loop. The control valve has an output </w:t>
      </w:r>
      <w:r w:rsidRPr="00C11F6A">
        <w:rPr>
          <w:i/>
          <w:sz w:val="20"/>
          <w:szCs w:val="20"/>
        </w:rPr>
        <w:t>AV</w:t>
      </w:r>
      <w:r w:rsidRPr="00805F62">
        <w:rPr>
          <w:sz w:val="20"/>
          <w:szCs w:val="20"/>
        </w:rPr>
        <w:t xml:space="preserve"> signaling </w:t>
      </w:r>
      <w:r w:rsidR="00C11F6A">
        <w:rPr>
          <w:sz w:val="20"/>
          <w:szCs w:val="20"/>
        </w:rPr>
        <w:t xml:space="preserve">the </w:t>
      </w:r>
      <w:r w:rsidRPr="00805F62">
        <w:rPr>
          <w:sz w:val="20"/>
          <w:szCs w:val="20"/>
        </w:rPr>
        <w:t>position of the control valve stem.  For simplicity, we a</w:t>
      </w:r>
      <w:r w:rsidR="00C11F6A">
        <w:rPr>
          <w:sz w:val="20"/>
          <w:szCs w:val="20"/>
        </w:rPr>
        <w:t>lso assume</w:t>
      </w:r>
      <w:r w:rsidRPr="00805F62">
        <w:rPr>
          <w:sz w:val="20"/>
          <w:szCs w:val="20"/>
        </w:rPr>
        <w:t xml:space="preserve"> </w:t>
      </w:r>
      <w:r w:rsidR="00C11F6A">
        <w:rPr>
          <w:sz w:val="20"/>
          <w:szCs w:val="20"/>
        </w:rPr>
        <w:t xml:space="preserve">the </w:t>
      </w:r>
      <w:r w:rsidRPr="00805F62">
        <w:rPr>
          <w:sz w:val="20"/>
          <w:szCs w:val="20"/>
        </w:rPr>
        <w:t>infallibility of the PI controller.</w:t>
      </w:r>
    </w:p>
    <w:p w14:paraId="12FA5DA8" w14:textId="6F7F7CA8" w:rsidR="009E1168" w:rsidRDefault="00805F62" w:rsidP="00805F62">
      <w:pPr>
        <w:pStyle w:val="Bodytextfirst"/>
        <w:rPr>
          <w:sz w:val="20"/>
          <w:szCs w:val="20"/>
        </w:rPr>
      </w:pPr>
      <w:r w:rsidRPr="00805F62">
        <w:rPr>
          <w:sz w:val="20"/>
          <w:szCs w:val="20"/>
        </w:rPr>
        <w:t xml:space="preserve">As it is </w:t>
      </w:r>
      <w:r w:rsidR="00C11F6A">
        <w:rPr>
          <w:sz w:val="20"/>
          <w:szCs w:val="20"/>
        </w:rPr>
        <w:t>to see</w:t>
      </w:r>
      <w:r w:rsidRPr="00805F62">
        <w:rPr>
          <w:sz w:val="20"/>
          <w:szCs w:val="20"/>
        </w:rPr>
        <w:t xml:space="preserve"> in Fig. 8, all faults are associated with </w:t>
      </w:r>
      <w:r w:rsidR="00C11F6A">
        <w:rPr>
          <w:sz w:val="20"/>
          <w:szCs w:val="20"/>
        </w:rPr>
        <w:t xml:space="preserve">its </w:t>
      </w:r>
      <w:r w:rsidRPr="00805F62">
        <w:rPr>
          <w:sz w:val="20"/>
          <w:szCs w:val="20"/>
        </w:rPr>
        <w:t xml:space="preserve">observable nodes. Hence, the trinary diagnostic matrix of single faults takes the diagonal shape, and in consequence, all single and multiple faults are isolable. </w:t>
      </w:r>
      <w:r w:rsidR="00C11F6A">
        <w:rPr>
          <w:sz w:val="20"/>
          <w:szCs w:val="20"/>
        </w:rPr>
        <w:t>Hence,</w:t>
      </w:r>
      <w:r w:rsidRPr="00805F62">
        <w:rPr>
          <w:sz w:val="20"/>
          <w:szCs w:val="20"/>
        </w:rPr>
        <w:t xml:space="preserve"> the </w:t>
      </w:r>
      <w:r w:rsidR="00C11F6A">
        <w:rPr>
          <w:sz w:val="20"/>
          <w:szCs w:val="20"/>
        </w:rPr>
        <w:t>residual</w:t>
      </w:r>
      <w:r w:rsidRPr="00805F62">
        <w:rPr>
          <w:sz w:val="20"/>
          <w:szCs w:val="20"/>
        </w:rPr>
        <w:t xml:space="preserve"> compensation effect </w:t>
      </w:r>
      <w:r w:rsidR="00C11F6A">
        <w:rPr>
          <w:sz w:val="20"/>
          <w:szCs w:val="20"/>
        </w:rPr>
        <w:t>in case of</w:t>
      </w:r>
      <w:r w:rsidRPr="00805F62">
        <w:rPr>
          <w:sz w:val="20"/>
          <w:szCs w:val="20"/>
        </w:rPr>
        <w:t xml:space="preserve"> multiple faults does not take place.</w:t>
      </w:r>
      <w:r w:rsidR="009E1168">
        <w:rPr>
          <w:sz w:val="20"/>
          <w:szCs w:val="20"/>
        </w:rPr>
        <w:t xml:space="preserve"> </w:t>
      </w:r>
    </w:p>
    <w:p w14:paraId="3ECB5DE9" w14:textId="77777777" w:rsidR="00C11F6A" w:rsidRDefault="00C11F6A" w:rsidP="00805F62">
      <w:pPr>
        <w:pStyle w:val="Bodytextfirst"/>
        <w:rPr>
          <w:sz w:val="20"/>
          <w:szCs w:val="20"/>
        </w:rPr>
      </w:pPr>
    </w:p>
    <w:p w14:paraId="5B747777" w14:textId="25081DEE" w:rsidR="0058587C" w:rsidRPr="00731E04" w:rsidRDefault="00AE4E50" w:rsidP="006F346A">
      <w:pPr>
        <w:pStyle w:val="Bodytextfirst"/>
        <w:jc w:val="center"/>
        <w:rPr>
          <w:sz w:val="20"/>
          <w:szCs w:val="20"/>
        </w:rPr>
      </w:pPr>
      <w:r>
        <w:rPr>
          <w:noProof/>
          <w:sz w:val="20"/>
          <w:szCs w:val="20"/>
          <w:lang w:val="pl-PL" w:eastAsia="pl-PL" w:bidi="ar-SA"/>
        </w:rPr>
        <w:drawing>
          <wp:inline distT="0" distB="0" distL="0" distR="0" wp14:anchorId="4371049C" wp14:editId="33388EC2">
            <wp:extent cx="1980000" cy="1108800"/>
            <wp:effectExtent l="0" t="0" r="127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8.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80000" cy="1108800"/>
                    </a:xfrm>
                    <a:prstGeom prst="rect">
                      <a:avLst/>
                    </a:prstGeom>
                  </pic:spPr>
                </pic:pic>
              </a:graphicData>
            </a:graphic>
          </wp:inline>
        </w:drawing>
      </w:r>
    </w:p>
    <w:p w14:paraId="72702762" w14:textId="08B9DC5D" w:rsidR="0024688A" w:rsidRDefault="0024688A" w:rsidP="0024688A">
      <w:pPr>
        <w:pStyle w:val="Bodytextfirst"/>
        <w:jc w:val="center"/>
        <w:rPr>
          <w:sz w:val="20"/>
          <w:szCs w:val="20"/>
        </w:rPr>
      </w:pPr>
      <w:proofErr w:type="gramStart"/>
      <w:r>
        <w:rPr>
          <w:i/>
        </w:rPr>
        <w:t>Fig. 8</w:t>
      </w:r>
      <w:r w:rsidRPr="00DA30B3">
        <w:rPr>
          <w:i/>
        </w:rPr>
        <w:t>.</w:t>
      </w:r>
      <w:proofErr w:type="gramEnd"/>
      <w:r w:rsidRPr="00DA30B3">
        <w:rPr>
          <w:i/>
        </w:rPr>
        <w:t xml:space="preserve"> </w:t>
      </w:r>
      <w:proofErr w:type="gramStart"/>
      <w:r w:rsidR="00AB41C6" w:rsidRPr="00AB41C6">
        <w:rPr>
          <w:i/>
        </w:rPr>
        <w:t>The GP graph of the closed-loop system reflecting the qualitative impact of faults on the values of process variables.</w:t>
      </w:r>
      <w:proofErr w:type="gramEnd"/>
    </w:p>
    <w:p w14:paraId="62734E02" w14:textId="77777777" w:rsidR="005A75A4" w:rsidRDefault="005A75A4" w:rsidP="009E1168">
      <w:pPr>
        <w:pStyle w:val="Bodytextfirst"/>
        <w:rPr>
          <w:sz w:val="20"/>
          <w:szCs w:val="20"/>
        </w:rPr>
      </w:pPr>
    </w:p>
    <w:p w14:paraId="1551EF8C" w14:textId="42FD61DE" w:rsidR="009E1168" w:rsidRDefault="00805F62" w:rsidP="009E1168">
      <w:pPr>
        <w:pStyle w:val="Bodytextfirst"/>
        <w:rPr>
          <w:sz w:val="20"/>
          <w:szCs w:val="20"/>
        </w:rPr>
      </w:pPr>
      <w:r w:rsidRPr="00805F62">
        <w:rPr>
          <w:sz w:val="20"/>
          <w:szCs w:val="20"/>
        </w:rPr>
        <w:t xml:space="preserve">For simplicity, we assume here a trivial static model of an actuator. The nominal model of the actuator </w:t>
      </w:r>
      <w:proofErr w:type="gramStart"/>
      <w:r w:rsidRPr="00805F62">
        <w:rPr>
          <w:sz w:val="20"/>
          <w:szCs w:val="20"/>
        </w:rPr>
        <w:t xml:space="preserve">is  </w:t>
      </w:r>
      <w:r w:rsidRPr="00805F62">
        <w:rPr>
          <w:i/>
          <w:sz w:val="20"/>
          <w:szCs w:val="20"/>
        </w:rPr>
        <w:t>AV</w:t>
      </w:r>
      <w:proofErr w:type="gramEnd"/>
      <w:r w:rsidRPr="00805F62">
        <w:rPr>
          <w:i/>
          <w:sz w:val="20"/>
          <w:szCs w:val="20"/>
        </w:rPr>
        <w:t>=CV</w:t>
      </w:r>
      <w:r w:rsidRPr="00805F62">
        <w:rPr>
          <w:sz w:val="20"/>
          <w:szCs w:val="20"/>
        </w:rPr>
        <w:t xml:space="preserve">. The actuator fault manifests in a discrepancy between </w:t>
      </w:r>
      <w:r w:rsidRPr="00C11F6A">
        <w:rPr>
          <w:i/>
          <w:sz w:val="20"/>
          <w:szCs w:val="20"/>
        </w:rPr>
        <w:t>AV</w:t>
      </w:r>
      <w:r w:rsidRPr="00805F62">
        <w:rPr>
          <w:sz w:val="20"/>
          <w:szCs w:val="20"/>
        </w:rPr>
        <w:t xml:space="preserve"> and </w:t>
      </w:r>
      <w:r w:rsidRPr="00C11F6A">
        <w:rPr>
          <w:i/>
          <w:sz w:val="20"/>
          <w:szCs w:val="20"/>
        </w:rPr>
        <w:t>CV</w:t>
      </w:r>
      <w:r w:rsidRPr="00805F62">
        <w:rPr>
          <w:sz w:val="20"/>
          <w:szCs w:val="20"/>
        </w:rPr>
        <w:t xml:space="preserve"> values. Assume additive actuator fault. Hence, the model of the actuator in an internal form equals:</w:t>
      </w:r>
    </w:p>
    <w:p w14:paraId="02CDAFC1" w14:textId="450107BD" w:rsidR="0051495E" w:rsidRPr="00E510D3" w:rsidRDefault="0051495E" w:rsidP="002827E7">
      <w:pPr>
        <w:pStyle w:val="equation0"/>
        <w:tabs>
          <w:tab w:val="clear" w:pos="5040"/>
          <w:tab w:val="right" w:pos="4678"/>
        </w:tabs>
        <w:spacing w:before="200" w:after="200"/>
        <w:ind w:right="113"/>
        <w:rPr>
          <w:sz w:val="18"/>
          <w:szCs w:val="18"/>
        </w:rPr>
      </w:pPr>
      <w:r w:rsidRPr="004857A6">
        <w:rPr>
          <w:color w:val="00B050"/>
        </w:rPr>
        <w:tab/>
      </w:r>
      <m:oMath>
        <m:r>
          <w:rPr>
            <w:rFonts w:ascii="Cambria Math" w:hAnsi="Cambria Math" w:cs="Times New Roman"/>
            <w:sz w:val="18"/>
            <w:szCs w:val="18"/>
          </w:rPr>
          <m:t>AV=CV+</m:t>
        </m:r>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3</m:t>
            </m:r>
          </m:sub>
        </m:sSub>
        <m:r>
          <w:rPr>
            <w:rFonts w:ascii="Cambria Math" w:hAnsi="Cambria Math" w:cs="Times New Roman"/>
            <w:sz w:val="18"/>
            <w:szCs w:val="18"/>
          </w:rPr>
          <m:t>→</m:t>
        </m:r>
      </m:oMath>
      <w:r w:rsidRPr="0051495E">
        <w:rPr>
          <w:rFonts w:ascii="Times New Roman" w:hAnsi="Times New Roman" w:cs="Times New Roman"/>
          <w:sz w:val="18"/>
          <w:szCs w:val="18"/>
        </w:rPr>
        <w:t xml:space="preserve"> </w:t>
      </w:r>
      <m:oMath>
        <m:sSub>
          <m:sSubPr>
            <m:ctrlPr>
              <w:rPr>
                <w:rFonts w:ascii="Cambria Math" w:hAnsi="Cambria Math" w:cs="Times New Roman"/>
                <w:i/>
                <w:iCs/>
                <w:kern w:val="1"/>
                <w:sz w:val="18"/>
                <w:szCs w:val="18"/>
                <w:lang w:eastAsia="zh-CN" w:bidi="hi-IN"/>
              </w:rPr>
            </m:ctrlPr>
          </m:sSubPr>
          <m:e>
            <m:r>
              <w:rPr>
                <w:rFonts w:ascii="Cambria Math" w:hAnsi="Cambria Math"/>
                <w:sz w:val="18"/>
                <w:szCs w:val="18"/>
              </w:rPr>
              <m:t>r</m:t>
            </m:r>
          </m:e>
          <m:sub>
            <m:r>
              <w:rPr>
                <w:rFonts w:ascii="Cambria Math" w:hAnsi="Cambria Math"/>
                <w:sz w:val="18"/>
                <w:szCs w:val="18"/>
              </w:rPr>
              <m:t>3</m:t>
            </m:r>
          </m:sub>
        </m:sSub>
        <m:r>
          <w:rPr>
            <w:rFonts w:ascii="Cambria Math" w:hAnsi="Cambria Math"/>
            <w:sz w:val="18"/>
            <w:szCs w:val="18"/>
          </w:rPr>
          <m:t>=</m:t>
        </m:r>
        <m:sSub>
          <m:sSubPr>
            <m:ctrlPr>
              <w:rPr>
                <w:rFonts w:ascii="Cambria Math" w:hAnsi="Cambria Math" w:cs="Times New Roman"/>
                <w:i/>
                <w:iCs/>
                <w:kern w:val="1"/>
                <w:sz w:val="18"/>
                <w:szCs w:val="18"/>
                <w:lang w:eastAsia="zh-CN" w:bidi="hi-IN"/>
              </w:rPr>
            </m:ctrlPr>
          </m:sSubPr>
          <m:e>
            <m:r>
              <w:rPr>
                <w:rFonts w:ascii="Cambria Math" w:hAnsi="Cambria Math"/>
                <w:sz w:val="18"/>
                <w:szCs w:val="18"/>
              </w:rPr>
              <m:t>f</m:t>
            </m:r>
          </m:e>
          <m:sub>
            <m:r>
              <w:rPr>
                <w:rFonts w:ascii="Cambria Math" w:hAnsi="Cambria Math"/>
                <w:sz w:val="18"/>
                <w:szCs w:val="18"/>
              </w:rPr>
              <m:t>3</m:t>
            </m:r>
          </m:sub>
        </m:sSub>
        <m:r>
          <w:rPr>
            <w:rFonts w:ascii="Cambria Math" w:hAnsi="Cambria Math" w:cs="Times New Roman"/>
            <w:sz w:val="18"/>
            <w:szCs w:val="18"/>
          </w:rPr>
          <m:t xml:space="preserve"> . </m:t>
        </m:r>
      </m:oMath>
      <w:r w:rsidRPr="00E510D3">
        <w:rPr>
          <w:color w:val="00B050"/>
          <w:sz w:val="18"/>
          <w:szCs w:val="18"/>
        </w:rPr>
        <w:tab/>
      </w:r>
      <w:r w:rsidRPr="00E510D3">
        <w:rPr>
          <w:sz w:val="18"/>
          <w:szCs w:val="18"/>
        </w:rPr>
        <w:t></w:t>
      </w:r>
      <w:r>
        <w:rPr>
          <w:sz w:val="18"/>
          <w:szCs w:val="18"/>
        </w:rPr>
        <w:t></w:t>
      </w:r>
      <w:r>
        <w:rPr>
          <w:sz w:val="18"/>
          <w:szCs w:val="18"/>
        </w:rPr>
        <w:t></w:t>
      </w:r>
      <w:r w:rsidRPr="00E510D3">
        <w:rPr>
          <w:sz w:val="18"/>
          <w:szCs w:val="18"/>
        </w:rPr>
        <w:t></w:t>
      </w:r>
    </w:p>
    <w:p w14:paraId="009B814F" w14:textId="70222F59" w:rsidR="009E1168" w:rsidRDefault="00144DC7" w:rsidP="009E1168">
      <w:pPr>
        <w:pStyle w:val="Bodytextfirst"/>
        <w:rPr>
          <w:sz w:val="20"/>
          <w:szCs w:val="20"/>
        </w:rPr>
      </w:pPr>
      <w:r>
        <w:rPr>
          <w:sz w:val="20"/>
          <w:szCs w:val="20"/>
        </w:rPr>
        <w:t xml:space="preserve">Fig. 9 depicts the result of </w:t>
      </w:r>
      <w:r w:rsidR="00ED72FE">
        <w:rPr>
          <w:sz w:val="20"/>
          <w:szCs w:val="20"/>
        </w:rPr>
        <w:t xml:space="preserve">a </w:t>
      </w:r>
      <w:r>
        <w:rPr>
          <w:sz w:val="20"/>
          <w:szCs w:val="20"/>
        </w:rPr>
        <w:t xml:space="preserve">simulation of </w:t>
      </w:r>
      <w:r w:rsidR="00AE4E50">
        <w:rPr>
          <w:sz w:val="20"/>
          <w:szCs w:val="20"/>
        </w:rPr>
        <w:t>a</w:t>
      </w:r>
      <w:r>
        <w:rPr>
          <w:sz w:val="20"/>
          <w:szCs w:val="20"/>
        </w:rPr>
        <w:t xml:space="preserve"> triple fault</w:t>
      </w:r>
      <w:r w:rsidR="00ED72FE">
        <w:rPr>
          <w:sz w:val="20"/>
          <w:szCs w:val="20"/>
        </w:rPr>
        <w:t>,</w:t>
      </w:r>
      <w:r w:rsidR="00AE4E50">
        <w:rPr>
          <w:sz w:val="20"/>
          <w:szCs w:val="20"/>
        </w:rPr>
        <w:t xml:space="preserve"> i.e.</w:t>
      </w:r>
      <w:r w:rsidR="00ED72FE">
        <w:rPr>
          <w:sz w:val="20"/>
          <w:szCs w:val="20"/>
        </w:rPr>
        <w:t>,</w:t>
      </w:r>
      <w:r>
        <w:rPr>
          <w:sz w:val="20"/>
          <w:szCs w:val="20"/>
        </w:rPr>
        <w:t xml:space="preserve"> slowly increasing obliteration </w:t>
      </w:r>
      <m:oMath>
        <m:sSub>
          <m:sSubPr>
            <m:ctrlPr>
              <w:rPr>
                <w:rFonts w:ascii="Cambria Math" w:hAnsi="Cambria Math"/>
                <w:i/>
                <w:iCs w:val="0"/>
                <w:kern w:val="0"/>
                <w:sz w:val="20"/>
                <w:szCs w:val="20"/>
                <w:lang w:eastAsia="en-US" w:bidi="ar-SA"/>
              </w:rPr>
            </m:ctrlPr>
          </m:sSubPr>
          <m:e>
            <m:r>
              <w:rPr>
                <w:rFonts w:ascii="Cambria Math" w:hAnsi="Cambria Math"/>
              </w:rPr>
              <m:t>f</m:t>
            </m:r>
          </m:e>
          <m:sub>
            <m:r>
              <w:rPr>
                <w:rFonts w:ascii="Cambria Math" w:hAnsi="Cambria Math"/>
              </w:rPr>
              <m:t>2</m:t>
            </m:r>
          </m:sub>
        </m:sSub>
      </m:oMath>
      <w:r>
        <w:rPr>
          <w:sz w:val="20"/>
          <w:szCs w:val="20"/>
        </w:rPr>
        <w:t xml:space="preserve"> starting at the time instant 0, slowly increasing leakage </w:t>
      </w:r>
      <m:oMath>
        <m:sSub>
          <m:sSubPr>
            <m:ctrlPr>
              <w:rPr>
                <w:rFonts w:ascii="Cambria Math" w:hAnsi="Cambria Math"/>
                <w:i/>
                <w:iCs w:val="0"/>
                <w:kern w:val="0"/>
                <w:sz w:val="20"/>
                <w:szCs w:val="20"/>
                <w:lang w:eastAsia="en-US" w:bidi="ar-SA"/>
              </w:rPr>
            </m:ctrlPr>
          </m:sSubPr>
          <m:e>
            <m:r>
              <w:rPr>
                <w:rFonts w:ascii="Cambria Math" w:hAnsi="Cambria Math"/>
              </w:rPr>
              <m:t>f</m:t>
            </m:r>
          </m:e>
          <m:sub>
            <m:r>
              <w:rPr>
                <w:rFonts w:ascii="Cambria Math" w:hAnsi="Cambria Math"/>
              </w:rPr>
              <m:t>1</m:t>
            </m:r>
          </m:sub>
        </m:sSub>
      </m:oMath>
      <w:r w:rsidR="00C11F6A">
        <w:rPr>
          <w:sz w:val="20"/>
          <w:szCs w:val="20"/>
        </w:rPr>
        <w:t xml:space="preserve"> starting at</w:t>
      </w:r>
      <w:r>
        <w:rPr>
          <w:sz w:val="20"/>
          <w:szCs w:val="20"/>
        </w:rPr>
        <w:t xml:space="preserve"> the time</w:t>
      </w:r>
      <w:r w:rsidR="0051495E">
        <w:rPr>
          <w:sz w:val="20"/>
          <w:szCs w:val="20"/>
        </w:rPr>
        <w:t xml:space="preserve"> instant 5∙10</w:t>
      </w:r>
      <w:r w:rsidR="0051495E" w:rsidRPr="00B354A8">
        <w:rPr>
          <w:sz w:val="20"/>
          <w:szCs w:val="20"/>
          <w:vertAlign w:val="superscript"/>
        </w:rPr>
        <w:t>4</w:t>
      </w:r>
      <w:r w:rsidR="0051495E">
        <w:rPr>
          <w:sz w:val="20"/>
          <w:szCs w:val="20"/>
        </w:rPr>
        <w:t xml:space="preserve"> s and abrupt actuator fault </w:t>
      </w:r>
      <m:oMath>
        <m:sSub>
          <m:sSubPr>
            <m:ctrlPr>
              <w:rPr>
                <w:rFonts w:ascii="Cambria Math" w:hAnsi="Cambria Math"/>
                <w:i/>
                <w:iCs w:val="0"/>
                <w:kern w:val="0"/>
                <w:sz w:val="20"/>
                <w:szCs w:val="20"/>
                <w:lang w:eastAsia="en-US" w:bidi="ar-SA"/>
              </w:rPr>
            </m:ctrlPr>
          </m:sSubPr>
          <m:e>
            <m:r>
              <w:rPr>
                <w:rFonts w:ascii="Cambria Math" w:hAnsi="Cambria Math"/>
              </w:rPr>
              <m:t>f</m:t>
            </m:r>
          </m:e>
          <m:sub>
            <m:r>
              <w:rPr>
                <w:rFonts w:ascii="Cambria Math" w:hAnsi="Cambria Math"/>
              </w:rPr>
              <m:t>3</m:t>
            </m:r>
          </m:sub>
        </m:sSub>
      </m:oMath>
      <w:r w:rsidR="00C11F6A">
        <w:rPr>
          <w:iCs w:val="0"/>
          <w:kern w:val="0"/>
          <w:sz w:val="20"/>
          <w:szCs w:val="20"/>
          <w:lang w:eastAsia="en-US" w:bidi="ar-SA"/>
        </w:rPr>
        <w:t xml:space="preserve"> appearing at</w:t>
      </w:r>
      <w:r w:rsidR="0051495E">
        <w:rPr>
          <w:iCs w:val="0"/>
          <w:kern w:val="0"/>
          <w:sz w:val="20"/>
          <w:szCs w:val="20"/>
          <w:lang w:eastAsia="en-US" w:bidi="ar-SA"/>
        </w:rPr>
        <w:t xml:space="preserve"> the time instant </w:t>
      </w:r>
      <w:r w:rsidR="0051495E">
        <w:rPr>
          <w:sz w:val="20"/>
          <w:szCs w:val="20"/>
        </w:rPr>
        <w:t>10∙10</w:t>
      </w:r>
      <w:r w:rsidR="0051495E" w:rsidRPr="00B354A8">
        <w:rPr>
          <w:sz w:val="20"/>
          <w:szCs w:val="20"/>
          <w:vertAlign w:val="superscript"/>
        </w:rPr>
        <w:t>4</w:t>
      </w:r>
      <w:r w:rsidR="0051495E">
        <w:rPr>
          <w:sz w:val="20"/>
          <w:szCs w:val="20"/>
        </w:rPr>
        <w:t xml:space="preserve"> s. Signal </w:t>
      </w:r>
      <w:proofErr w:type="gramStart"/>
      <w:r w:rsidR="0051495E" w:rsidRPr="00B354A8">
        <w:rPr>
          <w:i/>
          <w:sz w:val="20"/>
          <w:szCs w:val="20"/>
        </w:rPr>
        <w:t>s</w:t>
      </w:r>
      <w:r w:rsidR="0051495E" w:rsidRPr="00B354A8">
        <w:rPr>
          <w:i/>
          <w:sz w:val="20"/>
          <w:szCs w:val="20"/>
          <w:vertAlign w:val="subscript"/>
        </w:rPr>
        <w:t>3</w:t>
      </w:r>
      <w:r w:rsidR="0051495E">
        <w:rPr>
          <w:sz w:val="20"/>
          <w:szCs w:val="20"/>
        </w:rPr>
        <w:t xml:space="preserve">  represents</w:t>
      </w:r>
      <w:proofErr w:type="gramEnd"/>
      <w:r w:rsidR="00D474FC">
        <w:rPr>
          <w:sz w:val="20"/>
          <w:szCs w:val="20"/>
        </w:rPr>
        <w:t xml:space="preserve"> </w:t>
      </w:r>
      <w:r w:rsidR="00ED72FE">
        <w:rPr>
          <w:sz w:val="20"/>
          <w:szCs w:val="20"/>
        </w:rPr>
        <w:t xml:space="preserve">the </w:t>
      </w:r>
      <w:r w:rsidR="00D474FC">
        <w:rPr>
          <w:sz w:val="20"/>
          <w:szCs w:val="20"/>
        </w:rPr>
        <w:t xml:space="preserve">diagnostic signal of residual </w:t>
      </w:r>
      <w:r w:rsidR="00D474FC">
        <w:rPr>
          <w:i/>
          <w:sz w:val="20"/>
          <w:szCs w:val="20"/>
        </w:rPr>
        <w:t>r</w:t>
      </w:r>
      <w:r w:rsidR="00D474FC" w:rsidRPr="00B354A8">
        <w:rPr>
          <w:i/>
          <w:sz w:val="20"/>
          <w:szCs w:val="20"/>
          <w:vertAlign w:val="subscript"/>
        </w:rPr>
        <w:t>3</w:t>
      </w:r>
      <w:r w:rsidR="00D474FC">
        <w:rPr>
          <w:i/>
          <w:sz w:val="20"/>
          <w:szCs w:val="20"/>
        </w:rPr>
        <w:t>.</w:t>
      </w:r>
      <w:r w:rsidR="00D474FC">
        <w:rPr>
          <w:sz w:val="20"/>
          <w:szCs w:val="20"/>
        </w:rPr>
        <w:t xml:space="preserve"> </w:t>
      </w:r>
    </w:p>
    <w:p w14:paraId="71684648" w14:textId="77777777" w:rsidR="00AE4E50" w:rsidRDefault="00AE4E50" w:rsidP="009E1168">
      <w:pPr>
        <w:pStyle w:val="Bodytextfirst"/>
        <w:rPr>
          <w:i/>
          <w:sz w:val="20"/>
          <w:szCs w:val="20"/>
        </w:rPr>
      </w:pPr>
    </w:p>
    <w:p w14:paraId="04D93BBF" w14:textId="2E06DCD2" w:rsidR="00B354A8" w:rsidRDefault="007A3047" w:rsidP="00B354A8">
      <w:pPr>
        <w:widowControl/>
        <w:suppressAutoHyphens w:val="0"/>
        <w:autoSpaceDE w:val="0"/>
        <w:autoSpaceDN w:val="0"/>
        <w:adjustRightInd w:val="0"/>
        <w:jc w:val="center"/>
        <w:rPr>
          <w:rFonts w:cs="Times New Roman"/>
          <w:i/>
          <w:iCs/>
          <w:sz w:val="18"/>
          <w:szCs w:val="18"/>
          <w:lang w:val="en-US"/>
        </w:rPr>
      </w:pPr>
      <w:r>
        <w:rPr>
          <w:rFonts w:cs="Times New Roman"/>
          <w:i/>
          <w:iCs/>
          <w:noProof/>
          <w:sz w:val="18"/>
          <w:szCs w:val="18"/>
          <w:lang w:val="pl-PL" w:eastAsia="pl-PL" w:bidi="ar-SA"/>
        </w:rPr>
        <w:drawing>
          <wp:inline distT="0" distB="0" distL="0" distR="0" wp14:anchorId="5852391B" wp14:editId="348C3CA9">
            <wp:extent cx="2952115" cy="143383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9.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52115" cy="1433830"/>
                    </a:xfrm>
                    <a:prstGeom prst="rect">
                      <a:avLst/>
                    </a:prstGeom>
                  </pic:spPr>
                </pic:pic>
              </a:graphicData>
            </a:graphic>
          </wp:inline>
        </w:drawing>
      </w:r>
    </w:p>
    <w:p w14:paraId="76036D20" w14:textId="38EE2118" w:rsidR="00B354A8" w:rsidRPr="00B354A8" w:rsidRDefault="00B354A8" w:rsidP="00B354A8">
      <w:pPr>
        <w:widowControl/>
        <w:suppressAutoHyphens w:val="0"/>
        <w:autoSpaceDE w:val="0"/>
        <w:autoSpaceDN w:val="0"/>
        <w:adjustRightInd w:val="0"/>
        <w:jc w:val="center"/>
        <w:rPr>
          <w:rFonts w:cs="Times New Roman"/>
          <w:i/>
          <w:iCs/>
          <w:sz w:val="18"/>
          <w:szCs w:val="18"/>
          <w:lang w:val="en-US"/>
        </w:rPr>
      </w:pPr>
      <w:r>
        <w:rPr>
          <w:rFonts w:cs="Times New Roman"/>
          <w:i/>
          <w:iCs/>
          <w:sz w:val="18"/>
          <w:szCs w:val="18"/>
          <w:lang w:val="en-US"/>
        </w:rPr>
        <w:t>Figure 9</w:t>
      </w:r>
      <w:r w:rsidRPr="00B354A8">
        <w:rPr>
          <w:rFonts w:cs="Times New Roman"/>
          <w:i/>
          <w:iCs/>
          <w:sz w:val="18"/>
          <w:szCs w:val="18"/>
          <w:lang w:val="en-US"/>
        </w:rPr>
        <w:t xml:space="preserve">: Example of a simulation of a </w:t>
      </w:r>
      <w:r>
        <w:rPr>
          <w:rFonts w:cs="Times New Roman"/>
          <w:i/>
          <w:iCs/>
          <w:sz w:val="18"/>
          <w:szCs w:val="18"/>
          <w:lang w:val="en-US"/>
        </w:rPr>
        <w:t>triple</w:t>
      </w:r>
      <w:r w:rsidRPr="00B354A8">
        <w:rPr>
          <w:rFonts w:cs="Times New Roman"/>
          <w:i/>
          <w:iCs/>
          <w:sz w:val="18"/>
          <w:szCs w:val="18"/>
          <w:lang w:val="en-US"/>
        </w:rPr>
        <w:t xml:space="preserve"> fault. Notation</w:t>
      </w:r>
      <w:r>
        <w:rPr>
          <w:rFonts w:cs="Times New Roman"/>
          <w:i/>
          <w:iCs/>
          <w:sz w:val="18"/>
          <w:szCs w:val="18"/>
          <w:lang w:val="en-US"/>
        </w:rPr>
        <w:t>s</w:t>
      </w:r>
      <w:r w:rsidRPr="00B354A8">
        <w:rPr>
          <w:rFonts w:cs="Times New Roman"/>
          <w:i/>
          <w:iCs/>
          <w:sz w:val="18"/>
          <w:szCs w:val="18"/>
          <w:lang w:val="en-US"/>
        </w:rPr>
        <w:t>: f</w:t>
      </w:r>
      <w:r>
        <w:rPr>
          <w:rFonts w:cs="Times New Roman"/>
          <w:i/>
          <w:iCs/>
          <w:sz w:val="18"/>
          <w:szCs w:val="18"/>
          <w:vertAlign w:val="subscript"/>
          <w:lang w:val="en-US"/>
        </w:rPr>
        <w:t>3</w:t>
      </w:r>
      <w:r w:rsidRPr="00B354A8">
        <w:rPr>
          <w:rFonts w:cs="Times New Roman"/>
          <w:i/>
          <w:iCs/>
          <w:sz w:val="18"/>
          <w:szCs w:val="18"/>
          <w:lang w:val="en-US"/>
        </w:rPr>
        <w:t xml:space="preserve"> – </w:t>
      </w:r>
      <w:r>
        <w:rPr>
          <w:rFonts w:cs="Times New Roman"/>
          <w:i/>
          <w:iCs/>
          <w:sz w:val="18"/>
          <w:szCs w:val="18"/>
          <w:lang w:val="en-US"/>
        </w:rPr>
        <w:t>actuator</w:t>
      </w:r>
      <w:r w:rsidRPr="00B354A8">
        <w:rPr>
          <w:rFonts w:cs="Times New Roman"/>
          <w:i/>
          <w:iCs/>
          <w:sz w:val="18"/>
          <w:szCs w:val="18"/>
          <w:lang w:val="en-US"/>
        </w:rPr>
        <w:t xml:space="preserve"> fault - </w:t>
      </w:r>
      <w:r>
        <w:rPr>
          <w:rFonts w:cs="Times New Roman"/>
          <w:i/>
          <w:iCs/>
          <w:sz w:val="18"/>
          <w:szCs w:val="18"/>
          <w:lang w:val="en-US"/>
        </w:rPr>
        <w:t>purple</w:t>
      </w:r>
      <w:r w:rsidRPr="00B354A8">
        <w:rPr>
          <w:rFonts w:cs="Times New Roman"/>
          <w:i/>
          <w:iCs/>
          <w:sz w:val="18"/>
          <w:szCs w:val="18"/>
          <w:lang w:val="en-US"/>
        </w:rPr>
        <w:t xml:space="preserve"> line; r</w:t>
      </w:r>
      <w:r w:rsidRPr="00B354A8">
        <w:rPr>
          <w:rFonts w:cs="Times New Roman"/>
          <w:i/>
          <w:iCs/>
          <w:sz w:val="18"/>
          <w:szCs w:val="18"/>
          <w:vertAlign w:val="subscript"/>
          <w:lang w:val="en-US"/>
        </w:rPr>
        <w:t>3</w:t>
      </w:r>
      <w:r w:rsidRPr="00B354A8">
        <w:rPr>
          <w:rFonts w:cs="Times New Roman"/>
          <w:i/>
          <w:iCs/>
          <w:sz w:val="18"/>
          <w:szCs w:val="18"/>
          <w:lang w:val="en-US"/>
        </w:rPr>
        <w:t xml:space="preserve"> – purple </w:t>
      </w:r>
      <w:r>
        <w:rPr>
          <w:rFonts w:cs="Times New Roman"/>
          <w:i/>
          <w:iCs/>
          <w:sz w:val="18"/>
          <w:szCs w:val="18"/>
          <w:lang w:val="en-US"/>
        </w:rPr>
        <w:t xml:space="preserve">dotted </w:t>
      </w:r>
      <w:r w:rsidRPr="00B354A8">
        <w:rPr>
          <w:rFonts w:cs="Times New Roman"/>
          <w:i/>
          <w:iCs/>
          <w:sz w:val="18"/>
          <w:szCs w:val="18"/>
          <w:lang w:val="en-US"/>
        </w:rPr>
        <w:t xml:space="preserve">line; </w:t>
      </w:r>
      <w:proofErr w:type="gramStart"/>
      <w:r w:rsidRPr="00B354A8">
        <w:rPr>
          <w:rFonts w:cs="Times New Roman"/>
          <w:i/>
          <w:iCs/>
          <w:sz w:val="18"/>
          <w:szCs w:val="18"/>
          <w:lang w:val="en-US"/>
        </w:rPr>
        <w:t>s</w:t>
      </w:r>
      <w:r>
        <w:rPr>
          <w:rFonts w:cs="Times New Roman"/>
          <w:i/>
          <w:iCs/>
          <w:sz w:val="18"/>
          <w:szCs w:val="18"/>
          <w:vertAlign w:val="subscript"/>
          <w:lang w:val="en-US"/>
        </w:rPr>
        <w:t>3</w:t>
      </w:r>
      <w:r w:rsidRPr="00B354A8">
        <w:rPr>
          <w:rFonts w:cs="Times New Roman"/>
          <w:i/>
          <w:iCs/>
          <w:sz w:val="18"/>
          <w:szCs w:val="18"/>
          <w:vertAlign w:val="subscript"/>
          <w:lang w:val="en-US"/>
        </w:rPr>
        <w:t xml:space="preserve"> </w:t>
      </w:r>
      <w:r w:rsidRPr="00B354A8">
        <w:rPr>
          <w:rFonts w:cs="Times New Roman"/>
          <w:i/>
          <w:iCs/>
          <w:sz w:val="18"/>
          <w:szCs w:val="18"/>
          <w:lang w:val="en-US"/>
        </w:rPr>
        <w:t xml:space="preserve"> –</w:t>
      </w:r>
      <w:proofErr w:type="gramEnd"/>
      <w:r w:rsidRPr="00B354A8">
        <w:rPr>
          <w:rFonts w:cs="Times New Roman"/>
          <w:i/>
          <w:iCs/>
          <w:sz w:val="18"/>
          <w:szCs w:val="18"/>
          <w:lang w:val="en-US"/>
        </w:rPr>
        <w:t xml:space="preserve"> dia</w:t>
      </w:r>
      <w:r w:rsidRPr="00B354A8">
        <w:rPr>
          <w:rFonts w:cs="Times New Roman"/>
          <w:i/>
          <w:iCs/>
          <w:sz w:val="18"/>
          <w:szCs w:val="18"/>
          <w:lang w:val="en-US"/>
        </w:rPr>
        <w:t>g</w:t>
      </w:r>
      <w:r w:rsidRPr="00B354A8">
        <w:rPr>
          <w:rFonts w:cs="Times New Roman"/>
          <w:i/>
          <w:iCs/>
          <w:sz w:val="18"/>
          <w:szCs w:val="18"/>
          <w:lang w:val="en-US"/>
        </w:rPr>
        <w:t>nostic sig</w:t>
      </w:r>
      <w:r>
        <w:rPr>
          <w:rFonts w:cs="Times New Roman"/>
          <w:i/>
          <w:iCs/>
          <w:sz w:val="18"/>
          <w:szCs w:val="18"/>
          <w:lang w:val="en-US"/>
        </w:rPr>
        <w:t>nal –</w:t>
      </w:r>
      <w:r w:rsidRPr="00B354A8">
        <w:rPr>
          <w:rFonts w:cs="Times New Roman"/>
          <w:i/>
          <w:iCs/>
          <w:sz w:val="18"/>
          <w:szCs w:val="18"/>
          <w:lang w:val="en-US"/>
        </w:rPr>
        <w:t xml:space="preserve"> purple</w:t>
      </w:r>
      <w:r>
        <w:rPr>
          <w:rFonts w:cs="Times New Roman"/>
          <w:i/>
          <w:iCs/>
          <w:sz w:val="18"/>
          <w:szCs w:val="18"/>
          <w:lang w:val="en-US"/>
        </w:rPr>
        <w:t xml:space="preserve"> line</w:t>
      </w:r>
      <w:r w:rsidRPr="00B354A8">
        <w:rPr>
          <w:rFonts w:cs="Times New Roman"/>
          <w:i/>
          <w:iCs/>
          <w:sz w:val="18"/>
          <w:szCs w:val="18"/>
          <w:lang w:val="en-US"/>
        </w:rPr>
        <w:t>.</w:t>
      </w:r>
      <w:r>
        <w:rPr>
          <w:rFonts w:cs="Times New Roman"/>
          <w:i/>
          <w:iCs/>
          <w:sz w:val="18"/>
          <w:szCs w:val="18"/>
          <w:lang w:val="en-US"/>
        </w:rPr>
        <w:t xml:space="preserve">  </w:t>
      </w:r>
      <w:proofErr w:type="gramStart"/>
      <w:r>
        <w:rPr>
          <w:rFonts w:cs="Times New Roman"/>
          <w:i/>
          <w:iCs/>
          <w:sz w:val="18"/>
          <w:szCs w:val="18"/>
          <w:lang w:val="en-US"/>
        </w:rPr>
        <w:t>Remaining notions</w:t>
      </w:r>
      <w:r w:rsidR="00ED72FE">
        <w:rPr>
          <w:rFonts w:cs="Times New Roman"/>
          <w:i/>
          <w:iCs/>
          <w:sz w:val="18"/>
          <w:szCs w:val="18"/>
          <w:lang w:val="en-US"/>
        </w:rPr>
        <w:t>,</w:t>
      </w:r>
      <w:r>
        <w:rPr>
          <w:rFonts w:cs="Times New Roman"/>
          <w:i/>
          <w:iCs/>
          <w:sz w:val="18"/>
          <w:szCs w:val="18"/>
          <w:lang w:val="en-US"/>
        </w:rPr>
        <w:t xml:space="preserve"> as in Fig. 6.</w:t>
      </w:r>
      <w:proofErr w:type="gramEnd"/>
    </w:p>
    <w:p w14:paraId="66B0A7EE" w14:textId="77777777" w:rsidR="00805F62" w:rsidRDefault="00805F62" w:rsidP="009E1168">
      <w:pPr>
        <w:pStyle w:val="Bodytextfirst"/>
        <w:rPr>
          <w:sz w:val="20"/>
          <w:szCs w:val="20"/>
        </w:rPr>
      </w:pPr>
    </w:p>
    <w:p w14:paraId="53F805B7" w14:textId="67B54DA3" w:rsidR="00B354A8" w:rsidRDefault="00805F62" w:rsidP="009E1168">
      <w:pPr>
        <w:pStyle w:val="Bodytextfirst"/>
        <w:rPr>
          <w:sz w:val="20"/>
          <w:szCs w:val="20"/>
        </w:rPr>
      </w:pPr>
      <w:r w:rsidRPr="00805F62">
        <w:rPr>
          <w:sz w:val="20"/>
          <w:szCs w:val="20"/>
        </w:rPr>
        <w:t xml:space="preserve">The summary of isolated faults is presented in Tab. 9. As </w:t>
      </w:r>
      <w:r w:rsidR="00C11F6A">
        <w:rPr>
          <w:sz w:val="20"/>
          <w:szCs w:val="20"/>
        </w:rPr>
        <w:t>can be seen</w:t>
      </w:r>
      <w:r w:rsidRPr="00805F62">
        <w:rPr>
          <w:sz w:val="20"/>
          <w:szCs w:val="20"/>
        </w:rPr>
        <w:t xml:space="preserve">, closing the loop does not degrade the diagnostic properties of the system as far as the </w:t>
      </w:r>
      <w:r w:rsidRPr="00805F62">
        <w:rPr>
          <w:sz w:val="20"/>
          <w:szCs w:val="20"/>
        </w:rPr>
        <w:lastRenderedPageBreak/>
        <w:t>conditions 1 and 2 hold.</w:t>
      </w:r>
      <w:r w:rsidR="007E1127">
        <w:rPr>
          <w:sz w:val="20"/>
          <w:szCs w:val="20"/>
        </w:rPr>
        <w:t xml:space="preserve">     </w:t>
      </w:r>
    </w:p>
    <w:p w14:paraId="722FAE58" w14:textId="24C16956" w:rsidR="007A3047" w:rsidRPr="00731E04" w:rsidRDefault="007A3047" w:rsidP="007A3047">
      <w:pPr>
        <w:pStyle w:val="Legenda"/>
        <w:keepNext/>
        <w:rPr>
          <w:rFonts w:cs="Times New Roman"/>
          <w:sz w:val="20"/>
          <w:szCs w:val="20"/>
          <w:lang w:val="en-US"/>
        </w:rPr>
      </w:pPr>
      <w:proofErr w:type="gramStart"/>
      <w:r w:rsidRPr="007A3047">
        <w:rPr>
          <w:rFonts w:cs="Times New Roman"/>
          <w:lang w:val="en-US"/>
        </w:rPr>
        <w:t>Table 9.</w:t>
      </w:r>
      <w:proofErr w:type="gramEnd"/>
      <w:r w:rsidRPr="007A3047">
        <w:rPr>
          <w:rFonts w:cs="Times New Roman"/>
          <w:lang w:val="en-US"/>
        </w:rPr>
        <w:t xml:space="preserve">  </w:t>
      </w:r>
      <w:proofErr w:type="gramStart"/>
      <w:r w:rsidRPr="007A3047">
        <w:rPr>
          <w:rFonts w:cs="Times New Roman"/>
          <w:lang w:val="en-US"/>
        </w:rPr>
        <w:t>Obtained diagnoses</w:t>
      </w:r>
      <w:r w:rsidRPr="00731E04">
        <w:rPr>
          <w:rFonts w:cs="Times New Roman"/>
          <w:sz w:val="20"/>
          <w:szCs w:val="20"/>
          <w:lang w:val="en-US"/>
        </w:rPr>
        <w:t>.</w:t>
      </w:r>
      <w:proofErr w:type="gramEnd"/>
    </w:p>
    <w:tbl>
      <w:tblPr>
        <w:tblStyle w:val="Tabela-Siatka"/>
        <w:tblW w:w="4541" w:type="dxa"/>
        <w:jc w:val="center"/>
        <w:tblInd w:w="108" w:type="dxa"/>
        <w:tblLook w:val="04A0" w:firstRow="1" w:lastRow="0" w:firstColumn="1" w:lastColumn="0" w:noHBand="0" w:noVBand="1"/>
      </w:tblPr>
      <w:tblGrid>
        <w:gridCol w:w="743"/>
        <w:gridCol w:w="895"/>
        <w:gridCol w:w="821"/>
        <w:gridCol w:w="948"/>
        <w:gridCol w:w="1134"/>
      </w:tblGrid>
      <w:tr w:rsidR="007A3047" w:rsidRPr="007A3047" w14:paraId="5168E2D9" w14:textId="77777777" w:rsidTr="007A3047">
        <w:trPr>
          <w:jc w:val="center"/>
        </w:trPr>
        <w:tc>
          <w:tcPr>
            <w:tcW w:w="743" w:type="dxa"/>
            <w:tcBorders>
              <w:top w:val="single" w:sz="4" w:space="0" w:color="auto"/>
              <w:left w:val="single" w:sz="4" w:space="0" w:color="auto"/>
            </w:tcBorders>
            <w:vAlign w:val="center"/>
          </w:tcPr>
          <w:p w14:paraId="2A405C48" w14:textId="77777777" w:rsidR="007A3047" w:rsidRPr="007A3047" w:rsidRDefault="007A3047" w:rsidP="007A3047">
            <w:pPr>
              <w:pStyle w:val="Bodytextfirst"/>
              <w:jc w:val="center"/>
            </w:pPr>
            <w:r w:rsidRPr="007A3047">
              <w:t>time [s∙10</w:t>
            </w:r>
            <w:r w:rsidRPr="007A3047">
              <w:rPr>
                <w:vertAlign w:val="superscript"/>
              </w:rPr>
              <w:t>5</w:t>
            </w:r>
            <w:r w:rsidRPr="007A3047">
              <w:t>]</w:t>
            </w:r>
          </w:p>
        </w:tc>
        <w:tc>
          <w:tcPr>
            <w:tcW w:w="895" w:type="dxa"/>
            <w:tcBorders>
              <w:top w:val="single" w:sz="4" w:space="0" w:color="auto"/>
            </w:tcBorders>
            <w:vAlign w:val="center"/>
          </w:tcPr>
          <w:p w14:paraId="022108CE" w14:textId="77777777" w:rsidR="007A3047" w:rsidRPr="007A3047" w:rsidRDefault="007A3047" w:rsidP="007A3047">
            <w:pPr>
              <w:pStyle w:val="Bodytextfirst"/>
              <w:jc w:val="center"/>
            </w:pPr>
            <w:r w:rsidRPr="007A3047">
              <w:t>0.00</w:t>
            </w:r>
          </w:p>
          <w:p w14:paraId="485B87B9" w14:textId="3B6B4B3B" w:rsidR="007A3047" w:rsidRPr="007A3047" w:rsidRDefault="007A3047" w:rsidP="007A3047">
            <w:pPr>
              <w:pStyle w:val="Bodytextfirst"/>
              <w:jc w:val="center"/>
            </w:pPr>
            <w:r>
              <w:t>0.82</w:t>
            </w:r>
          </w:p>
        </w:tc>
        <w:tc>
          <w:tcPr>
            <w:tcW w:w="821" w:type="dxa"/>
            <w:tcBorders>
              <w:top w:val="single" w:sz="4" w:space="0" w:color="auto"/>
            </w:tcBorders>
            <w:vAlign w:val="center"/>
          </w:tcPr>
          <w:p w14:paraId="7A72A996" w14:textId="5C8D2305" w:rsidR="007A3047" w:rsidRPr="007A3047" w:rsidRDefault="007A3047" w:rsidP="007A3047">
            <w:pPr>
              <w:pStyle w:val="Bodytextfirst"/>
              <w:jc w:val="center"/>
            </w:pPr>
            <w:r>
              <w:t>0.82</w:t>
            </w:r>
          </w:p>
          <w:p w14:paraId="1BE0C71F" w14:textId="77777777" w:rsidR="007A3047" w:rsidRPr="007A3047" w:rsidRDefault="007A3047" w:rsidP="007A3047">
            <w:pPr>
              <w:pStyle w:val="Bodytextfirst"/>
              <w:jc w:val="center"/>
            </w:pPr>
            <w:r w:rsidRPr="007A3047">
              <w:t>0.85</w:t>
            </w:r>
          </w:p>
        </w:tc>
        <w:tc>
          <w:tcPr>
            <w:tcW w:w="948" w:type="dxa"/>
            <w:tcBorders>
              <w:top w:val="single" w:sz="4" w:space="0" w:color="auto"/>
            </w:tcBorders>
            <w:vAlign w:val="center"/>
          </w:tcPr>
          <w:p w14:paraId="1943ABD5" w14:textId="77777777" w:rsidR="007A3047" w:rsidRPr="007A3047" w:rsidRDefault="007A3047" w:rsidP="007A3047">
            <w:pPr>
              <w:pStyle w:val="Bodytextfirst"/>
              <w:jc w:val="center"/>
            </w:pPr>
            <w:r w:rsidRPr="007A3047">
              <w:t>0.85</w:t>
            </w:r>
          </w:p>
          <w:p w14:paraId="5423CD5D" w14:textId="6B2A0928" w:rsidR="007A3047" w:rsidRPr="007A3047" w:rsidRDefault="007A3047" w:rsidP="007A3047">
            <w:pPr>
              <w:pStyle w:val="Bodytextfirst"/>
              <w:jc w:val="center"/>
            </w:pPr>
            <w:r>
              <w:t>1.00</w:t>
            </w:r>
          </w:p>
        </w:tc>
        <w:tc>
          <w:tcPr>
            <w:tcW w:w="1134" w:type="dxa"/>
            <w:tcBorders>
              <w:top w:val="single" w:sz="4" w:space="0" w:color="auto"/>
            </w:tcBorders>
            <w:vAlign w:val="center"/>
          </w:tcPr>
          <w:p w14:paraId="7C8A5175" w14:textId="477C870E" w:rsidR="007A3047" w:rsidRPr="007A3047" w:rsidRDefault="007A3047" w:rsidP="007A3047">
            <w:pPr>
              <w:pStyle w:val="Bodytextfirst"/>
              <w:jc w:val="center"/>
            </w:pPr>
            <w:r>
              <w:t>1.00</w:t>
            </w:r>
          </w:p>
          <w:p w14:paraId="6163EC30" w14:textId="3777D96B" w:rsidR="007A3047" w:rsidRPr="007A3047" w:rsidRDefault="007A3047" w:rsidP="007A3047">
            <w:pPr>
              <w:pStyle w:val="Bodytextfirst"/>
              <w:jc w:val="center"/>
            </w:pPr>
            <w:r>
              <w:t>2.00</w:t>
            </w:r>
          </w:p>
        </w:tc>
      </w:tr>
      <w:tr w:rsidR="007A3047" w:rsidRPr="007A3047" w14:paraId="472CFBC6" w14:textId="77777777" w:rsidTr="007A3047">
        <w:trPr>
          <w:jc w:val="center"/>
        </w:trPr>
        <w:tc>
          <w:tcPr>
            <w:tcW w:w="743" w:type="dxa"/>
            <w:shd w:val="clear" w:color="auto" w:fill="auto"/>
            <w:vAlign w:val="center"/>
          </w:tcPr>
          <w:p w14:paraId="55D45A5E" w14:textId="4E9B7932" w:rsidR="007A3047" w:rsidRPr="007A3047" w:rsidRDefault="007A3047" w:rsidP="007A3047">
            <w:pPr>
              <w:pStyle w:val="Bodytextfirst"/>
              <w:jc w:val="center"/>
            </w:pPr>
            <w:r>
              <w:t>D</w:t>
            </w:r>
          </w:p>
        </w:tc>
        <w:tc>
          <w:tcPr>
            <w:tcW w:w="895" w:type="dxa"/>
            <w:shd w:val="clear" w:color="auto" w:fill="auto"/>
            <w:vAlign w:val="center"/>
          </w:tcPr>
          <w:p w14:paraId="4E9BA1B0" w14:textId="77777777" w:rsidR="007A3047" w:rsidRPr="007A3047" w:rsidRDefault="007A3047" w:rsidP="007A3047">
            <w:pPr>
              <w:pStyle w:val="Bodytextfirst"/>
              <w:jc w:val="center"/>
            </w:pPr>
            <m:oMathPara>
              <m:oMath>
                <m:r>
                  <m:rPr>
                    <m:sty m:val="p"/>
                  </m:rPr>
                  <w:rPr>
                    <w:rFonts w:ascii="Cambria Math" w:hAnsi="Cambria Math"/>
                  </w:rPr>
                  <m:t>∅</m:t>
                </m:r>
              </m:oMath>
            </m:oMathPara>
          </w:p>
        </w:tc>
        <w:tc>
          <w:tcPr>
            <w:tcW w:w="821" w:type="dxa"/>
            <w:shd w:val="clear" w:color="auto" w:fill="auto"/>
            <w:vAlign w:val="center"/>
          </w:tcPr>
          <w:p w14:paraId="4396B919" w14:textId="77777777" w:rsidR="007A3047" w:rsidRPr="007A3047" w:rsidRDefault="003E3364" w:rsidP="007A3047">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m:oMathPara>
          </w:p>
        </w:tc>
        <w:tc>
          <w:tcPr>
            <w:tcW w:w="948" w:type="dxa"/>
            <w:shd w:val="clear" w:color="auto" w:fill="auto"/>
            <w:vAlign w:val="center"/>
          </w:tcPr>
          <w:p w14:paraId="0847DDF6" w14:textId="77777777" w:rsidR="007A3047" w:rsidRPr="007A3047" w:rsidRDefault="003E3364" w:rsidP="007A3047">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m:oMathPara>
          </w:p>
        </w:tc>
        <w:tc>
          <w:tcPr>
            <w:tcW w:w="1134" w:type="dxa"/>
            <w:shd w:val="clear" w:color="auto" w:fill="auto"/>
            <w:vAlign w:val="center"/>
          </w:tcPr>
          <w:p w14:paraId="481ACCBB" w14:textId="6457E448" w:rsidR="007A3047" w:rsidRPr="007A3047" w:rsidRDefault="003E3364" w:rsidP="007A3047">
            <w:pPr>
              <w:pStyle w:val="Bodytextfirst"/>
              <w:jc w:val="cente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3</m:t>
                    </m:r>
                  </m:sub>
                </m:sSub>
              </m:oMath>
            </m:oMathPara>
          </w:p>
        </w:tc>
      </w:tr>
    </w:tbl>
    <w:p w14:paraId="29DFAE5F" w14:textId="6DB3F58B" w:rsidR="0058587C" w:rsidRPr="00731E04" w:rsidRDefault="0058587C" w:rsidP="0058587C">
      <w:pPr>
        <w:pStyle w:val="Sectionheading"/>
        <w:rPr>
          <w:rFonts w:cs="Times New Roman"/>
          <w:szCs w:val="20"/>
        </w:rPr>
      </w:pPr>
      <w:r w:rsidRPr="00731E04">
        <w:rPr>
          <w:rFonts w:cs="Times New Roman"/>
          <w:szCs w:val="20"/>
        </w:rPr>
        <w:t xml:space="preserve"> </w:t>
      </w:r>
      <w:r w:rsidR="00154408" w:rsidRPr="00731E04">
        <w:rPr>
          <w:rFonts w:cs="Times New Roman"/>
          <w:szCs w:val="20"/>
        </w:rPr>
        <w:t xml:space="preserve">  </w:t>
      </w:r>
      <w:r w:rsidR="00D474FC">
        <w:rPr>
          <w:rFonts w:cs="Times New Roman"/>
          <w:szCs w:val="20"/>
        </w:rPr>
        <w:t>FINAL REMARKS</w:t>
      </w:r>
    </w:p>
    <w:p w14:paraId="4DE93133" w14:textId="2BE0E52E" w:rsidR="00C11F6A" w:rsidRDefault="00AB41C6" w:rsidP="00AB41C6">
      <w:pPr>
        <w:pStyle w:val="Bodytextfirst"/>
        <w:rPr>
          <w:sz w:val="20"/>
          <w:szCs w:val="20"/>
        </w:rPr>
      </w:pPr>
      <w:r w:rsidRPr="00AB41C6">
        <w:rPr>
          <w:sz w:val="20"/>
          <w:szCs w:val="20"/>
        </w:rPr>
        <w:t>Residual compensation</w:t>
      </w:r>
      <w:r w:rsidR="00C11F6A">
        <w:rPr>
          <w:sz w:val="20"/>
          <w:szCs w:val="20"/>
        </w:rPr>
        <w:t xml:space="preserve"> effect due to multiple faults</w:t>
      </w:r>
      <w:r w:rsidRPr="00AB41C6">
        <w:rPr>
          <w:sz w:val="20"/>
          <w:szCs w:val="20"/>
        </w:rPr>
        <w:t xml:space="preserve"> is a common problem for all model-based </w:t>
      </w:r>
      <w:r w:rsidR="00C11F6A">
        <w:rPr>
          <w:sz w:val="20"/>
          <w:szCs w:val="20"/>
        </w:rPr>
        <w:t xml:space="preserve">FDI </w:t>
      </w:r>
      <w:r w:rsidRPr="00AB41C6">
        <w:rPr>
          <w:sz w:val="20"/>
          <w:szCs w:val="20"/>
        </w:rPr>
        <w:t xml:space="preserve">diagnostic approaches. This paper discusses </w:t>
      </w:r>
      <w:r w:rsidR="00C11F6A">
        <w:rPr>
          <w:sz w:val="20"/>
          <w:szCs w:val="20"/>
        </w:rPr>
        <w:t xml:space="preserve">and </w:t>
      </w:r>
      <w:proofErr w:type="gramStart"/>
      <w:r w:rsidR="00C11F6A">
        <w:rPr>
          <w:sz w:val="20"/>
          <w:szCs w:val="20"/>
        </w:rPr>
        <w:t>zooms</w:t>
      </w:r>
      <w:proofErr w:type="gramEnd"/>
      <w:r w:rsidR="00C11F6A">
        <w:rPr>
          <w:sz w:val="20"/>
          <w:szCs w:val="20"/>
        </w:rPr>
        <w:t xml:space="preserve"> </w:t>
      </w:r>
      <w:r w:rsidR="00C11F6A" w:rsidRPr="00AB41C6">
        <w:rPr>
          <w:sz w:val="20"/>
          <w:szCs w:val="20"/>
        </w:rPr>
        <w:t xml:space="preserve">this particular </w:t>
      </w:r>
      <w:r w:rsidR="00C11F6A">
        <w:rPr>
          <w:sz w:val="20"/>
          <w:szCs w:val="20"/>
        </w:rPr>
        <w:t>problem</w:t>
      </w:r>
      <w:r w:rsidRPr="00AB41C6">
        <w:rPr>
          <w:sz w:val="20"/>
          <w:szCs w:val="20"/>
        </w:rPr>
        <w:t xml:space="preserve">. </w:t>
      </w:r>
    </w:p>
    <w:p w14:paraId="676828F1" w14:textId="77777777" w:rsidR="00A44629" w:rsidRDefault="00AB41C6" w:rsidP="00AB41C6">
      <w:pPr>
        <w:pStyle w:val="Bodytextfirst"/>
        <w:rPr>
          <w:sz w:val="20"/>
          <w:szCs w:val="20"/>
        </w:rPr>
      </w:pPr>
      <w:r w:rsidRPr="00AB41C6">
        <w:rPr>
          <w:sz w:val="20"/>
          <w:szCs w:val="20"/>
        </w:rPr>
        <w:t xml:space="preserve">The sufficient and necessary conditions for </w:t>
      </w:r>
      <w:r w:rsidR="00A44629" w:rsidRPr="00AB41C6">
        <w:rPr>
          <w:sz w:val="20"/>
          <w:szCs w:val="20"/>
        </w:rPr>
        <w:t>compensation</w:t>
      </w:r>
      <w:r w:rsidR="00A44629">
        <w:rPr>
          <w:sz w:val="20"/>
          <w:szCs w:val="20"/>
        </w:rPr>
        <w:t xml:space="preserve"> of tri-valued </w:t>
      </w:r>
      <w:r w:rsidRPr="00AB41C6">
        <w:rPr>
          <w:sz w:val="20"/>
          <w:szCs w:val="20"/>
        </w:rPr>
        <w:t>residual</w:t>
      </w:r>
      <w:r w:rsidR="00A44629">
        <w:rPr>
          <w:sz w:val="20"/>
          <w:szCs w:val="20"/>
        </w:rPr>
        <w:t xml:space="preserve">s </w:t>
      </w:r>
      <w:r w:rsidRPr="00AB41C6">
        <w:rPr>
          <w:sz w:val="20"/>
          <w:szCs w:val="20"/>
        </w:rPr>
        <w:t xml:space="preserve">were formulated. </w:t>
      </w:r>
    </w:p>
    <w:p w14:paraId="78EFCE35" w14:textId="22333D39" w:rsidR="00C11F6A" w:rsidRDefault="00A44629" w:rsidP="00AB41C6">
      <w:pPr>
        <w:pStyle w:val="Bodytextfirst"/>
        <w:rPr>
          <w:sz w:val="20"/>
          <w:szCs w:val="20"/>
        </w:rPr>
      </w:pPr>
      <w:r>
        <w:rPr>
          <w:sz w:val="20"/>
          <w:szCs w:val="20"/>
        </w:rPr>
        <w:t xml:space="preserve">In this regard, some </w:t>
      </w:r>
      <w:r w:rsidRPr="00AB41C6">
        <w:rPr>
          <w:sz w:val="20"/>
          <w:szCs w:val="20"/>
        </w:rPr>
        <w:t>practical hints</w:t>
      </w:r>
      <w:r>
        <w:rPr>
          <w:sz w:val="20"/>
          <w:szCs w:val="20"/>
        </w:rPr>
        <w:t xml:space="preserve"> were proposed.</w:t>
      </w:r>
    </w:p>
    <w:p w14:paraId="6D835778" w14:textId="25D851E1" w:rsidR="00AB41C6" w:rsidRPr="00AB41C6" w:rsidRDefault="00AB41C6" w:rsidP="00AB41C6">
      <w:pPr>
        <w:pStyle w:val="Bodytextfirst"/>
        <w:rPr>
          <w:sz w:val="20"/>
          <w:szCs w:val="20"/>
        </w:rPr>
      </w:pPr>
      <w:r w:rsidRPr="00AB41C6">
        <w:rPr>
          <w:sz w:val="20"/>
          <w:szCs w:val="20"/>
        </w:rPr>
        <w:t xml:space="preserve">The </w:t>
      </w:r>
      <w:r w:rsidR="00ED72FE">
        <w:rPr>
          <w:sz w:val="20"/>
          <w:szCs w:val="20"/>
        </w:rPr>
        <w:t>primary</w:t>
      </w:r>
      <w:r w:rsidRPr="00AB41C6">
        <w:rPr>
          <w:sz w:val="20"/>
          <w:szCs w:val="20"/>
        </w:rPr>
        <w:t xml:space="preserve"> weakness of the presented </w:t>
      </w:r>
      <w:r w:rsidR="00C11F6A">
        <w:rPr>
          <w:sz w:val="20"/>
          <w:szCs w:val="20"/>
        </w:rPr>
        <w:t>discussion</w:t>
      </w:r>
      <w:r w:rsidRPr="00AB41C6">
        <w:rPr>
          <w:sz w:val="20"/>
          <w:szCs w:val="20"/>
        </w:rPr>
        <w:t xml:space="preserve"> is the adoption of assumptions regarding </w:t>
      </w:r>
      <w:r w:rsidR="00ED72FE">
        <w:rPr>
          <w:sz w:val="20"/>
          <w:szCs w:val="20"/>
        </w:rPr>
        <w:t xml:space="preserve">the </w:t>
      </w:r>
      <w:r w:rsidRPr="00AB41C6">
        <w:rPr>
          <w:sz w:val="20"/>
          <w:szCs w:val="20"/>
        </w:rPr>
        <w:t xml:space="preserve">infallibility of measurement instruments. This assumption is only </w:t>
      </w:r>
      <w:r w:rsidR="00C11F6A">
        <w:rPr>
          <w:sz w:val="20"/>
          <w:szCs w:val="20"/>
        </w:rPr>
        <w:t>in part</w:t>
      </w:r>
      <w:r w:rsidRPr="00AB41C6">
        <w:rPr>
          <w:sz w:val="20"/>
          <w:szCs w:val="20"/>
        </w:rPr>
        <w:t xml:space="preserve"> justified </w:t>
      </w:r>
      <w:r w:rsidR="00C11F6A">
        <w:rPr>
          <w:sz w:val="20"/>
          <w:szCs w:val="20"/>
        </w:rPr>
        <w:t>as</w:t>
      </w:r>
      <w:r w:rsidRPr="00AB41C6">
        <w:rPr>
          <w:sz w:val="20"/>
          <w:szCs w:val="20"/>
        </w:rPr>
        <w:t xml:space="preserve"> the intensity of failures of functional</w:t>
      </w:r>
      <w:r w:rsidR="00C11F6A">
        <w:rPr>
          <w:sz w:val="20"/>
          <w:szCs w:val="20"/>
        </w:rPr>
        <w:t>ly</w:t>
      </w:r>
      <w:r w:rsidRPr="00AB41C6">
        <w:rPr>
          <w:sz w:val="20"/>
          <w:szCs w:val="20"/>
        </w:rPr>
        <w:t xml:space="preserve"> safe instrumentation is significantly lower than </w:t>
      </w:r>
      <w:r w:rsidR="00C11F6A">
        <w:rPr>
          <w:sz w:val="20"/>
          <w:szCs w:val="20"/>
        </w:rPr>
        <w:t xml:space="preserve">this of </w:t>
      </w:r>
      <w:r w:rsidRPr="00AB41C6">
        <w:rPr>
          <w:sz w:val="20"/>
          <w:szCs w:val="20"/>
        </w:rPr>
        <w:t xml:space="preserve">actuators and technological equipment. </w:t>
      </w:r>
    </w:p>
    <w:p w14:paraId="17CADC5B" w14:textId="519258B8" w:rsidR="008D4AB1" w:rsidRDefault="00AB41C6" w:rsidP="00AB41C6">
      <w:pPr>
        <w:pStyle w:val="Bodytextfirst"/>
        <w:rPr>
          <w:sz w:val="20"/>
          <w:szCs w:val="20"/>
        </w:rPr>
      </w:pPr>
      <w:r w:rsidRPr="00AB41C6">
        <w:rPr>
          <w:sz w:val="20"/>
          <w:szCs w:val="20"/>
        </w:rPr>
        <w:t xml:space="preserve">Further research will be concerned with </w:t>
      </w:r>
      <w:r w:rsidR="00C11F6A">
        <w:rPr>
          <w:sz w:val="20"/>
          <w:szCs w:val="20"/>
        </w:rPr>
        <w:t>developing</w:t>
      </w:r>
      <w:r w:rsidRPr="00AB41C6">
        <w:rPr>
          <w:sz w:val="20"/>
          <w:szCs w:val="20"/>
        </w:rPr>
        <w:t xml:space="preserve"> a theoretical framework encompassing all aspects of fault compensation effe</w:t>
      </w:r>
      <w:r>
        <w:rPr>
          <w:sz w:val="20"/>
          <w:szCs w:val="20"/>
        </w:rPr>
        <w:t xml:space="preserve">cts signaled in this paper. </w:t>
      </w:r>
      <w:r w:rsidR="002647BF">
        <w:rPr>
          <w:sz w:val="20"/>
          <w:szCs w:val="20"/>
        </w:rPr>
        <w:t xml:space="preserve">     </w:t>
      </w:r>
    </w:p>
    <w:p w14:paraId="6D46E526" w14:textId="77777777" w:rsidR="009E1168" w:rsidRPr="00731E04" w:rsidRDefault="009E1168" w:rsidP="009E1168">
      <w:pPr>
        <w:pStyle w:val="Sectionheading"/>
        <w:rPr>
          <w:rFonts w:cs="Times New Roman"/>
          <w:szCs w:val="20"/>
        </w:rPr>
      </w:pPr>
      <w:r w:rsidRPr="00731E04">
        <w:rPr>
          <w:rFonts w:cs="Times New Roman"/>
          <w:szCs w:val="20"/>
        </w:rPr>
        <w:t>AcknowledgmentS</w:t>
      </w:r>
    </w:p>
    <w:p w14:paraId="53D1CF13" w14:textId="755A2258" w:rsidR="009E1168" w:rsidRPr="00731E04" w:rsidRDefault="00AB41C6" w:rsidP="009E1168">
      <w:pPr>
        <w:pStyle w:val="Bodytextfirst"/>
        <w:rPr>
          <w:sz w:val="20"/>
          <w:szCs w:val="20"/>
        </w:rPr>
      </w:pPr>
      <w:r w:rsidRPr="00AB41C6">
        <w:rPr>
          <w:sz w:val="20"/>
          <w:szCs w:val="20"/>
        </w:rPr>
        <w:t xml:space="preserve">I would like to express my gratitude to the Institute of Automatic Control and Robotics of </w:t>
      </w:r>
      <w:r w:rsidR="00805F62">
        <w:rPr>
          <w:sz w:val="20"/>
          <w:szCs w:val="20"/>
        </w:rPr>
        <w:t xml:space="preserve">the </w:t>
      </w:r>
      <w:r w:rsidRPr="00AB41C6">
        <w:rPr>
          <w:sz w:val="20"/>
          <w:szCs w:val="20"/>
        </w:rPr>
        <w:t>Warsaw University of Technology for the financial support of this paper</w:t>
      </w:r>
      <w:r w:rsidR="009E1168" w:rsidRPr="00731E04">
        <w:rPr>
          <w:sz w:val="20"/>
          <w:szCs w:val="20"/>
        </w:rPr>
        <w:t>.</w:t>
      </w:r>
    </w:p>
    <w:p w14:paraId="1506109C" w14:textId="6BE89179" w:rsidR="0024688A" w:rsidRPr="001F0A89" w:rsidRDefault="0051495E" w:rsidP="0024688A">
      <w:pPr>
        <w:pStyle w:val="Sectionheadingreferences"/>
      </w:pPr>
      <w:r>
        <w:t>R</w:t>
      </w:r>
      <w:r w:rsidR="0024688A" w:rsidRPr="001F0A89">
        <w:t>eferences</w:t>
      </w:r>
    </w:p>
    <w:p w14:paraId="3AC132FF" w14:textId="77777777" w:rsidR="0024688A" w:rsidRDefault="0024688A" w:rsidP="0024688A">
      <w:pPr>
        <w:pStyle w:val="references0"/>
      </w:pPr>
      <w:r w:rsidRPr="00AB7025">
        <w:rPr>
          <w:b/>
          <w:lang w:val="pl-PL"/>
        </w:rPr>
        <w:t>Korbicz, J.; Kościelny, J.M.; Kowalczuk, Z.; Cholewa</w:t>
      </w:r>
      <w:r w:rsidRPr="00AB7025">
        <w:rPr>
          <w:lang w:val="pl-PL"/>
        </w:rPr>
        <w:t xml:space="preserve">, </w:t>
      </w:r>
      <w:r w:rsidRPr="00AB7025">
        <w:rPr>
          <w:b/>
          <w:lang w:val="pl-PL"/>
        </w:rPr>
        <w:t>W.</w:t>
      </w:r>
      <w:r w:rsidRPr="00AB7025">
        <w:rPr>
          <w:lang w:val="pl-PL"/>
        </w:rPr>
        <w:t xml:space="preserve">:  </w:t>
      </w:r>
      <w:r w:rsidRPr="00AB7025">
        <w:rPr>
          <w:i/>
          <w:lang w:val="pl-PL"/>
        </w:rPr>
        <w:t xml:space="preserve">Fault Diagnosis. </w:t>
      </w:r>
      <w:r w:rsidRPr="001F0A89">
        <w:rPr>
          <w:i/>
        </w:rPr>
        <w:t>Models. Artificial Intelligence. Applications</w:t>
      </w:r>
      <w:r w:rsidRPr="00DA1A96">
        <w:t>. Springer 2004.</w:t>
      </w:r>
    </w:p>
    <w:p w14:paraId="52FAF691" w14:textId="2F2A3C8E" w:rsidR="00AB7025" w:rsidRPr="00AB7025" w:rsidRDefault="00AB7025" w:rsidP="00AB7025">
      <w:pPr>
        <w:pStyle w:val="references0"/>
        <w:rPr>
          <w:color w:val="000000" w:themeColor="text1"/>
          <w:szCs w:val="18"/>
        </w:rPr>
      </w:pPr>
      <w:r w:rsidRPr="00923C34">
        <w:rPr>
          <w:b/>
          <w:color w:val="000000" w:themeColor="text1"/>
          <w:szCs w:val="18"/>
        </w:rPr>
        <w:t>Patan, K., Korbicz, J.</w:t>
      </w:r>
      <w:r w:rsidRPr="00923C34">
        <w:rPr>
          <w:color w:val="000000" w:themeColor="text1"/>
          <w:szCs w:val="18"/>
        </w:rPr>
        <w:t xml:space="preserve">: </w:t>
      </w:r>
      <w:hyperlink r:id="rId27" w:history="1">
        <w:r w:rsidR="00ED72FE">
          <w:rPr>
            <w:i/>
            <w:color w:val="000000" w:themeColor="text1"/>
            <w:szCs w:val="18"/>
          </w:rPr>
          <w:t>Nonlinear model predictive control of a boiler unit: A fault-tolerant control study</w:t>
        </w:r>
      </w:hyperlink>
      <w:r w:rsidRPr="00923C34">
        <w:rPr>
          <w:i/>
          <w:color w:val="000000" w:themeColor="text1"/>
          <w:szCs w:val="18"/>
        </w:rPr>
        <w:t>,</w:t>
      </w:r>
      <w:r w:rsidRPr="00923C34">
        <w:rPr>
          <w:color w:val="000000" w:themeColor="text1"/>
          <w:szCs w:val="18"/>
        </w:rPr>
        <w:t xml:space="preserve"> International Journal of Applied Mathematics and Computer Science, Vol</w:t>
      </w:r>
      <w:r>
        <w:rPr>
          <w:color w:val="000000" w:themeColor="text1"/>
          <w:szCs w:val="18"/>
        </w:rPr>
        <w:t>. 22, No. 1, 2012, pp. 225-237.</w:t>
      </w:r>
    </w:p>
    <w:p w14:paraId="20CE41AC" w14:textId="0C4C71FA" w:rsidR="0024688A" w:rsidRDefault="0024688A" w:rsidP="0024688A">
      <w:pPr>
        <w:pStyle w:val="references0"/>
        <w:rPr>
          <w:rFonts w:eastAsiaTheme="minorHAnsi"/>
        </w:rPr>
      </w:pPr>
      <w:r w:rsidRPr="001F0A89">
        <w:rPr>
          <w:rFonts w:eastAsiaTheme="minorHAnsi"/>
          <w:b/>
        </w:rPr>
        <w:t>Gertler, J.</w:t>
      </w:r>
      <w:r>
        <w:rPr>
          <w:rFonts w:eastAsiaTheme="minorHAnsi"/>
        </w:rPr>
        <w:t>:</w:t>
      </w:r>
      <w:r w:rsidRPr="00DA1A96">
        <w:rPr>
          <w:rFonts w:eastAsiaTheme="minorHAnsi"/>
        </w:rPr>
        <w:t xml:space="preserve"> </w:t>
      </w:r>
      <w:r w:rsidRPr="001F0A89">
        <w:rPr>
          <w:rFonts w:eastAsiaTheme="minorHAnsi"/>
          <w:i/>
        </w:rPr>
        <w:t>Fault Detection and Diagnosis in Engineering Systems</w:t>
      </w:r>
      <w:r w:rsidR="002827E7">
        <w:rPr>
          <w:rFonts w:eastAsiaTheme="minorHAnsi"/>
        </w:rPr>
        <w:t>. Marcel Dekker, Inc. New York,</w:t>
      </w:r>
      <w:r w:rsidRPr="00DA1A96">
        <w:rPr>
          <w:rFonts w:eastAsiaTheme="minorHAnsi"/>
        </w:rPr>
        <w:t xml:space="preserve"> 1998.</w:t>
      </w:r>
    </w:p>
    <w:p w14:paraId="63AF0AA1" w14:textId="77777777" w:rsidR="001E6969" w:rsidRDefault="00AB7025" w:rsidP="001E6969">
      <w:pPr>
        <w:pStyle w:val="references0"/>
        <w:rPr>
          <w:rFonts w:eastAsiaTheme="minorHAnsi"/>
        </w:rPr>
      </w:pPr>
      <w:r w:rsidRPr="00AB7025">
        <w:rPr>
          <w:rFonts w:eastAsiaTheme="minorHAnsi"/>
          <w:b/>
        </w:rPr>
        <w:t xml:space="preserve">Bartyś, M.: </w:t>
      </w:r>
      <w:r w:rsidRPr="001E6969">
        <w:rPr>
          <w:rFonts w:eastAsiaTheme="minorHAnsi"/>
          <w:i/>
        </w:rPr>
        <w:t>Chosen Issues of Fault Isolation</w:t>
      </w:r>
      <w:r w:rsidRPr="00AB7025">
        <w:rPr>
          <w:rFonts w:eastAsiaTheme="minorHAnsi"/>
          <w:b/>
        </w:rPr>
        <w:t xml:space="preserve">. </w:t>
      </w:r>
      <w:r w:rsidRPr="001E6969">
        <w:rPr>
          <w:rFonts w:eastAsiaTheme="minorHAnsi"/>
        </w:rPr>
        <w:t>Polish Scientific Publishers, PWN, 2014</w:t>
      </w:r>
      <w:r w:rsidR="001E6969">
        <w:rPr>
          <w:rFonts w:eastAsiaTheme="minorHAnsi"/>
        </w:rPr>
        <w:t>.</w:t>
      </w:r>
    </w:p>
    <w:p w14:paraId="47A440B6" w14:textId="5CFE9BA3" w:rsidR="001E6969" w:rsidRPr="001E6969" w:rsidRDefault="001E6969" w:rsidP="001E6969">
      <w:pPr>
        <w:pStyle w:val="references0"/>
        <w:rPr>
          <w:rFonts w:eastAsiaTheme="minorHAnsi"/>
          <w:i/>
          <w:lang w:val="de-DE"/>
        </w:rPr>
      </w:pPr>
      <w:r w:rsidRPr="001E6969">
        <w:rPr>
          <w:rFonts w:eastAsiaTheme="minorHAnsi"/>
          <w:b/>
        </w:rPr>
        <w:t xml:space="preserve">Blanke, M., Kinnaert, M., Lunze, J., Staroswiecki, M.: </w:t>
      </w:r>
      <w:r w:rsidRPr="001E6969">
        <w:rPr>
          <w:rFonts w:eastAsiaTheme="minorHAnsi"/>
          <w:i/>
        </w:rPr>
        <w:t>Diagnosis and Fault-Tolerant Control</w:t>
      </w:r>
      <w:r w:rsidRPr="001E6969">
        <w:rPr>
          <w:rFonts w:eastAsiaTheme="minorHAnsi"/>
          <w:b/>
        </w:rPr>
        <w:t xml:space="preserve">. </w:t>
      </w:r>
      <w:r w:rsidRPr="001E6969">
        <w:rPr>
          <w:rFonts w:eastAsiaTheme="minorHAnsi"/>
        </w:rPr>
        <w:t>Springer, New York, NY, USA, 2015.</w:t>
      </w:r>
    </w:p>
    <w:p w14:paraId="74F4CD4A" w14:textId="088CD76A" w:rsidR="001E6969" w:rsidRPr="001E6969" w:rsidRDefault="001E6969" w:rsidP="001E6969">
      <w:pPr>
        <w:pStyle w:val="references0"/>
        <w:rPr>
          <w:lang w:val="de-DE"/>
        </w:rPr>
      </w:pPr>
      <w:r w:rsidRPr="001E6969">
        <w:rPr>
          <w:b/>
          <w:lang w:val="de-DE"/>
        </w:rPr>
        <w:t>Kościelny, J. M</w:t>
      </w:r>
      <w:r w:rsidRPr="001E6969">
        <w:rPr>
          <w:lang w:val="de-DE"/>
        </w:rPr>
        <w:t>.: Process Diagnostics Methodology, in: Korbicz, J.; Kościelny, J.M.; Kowalczuk, Z.; Cholewa, W</w:t>
      </w:r>
      <w:r w:rsidRPr="001E6969">
        <w:rPr>
          <w:b/>
          <w:lang w:val="de-DE"/>
        </w:rPr>
        <w:t xml:space="preserve">. </w:t>
      </w:r>
      <w:r w:rsidRPr="001E6969">
        <w:rPr>
          <w:lang w:val="de-DE"/>
        </w:rPr>
        <w:t xml:space="preserve">(eds.):  </w:t>
      </w:r>
      <w:r w:rsidRPr="001E6969">
        <w:rPr>
          <w:i/>
          <w:lang w:val="de-DE"/>
        </w:rPr>
        <w:t>Fault Diagnosis. Models. Artificial Intelligence. Applications</w:t>
      </w:r>
      <w:r w:rsidRPr="001E6969">
        <w:rPr>
          <w:lang w:val="de-DE"/>
        </w:rPr>
        <w:t>. Springer 2004</w:t>
      </w:r>
      <w:r>
        <w:rPr>
          <w:lang w:val="de-DE"/>
        </w:rPr>
        <w:t>, pp. 59-117.</w:t>
      </w:r>
    </w:p>
    <w:p w14:paraId="2F48EC65" w14:textId="7EE1A2AB" w:rsidR="00D316DD" w:rsidRPr="00DD0B76" w:rsidRDefault="00D316DD" w:rsidP="00D316DD">
      <w:pPr>
        <w:pStyle w:val="references0"/>
        <w:rPr>
          <w:color w:val="000000" w:themeColor="text1"/>
          <w:szCs w:val="18"/>
        </w:rPr>
      </w:pPr>
      <w:r w:rsidRPr="00D5465D">
        <w:rPr>
          <w:b/>
          <w:szCs w:val="18"/>
          <w:lang w:eastAsia="hu-HU"/>
        </w:rPr>
        <w:t>Takeda, K.,  Shibata, B., Tsuge, Y., Matsuyama, H</w:t>
      </w:r>
      <w:r w:rsidRPr="00D5465D">
        <w:rPr>
          <w:szCs w:val="18"/>
          <w:lang w:eastAsia="hu-HU"/>
        </w:rPr>
        <w:t xml:space="preserve">.: The improvement of fault diagnosis algorithm using </w:t>
      </w:r>
      <w:r w:rsidR="00ED72FE">
        <w:rPr>
          <w:szCs w:val="18"/>
          <w:lang w:eastAsia="hu-HU"/>
        </w:rPr>
        <w:t xml:space="preserve">a </w:t>
      </w:r>
      <w:r w:rsidRPr="00D5465D">
        <w:rPr>
          <w:szCs w:val="18"/>
          <w:lang w:eastAsia="hu-HU"/>
        </w:rPr>
        <w:t>signed directed</w:t>
      </w:r>
      <w:r w:rsidRPr="00D5465D">
        <w:rPr>
          <w:color w:val="000000" w:themeColor="text1"/>
          <w:szCs w:val="18"/>
        </w:rPr>
        <w:t xml:space="preserve"> </w:t>
      </w:r>
      <w:r w:rsidRPr="00D5465D">
        <w:rPr>
          <w:szCs w:val="18"/>
          <w:lang w:eastAsia="hu-HU"/>
        </w:rPr>
        <w:t xml:space="preserve">graph, </w:t>
      </w:r>
      <w:r w:rsidRPr="00D5465D">
        <w:rPr>
          <w:i/>
          <w:szCs w:val="18"/>
          <w:lang w:eastAsia="hu-HU"/>
        </w:rPr>
        <w:t>IFAC Symposium Safeprocess</w:t>
      </w:r>
      <w:r>
        <w:rPr>
          <w:szCs w:val="18"/>
          <w:lang w:eastAsia="hu-HU"/>
        </w:rPr>
        <w:t xml:space="preserve">, </w:t>
      </w:r>
      <w:r w:rsidRPr="00D5465D">
        <w:rPr>
          <w:szCs w:val="18"/>
          <w:lang w:eastAsia="hu-HU"/>
        </w:rPr>
        <w:t xml:space="preserve">Espoo, Finland, 13-16 June </w:t>
      </w:r>
      <w:r>
        <w:rPr>
          <w:szCs w:val="18"/>
          <w:lang w:eastAsia="hu-HU"/>
        </w:rPr>
        <w:t>1994, Vol. 1</w:t>
      </w:r>
      <w:r w:rsidRPr="00D5465D">
        <w:rPr>
          <w:szCs w:val="18"/>
          <w:lang w:eastAsia="hu-HU"/>
        </w:rPr>
        <w:t>, pp. 368–373</w:t>
      </w:r>
      <w:r>
        <w:rPr>
          <w:szCs w:val="18"/>
          <w:lang w:eastAsia="hu-HU"/>
        </w:rPr>
        <w:t>.</w:t>
      </w:r>
    </w:p>
    <w:p w14:paraId="4D934F90" w14:textId="624A4312" w:rsidR="001255EB" w:rsidRDefault="001255EB" w:rsidP="001255EB">
      <w:pPr>
        <w:pStyle w:val="references0"/>
        <w:rPr>
          <w:szCs w:val="18"/>
          <w:lang w:eastAsia="hu-HU"/>
        </w:rPr>
      </w:pPr>
      <w:r w:rsidRPr="005A75A4">
        <w:rPr>
          <w:b/>
          <w:szCs w:val="18"/>
          <w:lang w:eastAsia="hu-HU"/>
        </w:rPr>
        <w:t>Kościelny, J.M., Bartyś, M., Grudziak, Z</w:t>
      </w:r>
      <w:r w:rsidRPr="00DD0B76">
        <w:rPr>
          <w:szCs w:val="18"/>
          <w:lang w:eastAsia="hu-HU"/>
        </w:rPr>
        <w:t xml:space="preserve">.: </w:t>
      </w:r>
      <w:r w:rsidRPr="00DD0B76">
        <w:rPr>
          <w:i/>
          <w:szCs w:val="18"/>
          <w:lang w:eastAsia="hu-HU"/>
        </w:rPr>
        <w:t>Tri-valued evaluation of residuals as a method of addressing the problem of fault compensation effect</w:t>
      </w:r>
      <w:r w:rsidRPr="00DD0B76">
        <w:rPr>
          <w:szCs w:val="18"/>
          <w:lang w:eastAsia="hu-HU"/>
        </w:rPr>
        <w:t>, In Korbicz J., Patan K., Luzar M. (eds.) Advances in Diagnostics of Processes and Systems</w:t>
      </w:r>
      <w:r>
        <w:rPr>
          <w:szCs w:val="18"/>
          <w:lang w:eastAsia="hu-HU"/>
        </w:rPr>
        <w:t xml:space="preserve">, </w:t>
      </w:r>
      <w:r w:rsidRPr="00DD0B76">
        <w:rPr>
          <w:szCs w:val="18"/>
          <w:lang w:eastAsia="hu-HU"/>
        </w:rPr>
        <w:t xml:space="preserve">Springer, </w:t>
      </w:r>
      <w:r>
        <w:rPr>
          <w:szCs w:val="18"/>
          <w:lang w:eastAsia="hu-HU"/>
        </w:rPr>
        <w:t>V</w:t>
      </w:r>
      <w:r w:rsidRPr="00DD0B76">
        <w:rPr>
          <w:szCs w:val="18"/>
          <w:lang w:eastAsia="hu-HU"/>
        </w:rPr>
        <w:t>ol. 313, 2021</w:t>
      </w:r>
      <w:r>
        <w:rPr>
          <w:szCs w:val="18"/>
          <w:lang w:eastAsia="hu-HU"/>
        </w:rPr>
        <w:t xml:space="preserve"> (</w:t>
      </w:r>
      <w:r w:rsidRPr="00DD0B76">
        <w:rPr>
          <w:i/>
          <w:szCs w:val="18"/>
          <w:lang w:eastAsia="hu-HU"/>
        </w:rPr>
        <w:t>in printing</w:t>
      </w:r>
      <w:r>
        <w:rPr>
          <w:szCs w:val="18"/>
          <w:lang w:eastAsia="hu-HU"/>
        </w:rPr>
        <w:t>)</w:t>
      </w:r>
      <w:r w:rsidRPr="00DD0B76">
        <w:rPr>
          <w:szCs w:val="18"/>
          <w:lang w:eastAsia="hu-HU"/>
        </w:rPr>
        <w:t>.</w:t>
      </w:r>
    </w:p>
    <w:p w14:paraId="5D068819" w14:textId="19EDA34B" w:rsidR="00D512D0" w:rsidRPr="00DD0B76" w:rsidRDefault="00D512D0" w:rsidP="007D4EB0">
      <w:pPr>
        <w:pStyle w:val="references0"/>
        <w:numPr>
          <w:ilvl w:val="0"/>
          <w:numId w:val="0"/>
        </w:numPr>
        <w:ind w:left="360"/>
        <w:rPr>
          <w:szCs w:val="18"/>
          <w:lang w:eastAsia="hu-HU"/>
        </w:rPr>
        <w:sectPr w:rsidR="00D512D0" w:rsidRPr="00DD0B76" w:rsidSect="005A5652">
          <w:type w:val="continuous"/>
          <w:pgSz w:w="11906" w:h="16838"/>
          <w:pgMar w:top="2324" w:right="1134" w:bottom="1417" w:left="1134" w:header="993" w:footer="708" w:gutter="0"/>
          <w:cols w:num="2" w:space="340"/>
          <w:titlePg/>
          <w:docGrid w:linePitch="326"/>
        </w:sectPr>
      </w:pPr>
    </w:p>
    <w:p w14:paraId="082480A0" w14:textId="77777777" w:rsidR="002E5C09" w:rsidRPr="00923C34" w:rsidRDefault="002E5C09" w:rsidP="00C65F4A">
      <w:pPr>
        <w:widowControl/>
        <w:suppressAutoHyphens w:val="0"/>
        <w:rPr>
          <w:rFonts w:eastAsiaTheme="minorHAnsi" w:cs="Times New Roman"/>
          <w:b/>
          <w:noProof/>
          <w:kern w:val="0"/>
          <w:sz w:val="18"/>
          <w:szCs w:val="16"/>
          <w:lang w:val="en-US" w:eastAsia="en-US" w:bidi="ar-SA"/>
        </w:rPr>
      </w:pPr>
    </w:p>
    <w:sectPr w:rsidR="002E5C09" w:rsidRPr="00923C34" w:rsidSect="00165AAE">
      <w:type w:val="continuous"/>
      <w:pgSz w:w="11906" w:h="16838"/>
      <w:pgMar w:top="2324" w:right="1134" w:bottom="1417" w:left="1134" w:header="96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B9418" w14:textId="77777777" w:rsidR="006B400F" w:rsidRDefault="006B400F">
      <w:r>
        <w:separator/>
      </w:r>
    </w:p>
  </w:endnote>
  <w:endnote w:type="continuationSeparator" w:id="0">
    <w:p w14:paraId="0D5D9603" w14:textId="77777777" w:rsidR="006B400F" w:rsidRDefault="006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MMI1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C9FD7" w14:textId="77777777" w:rsidR="003E3364" w:rsidRDefault="003E336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E1B99" w14:textId="77777777" w:rsidR="003E3364" w:rsidRDefault="003E336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CEEDF" w14:textId="77777777" w:rsidR="003E3364" w:rsidRDefault="003E33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91D07" w14:textId="77777777" w:rsidR="006B400F" w:rsidRDefault="006B400F">
      <w:r>
        <w:separator/>
      </w:r>
    </w:p>
  </w:footnote>
  <w:footnote w:type="continuationSeparator" w:id="0">
    <w:p w14:paraId="36F3C2B0" w14:textId="77777777" w:rsidR="006B400F" w:rsidRDefault="006B4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0BEE" w14:textId="77777777" w:rsidR="003E3364" w:rsidRDefault="003E33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4B34E" w14:textId="77777777" w:rsidR="003E3364" w:rsidRDefault="003E3364" w:rsidP="004857A6">
    <w:pPr>
      <w:pStyle w:val="Nagwek"/>
      <w:rPr>
        <w:sz w:val="18"/>
        <w:szCs w:val="18"/>
        <w:lang w:val="en-GB"/>
      </w:rPr>
    </w:pPr>
    <w:r w:rsidRPr="00490154">
      <w:rPr>
        <w:sz w:val="18"/>
        <w:szCs w:val="18"/>
        <w:lang w:val="en-GB"/>
      </w:rPr>
      <w:t>17th IMEKO TC 10 and EUROLAB Virtual Conference</w:t>
    </w:r>
  </w:p>
  <w:p w14:paraId="2A5F8557" w14:textId="77777777" w:rsidR="003E3364" w:rsidRPr="00490154" w:rsidRDefault="003E3364" w:rsidP="004857A6">
    <w:pPr>
      <w:pStyle w:val="Nagwek"/>
      <w:rPr>
        <w:i/>
        <w:iCs/>
        <w:sz w:val="18"/>
        <w:szCs w:val="18"/>
        <w:lang w:val="en-GB"/>
      </w:rPr>
    </w:pPr>
    <w:r w:rsidRPr="00490154">
      <w:rPr>
        <w:i/>
        <w:iCs/>
        <w:sz w:val="18"/>
        <w:szCs w:val="18"/>
        <w:lang w:val="en-GB"/>
      </w:rPr>
      <w:t xml:space="preserve">“Global Trends in Testing, Diagnostics &amp; Inspection for 2030” </w:t>
    </w:r>
  </w:p>
  <w:p w14:paraId="2D8B1174" w14:textId="77777777" w:rsidR="003E3364" w:rsidRPr="009B3356" w:rsidRDefault="003E3364" w:rsidP="004857A6">
    <w:pPr>
      <w:pStyle w:val="Nagwek"/>
      <w:rPr>
        <w:sz w:val="28"/>
        <w:szCs w:val="28"/>
        <w:lang w:val="en-GB"/>
      </w:rPr>
    </w:pPr>
    <w:r w:rsidRPr="00490154">
      <w:rPr>
        <w:sz w:val="18"/>
        <w:szCs w:val="18"/>
        <w:lang w:val="en-GB"/>
      </w:rPr>
      <w:t>October 20-22,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E89FD" w14:textId="77777777" w:rsidR="003E3364" w:rsidRDefault="003E3364" w:rsidP="00490154">
    <w:pPr>
      <w:pStyle w:val="Nagwek"/>
      <w:rPr>
        <w:sz w:val="18"/>
        <w:szCs w:val="18"/>
        <w:lang w:val="en-GB"/>
      </w:rPr>
    </w:pPr>
    <w:r w:rsidRPr="00490154">
      <w:rPr>
        <w:sz w:val="18"/>
        <w:szCs w:val="18"/>
        <w:lang w:val="en-GB"/>
      </w:rPr>
      <w:t>17th IMEKO TC 10 and EUROLAB Virtual Conference</w:t>
    </w:r>
  </w:p>
  <w:p w14:paraId="66FFF18B" w14:textId="77777777" w:rsidR="003E3364" w:rsidRPr="00490154" w:rsidRDefault="003E3364" w:rsidP="00490154">
    <w:pPr>
      <w:pStyle w:val="Nagwek"/>
      <w:rPr>
        <w:i/>
        <w:iCs/>
        <w:sz w:val="18"/>
        <w:szCs w:val="18"/>
        <w:lang w:val="en-GB"/>
      </w:rPr>
    </w:pPr>
    <w:r w:rsidRPr="00490154">
      <w:rPr>
        <w:i/>
        <w:iCs/>
        <w:sz w:val="18"/>
        <w:szCs w:val="18"/>
        <w:lang w:val="en-GB"/>
      </w:rPr>
      <w:t xml:space="preserve">“Global Trends in Testing, Diagnostics &amp; Inspection for 2030” </w:t>
    </w:r>
  </w:p>
  <w:p w14:paraId="627DA95F" w14:textId="1A23B5BE" w:rsidR="003E3364" w:rsidRPr="009B3356" w:rsidRDefault="003E3364" w:rsidP="00490154">
    <w:pPr>
      <w:pStyle w:val="Nagwek"/>
      <w:rPr>
        <w:sz w:val="28"/>
        <w:szCs w:val="28"/>
        <w:lang w:val="en-GB"/>
      </w:rPr>
    </w:pPr>
    <w:r w:rsidRPr="00490154">
      <w:rPr>
        <w:sz w:val="18"/>
        <w:szCs w:val="18"/>
        <w:lang w:val="en-GB"/>
      </w:rPr>
      <w:t>October 20-22, 2020.</w:t>
    </w:r>
  </w:p>
  <w:p w14:paraId="09D79F9F" w14:textId="77777777" w:rsidR="003E3364" w:rsidRPr="00176DCE" w:rsidRDefault="003E3364" w:rsidP="00125967">
    <w:pPr>
      <w:pStyle w:val="Nagwek"/>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A8F4E0"/>
    <w:lvl w:ilvl="0">
      <w:start w:val="1"/>
      <w:numFmt w:val="decimal"/>
      <w:lvlText w:val="%1."/>
      <w:lvlJc w:val="left"/>
      <w:pPr>
        <w:tabs>
          <w:tab w:val="num" w:pos="1492"/>
        </w:tabs>
        <w:ind w:left="1492" w:hanging="360"/>
      </w:pPr>
    </w:lvl>
  </w:abstractNum>
  <w:abstractNum w:abstractNumId="1">
    <w:nsid w:val="FFFFFF7D"/>
    <w:multiLevelType w:val="singleLevel"/>
    <w:tmpl w:val="BED214F4"/>
    <w:lvl w:ilvl="0">
      <w:start w:val="1"/>
      <w:numFmt w:val="decimal"/>
      <w:lvlText w:val="%1."/>
      <w:lvlJc w:val="left"/>
      <w:pPr>
        <w:tabs>
          <w:tab w:val="num" w:pos="1209"/>
        </w:tabs>
        <w:ind w:left="1209" w:hanging="360"/>
      </w:pPr>
    </w:lvl>
  </w:abstractNum>
  <w:abstractNum w:abstractNumId="2">
    <w:nsid w:val="FFFFFF7E"/>
    <w:multiLevelType w:val="singleLevel"/>
    <w:tmpl w:val="FBE2BA9C"/>
    <w:lvl w:ilvl="0">
      <w:start w:val="1"/>
      <w:numFmt w:val="decimal"/>
      <w:lvlText w:val="%1."/>
      <w:lvlJc w:val="left"/>
      <w:pPr>
        <w:tabs>
          <w:tab w:val="num" w:pos="926"/>
        </w:tabs>
        <w:ind w:left="926" w:hanging="360"/>
      </w:pPr>
    </w:lvl>
  </w:abstractNum>
  <w:abstractNum w:abstractNumId="3">
    <w:nsid w:val="FFFFFF7F"/>
    <w:multiLevelType w:val="singleLevel"/>
    <w:tmpl w:val="A51CC666"/>
    <w:lvl w:ilvl="0">
      <w:start w:val="1"/>
      <w:numFmt w:val="decimal"/>
      <w:lvlText w:val="%1."/>
      <w:lvlJc w:val="left"/>
      <w:pPr>
        <w:tabs>
          <w:tab w:val="num" w:pos="643"/>
        </w:tabs>
        <w:ind w:left="643" w:hanging="360"/>
      </w:pPr>
    </w:lvl>
  </w:abstractNum>
  <w:abstractNum w:abstractNumId="4">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32B992"/>
    <w:lvl w:ilvl="0">
      <w:start w:val="1"/>
      <w:numFmt w:val="decimal"/>
      <w:lvlText w:val="%1."/>
      <w:lvlJc w:val="left"/>
      <w:pPr>
        <w:tabs>
          <w:tab w:val="num" w:pos="360"/>
        </w:tabs>
        <w:ind w:left="360" w:hanging="360"/>
      </w:pPr>
    </w:lvl>
  </w:abstractNum>
  <w:abstractNum w:abstractNumId="9">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Nagwek1"/>
      <w:lvlText w:val="%1"/>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DFE87FA0"/>
    <w:name w:val="Numerazione 1"/>
    <w:lvl w:ilvl="0">
      <w:start w:val="1"/>
      <w:numFmt w:val="upperRoman"/>
      <w:pStyle w:val="Sectionheading"/>
      <w:lvlText w:val=" %1."/>
      <w:lvlJc w:val="right"/>
      <w:pPr>
        <w:tabs>
          <w:tab w:val="num" w:pos="425"/>
        </w:tabs>
        <w:ind w:left="425" w:hanging="283"/>
      </w:pPr>
      <w:rPr>
        <w:rFonts w:cs="Times New Roman"/>
        <w:lang w:val="en-US"/>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nsid w:val="083059D4"/>
    <w:multiLevelType w:val="hybridMultilevel"/>
    <w:tmpl w:val="CC64CA2E"/>
    <w:lvl w:ilvl="0" w:tplc="050A89BA">
      <w:start w:val="1"/>
      <w:numFmt w:val="decimal"/>
      <w:pStyle w:val="Wykazrde"/>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nsid w:val="193A06A7"/>
    <w:multiLevelType w:val="hybridMultilevel"/>
    <w:tmpl w:val="4008F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A974275"/>
    <w:multiLevelType w:val="multilevel"/>
    <w:tmpl w:val="9A24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596250"/>
    <w:multiLevelType w:val="multilevel"/>
    <w:tmpl w:val="C320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6F2330"/>
    <w:multiLevelType w:val="hybridMultilevel"/>
    <w:tmpl w:val="710C4AD8"/>
    <w:lvl w:ilvl="0" w:tplc="03ECF284">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2">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23">
    <w:nsid w:val="5B5926C2"/>
    <w:multiLevelType w:val="hybridMultilevel"/>
    <w:tmpl w:val="17240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AE5F2C"/>
    <w:multiLevelType w:val="multilevel"/>
    <w:tmpl w:val="AFA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BF0655"/>
    <w:multiLevelType w:val="singleLevel"/>
    <w:tmpl w:val="10E0A9A4"/>
    <w:lvl w:ilvl="0">
      <w:start w:val="1"/>
      <w:numFmt w:val="bullet"/>
      <w:lvlText w:val="-"/>
      <w:lvlJc w:val="left"/>
      <w:pPr>
        <w:tabs>
          <w:tab w:val="num" w:pos="720"/>
        </w:tabs>
        <w:ind w:left="720" w:hanging="360"/>
      </w:pPr>
      <w:rPr>
        <w:rFonts w:hint="default"/>
      </w:rPr>
    </w:lvl>
  </w:abstractNum>
  <w:abstractNum w:abstractNumId="26">
    <w:nsid w:val="6EDD5385"/>
    <w:multiLevelType w:val="hybridMultilevel"/>
    <w:tmpl w:val="99B89020"/>
    <w:name w:val="Table2"/>
    <w:lvl w:ilvl="0" w:tplc="872E799E">
      <w:start w:val="1"/>
      <w:numFmt w:val="decimal"/>
      <w:pStyle w:val="Literature"/>
      <w:lvlText w:val="[%1]"/>
      <w:lvlJc w:val="left"/>
      <w:pPr>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8">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27"/>
  </w:num>
  <w:num w:numId="7">
    <w:abstractNumId w:val="21"/>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8"/>
  </w:num>
  <w:num w:numId="26">
    <w:abstractNumId w:val="26"/>
  </w:num>
  <w:num w:numId="27">
    <w:abstractNumId w:val="17"/>
  </w:num>
  <w:num w:numId="28">
    <w:abstractNumId w:val="25"/>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azMDI3MrewNDQ2szRQ0lEKTi0uzszPAykwrgUAE2VeRSwAAAA="/>
  </w:docVars>
  <w:rsids>
    <w:rsidRoot w:val="007927F5"/>
    <w:rsid w:val="00005888"/>
    <w:rsid w:val="0001205F"/>
    <w:rsid w:val="0002113A"/>
    <w:rsid w:val="00023E47"/>
    <w:rsid w:val="00026FE9"/>
    <w:rsid w:val="000335EE"/>
    <w:rsid w:val="00033972"/>
    <w:rsid w:val="00036701"/>
    <w:rsid w:val="00036B2B"/>
    <w:rsid w:val="00047A81"/>
    <w:rsid w:val="0006164A"/>
    <w:rsid w:val="000757C4"/>
    <w:rsid w:val="000767AC"/>
    <w:rsid w:val="0007701D"/>
    <w:rsid w:val="00082A98"/>
    <w:rsid w:val="00083B9A"/>
    <w:rsid w:val="000A31D7"/>
    <w:rsid w:val="000A70D8"/>
    <w:rsid w:val="000B00DA"/>
    <w:rsid w:val="000B3320"/>
    <w:rsid w:val="000B6DDC"/>
    <w:rsid w:val="000D0AF2"/>
    <w:rsid w:val="000E3485"/>
    <w:rsid w:val="000E50C8"/>
    <w:rsid w:val="000E5E16"/>
    <w:rsid w:val="000F5F48"/>
    <w:rsid w:val="0010085B"/>
    <w:rsid w:val="00100E67"/>
    <w:rsid w:val="0010128E"/>
    <w:rsid w:val="00104602"/>
    <w:rsid w:val="00111A6F"/>
    <w:rsid w:val="001143C8"/>
    <w:rsid w:val="001255EB"/>
    <w:rsid w:val="00125967"/>
    <w:rsid w:val="00126A4B"/>
    <w:rsid w:val="00131BDC"/>
    <w:rsid w:val="001372C7"/>
    <w:rsid w:val="00143C29"/>
    <w:rsid w:val="00144DC7"/>
    <w:rsid w:val="00153818"/>
    <w:rsid w:val="00154408"/>
    <w:rsid w:val="00160774"/>
    <w:rsid w:val="0016321F"/>
    <w:rsid w:val="00165AAE"/>
    <w:rsid w:val="00176DCE"/>
    <w:rsid w:val="00187C0C"/>
    <w:rsid w:val="001974DB"/>
    <w:rsid w:val="001A1B86"/>
    <w:rsid w:val="001C7506"/>
    <w:rsid w:val="001D024E"/>
    <w:rsid w:val="001D0613"/>
    <w:rsid w:val="001D5AFB"/>
    <w:rsid w:val="001E5488"/>
    <w:rsid w:val="001E6969"/>
    <w:rsid w:val="001E7007"/>
    <w:rsid w:val="001F0A89"/>
    <w:rsid w:val="001F3772"/>
    <w:rsid w:val="001F58C2"/>
    <w:rsid w:val="001F5B78"/>
    <w:rsid w:val="00203785"/>
    <w:rsid w:val="002075B9"/>
    <w:rsid w:val="0023169A"/>
    <w:rsid w:val="0023300D"/>
    <w:rsid w:val="00241564"/>
    <w:rsid w:val="0024637B"/>
    <w:rsid w:val="0024688A"/>
    <w:rsid w:val="002504C3"/>
    <w:rsid w:val="00252DBC"/>
    <w:rsid w:val="002635AE"/>
    <w:rsid w:val="002647BF"/>
    <w:rsid w:val="002666CA"/>
    <w:rsid w:val="00272BF9"/>
    <w:rsid w:val="00272F6A"/>
    <w:rsid w:val="00273ADD"/>
    <w:rsid w:val="002827E7"/>
    <w:rsid w:val="002A11E6"/>
    <w:rsid w:val="002A7C4A"/>
    <w:rsid w:val="002A7F8C"/>
    <w:rsid w:val="002D0ADF"/>
    <w:rsid w:val="002D1AB4"/>
    <w:rsid w:val="002D39D8"/>
    <w:rsid w:val="002D55E1"/>
    <w:rsid w:val="002D719A"/>
    <w:rsid w:val="002E4553"/>
    <w:rsid w:val="002E5C09"/>
    <w:rsid w:val="002F6062"/>
    <w:rsid w:val="002F69F4"/>
    <w:rsid w:val="0030362C"/>
    <w:rsid w:val="003048C2"/>
    <w:rsid w:val="0031603E"/>
    <w:rsid w:val="00321605"/>
    <w:rsid w:val="003226C2"/>
    <w:rsid w:val="00330C5D"/>
    <w:rsid w:val="00336465"/>
    <w:rsid w:val="003454C9"/>
    <w:rsid w:val="00366EFE"/>
    <w:rsid w:val="00370DE7"/>
    <w:rsid w:val="003931D2"/>
    <w:rsid w:val="00397D92"/>
    <w:rsid w:val="003A3638"/>
    <w:rsid w:val="003B2426"/>
    <w:rsid w:val="003B307B"/>
    <w:rsid w:val="003C3554"/>
    <w:rsid w:val="003C3936"/>
    <w:rsid w:val="003C4841"/>
    <w:rsid w:val="003C55DD"/>
    <w:rsid w:val="003D1671"/>
    <w:rsid w:val="003E0F28"/>
    <w:rsid w:val="003E1952"/>
    <w:rsid w:val="003E27DC"/>
    <w:rsid w:val="003E3364"/>
    <w:rsid w:val="003F5C75"/>
    <w:rsid w:val="003F7DEF"/>
    <w:rsid w:val="004115B0"/>
    <w:rsid w:val="00422ED7"/>
    <w:rsid w:val="004258DD"/>
    <w:rsid w:val="00430B5C"/>
    <w:rsid w:val="0043114F"/>
    <w:rsid w:val="0045455E"/>
    <w:rsid w:val="004653E6"/>
    <w:rsid w:val="004660FA"/>
    <w:rsid w:val="00475443"/>
    <w:rsid w:val="00477E3F"/>
    <w:rsid w:val="0048170D"/>
    <w:rsid w:val="004857A6"/>
    <w:rsid w:val="00487CA6"/>
    <w:rsid w:val="00490154"/>
    <w:rsid w:val="00495145"/>
    <w:rsid w:val="004971AC"/>
    <w:rsid w:val="004A0865"/>
    <w:rsid w:val="004A13AA"/>
    <w:rsid w:val="004C3DBB"/>
    <w:rsid w:val="004C5297"/>
    <w:rsid w:val="004D2E25"/>
    <w:rsid w:val="004D403D"/>
    <w:rsid w:val="004D60C8"/>
    <w:rsid w:val="004F0924"/>
    <w:rsid w:val="004F5E38"/>
    <w:rsid w:val="004F6C99"/>
    <w:rsid w:val="00500A31"/>
    <w:rsid w:val="00503601"/>
    <w:rsid w:val="0051495E"/>
    <w:rsid w:val="005169FB"/>
    <w:rsid w:val="00517FDC"/>
    <w:rsid w:val="005245CC"/>
    <w:rsid w:val="00534D03"/>
    <w:rsid w:val="0055001D"/>
    <w:rsid w:val="005632FA"/>
    <w:rsid w:val="0057358F"/>
    <w:rsid w:val="00574D65"/>
    <w:rsid w:val="005755C7"/>
    <w:rsid w:val="0058587C"/>
    <w:rsid w:val="005876E5"/>
    <w:rsid w:val="00595416"/>
    <w:rsid w:val="00596DF6"/>
    <w:rsid w:val="005A0AC3"/>
    <w:rsid w:val="005A0DB2"/>
    <w:rsid w:val="005A4FB2"/>
    <w:rsid w:val="005A51C1"/>
    <w:rsid w:val="005A5652"/>
    <w:rsid w:val="005A75A4"/>
    <w:rsid w:val="005A7F16"/>
    <w:rsid w:val="005B0E7C"/>
    <w:rsid w:val="005B7064"/>
    <w:rsid w:val="005E371B"/>
    <w:rsid w:val="005E6809"/>
    <w:rsid w:val="00600BC0"/>
    <w:rsid w:val="006030C6"/>
    <w:rsid w:val="0062370A"/>
    <w:rsid w:val="00630331"/>
    <w:rsid w:val="00636BCF"/>
    <w:rsid w:val="00650BD0"/>
    <w:rsid w:val="00654D32"/>
    <w:rsid w:val="00666521"/>
    <w:rsid w:val="00674E6A"/>
    <w:rsid w:val="0068423F"/>
    <w:rsid w:val="00685FE7"/>
    <w:rsid w:val="00696111"/>
    <w:rsid w:val="006A16F5"/>
    <w:rsid w:val="006B3029"/>
    <w:rsid w:val="006B3349"/>
    <w:rsid w:val="006B3BBC"/>
    <w:rsid w:val="006B400F"/>
    <w:rsid w:val="006C1242"/>
    <w:rsid w:val="006C12C9"/>
    <w:rsid w:val="006D1F86"/>
    <w:rsid w:val="006D712B"/>
    <w:rsid w:val="006E5521"/>
    <w:rsid w:val="006F159F"/>
    <w:rsid w:val="006F346A"/>
    <w:rsid w:val="00700802"/>
    <w:rsid w:val="0073068A"/>
    <w:rsid w:val="00731E04"/>
    <w:rsid w:val="00760B6E"/>
    <w:rsid w:val="00763036"/>
    <w:rsid w:val="00763A95"/>
    <w:rsid w:val="00765C55"/>
    <w:rsid w:val="00766091"/>
    <w:rsid w:val="007670E8"/>
    <w:rsid w:val="00783BDD"/>
    <w:rsid w:val="007916F0"/>
    <w:rsid w:val="007927F5"/>
    <w:rsid w:val="00796C53"/>
    <w:rsid w:val="007A20B3"/>
    <w:rsid w:val="007A239F"/>
    <w:rsid w:val="007A3047"/>
    <w:rsid w:val="007A70F0"/>
    <w:rsid w:val="007C127F"/>
    <w:rsid w:val="007D2C12"/>
    <w:rsid w:val="007D336F"/>
    <w:rsid w:val="007D4EB0"/>
    <w:rsid w:val="007E1127"/>
    <w:rsid w:val="007E1F4E"/>
    <w:rsid w:val="007E20FD"/>
    <w:rsid w:val="008024C1"/>
    <w:rsid w:val="00805F46"/>
    <w:rsid w:val="00805F62"/>
    <w:rsid w:val="00807580"/>
    <w:rsid w:val="00812A9F"/>
    <w:rsid w:val="00813CF5"/>
    <w:rsid w:val="00820F49"/>
    <w:rsid w:val="00825257"/>
    <w:rsid w:val="00825566"/>
    <w:rsid w:val="00841ECA"/>
    <w:rsid w:val="00845494"/>
    <w:rsid w:val="00847525"/>
    <w:rsid w:val="00863814"/>
    <w:rsid w:val="0086526D"/>
    <w:rsid w:val="0087488F"/>
    <w:rsid w:val="008952FF"/>
    <w:rsid w:val="008A0995"/>
    <w:rsid w:val="008A12A7"/>
    <w:rsid w:val="008A5369"/>
    <w:rsid w:val="008B1396"/>
    <w:rsid w:val="008B3416"/>
    <w:rsid w:val="008B6608"/>
    <w:rsid w:val="008C130A"/>
    <w:rsid w:val="008D4AB1"/>
    <w:rsid w:val="008E2180"/>
    <w:rsid w:val="008E222F"/>
    <w:rsid w:val="008E3F0C"/>
    <w:rsid w:val="008E6FEA"/>
    <w:rsid w:val="008E73DE"/>
    <w:rsid w:val="008F0B3B"/>
    <w:rsid w:val="008F5534"/>
    <w:rsid w:val="008F6401"/>
    <w:rsid w:val="00902829"/>
    <w:rsid w:val="009200E7"/>
    <w:rsid w:val="0092193B"/>
    <w:rsid w:val="00923C34"/>
    <w:rsid w:val="009279AD"/>
    <w:rsid w:val="00933428"/>
    <w:rsid w:val="00936C65"/>
    <w:rsid w:val="00956557"/>
    <w:rsid w:val="0097024B"/>
    <w:rsid w:val="009726D0"/>
    <w:rsid w:val="00975800"/>
    <w:rsid w:val="00981040"/>
    <w:rsid w:val="00983861"/>
    <w:rsid w:val="0098580A"/>
    <w:rsid w:val="00991A23"/>
    <w:rsid w:val="0099290C"/>
    <w:rsid w:val="009934B8"/>
    <w:rsid w:val="00994272"/>
    <w:rsid w:val="00995689"/>
    <w:rsid w:val="009A74CB"/>
    <w:rsid w:val="009B1E7B"/>
    <w:rsid w:val="009B3356"/>
    <w:rsid w:val="009D0EC9"/>
    <w:rsid w:val="009E1168"/>
    <w:rsid w:val="009F1AA7"/>
    <w:rsid w:val="009F55B9"/>
    <w:rsid w:val="00A136A5"/>
    <w:rsid w:val="00A23459"/>
    <w:rsid w:val="00A26386"/>
    <w:rsid w:val="00A33A63"/>
    <w:rsid w:val="00A36F9F"/>
    <w:rsid w:val="00A44629"/>
    <w:rsid w:val="00A50011"/>
    <w:rsid w:val="00A54441"/>
    <w:rsid w:val="00A649CA"/>
    <w:rsid w:val="00A762A0"/>
    <w:rsid w:val="00A802B5"/>
    <w:rsid w:val="00A862D3"/>
    <w:rsid w:val="00A93B08"/>
    <w:rsid w:val="00AB41C6"/>
    <w:rsid w:val="00AB5094"/>
    <w:rsid w:val="00AB650B"/>
    <w:rsid w:val="00AB7025"/>
    <w:rsid w:val="00AB7858"/>
    <w:rsid w:val="00AC50F7"/>
    <w:rsid w:val="00AC6D50"/>
    <w:rsid w:val="00AD14DE"/>
    <w:rsid w:val="00AD2441"/>
    <w:rsid w:val="00AD39D4"/>
    <w:rsid w:val="00AE4966"/>
    <w:rsid w:val="00AE4E50"/>
    <w:rsid w:val="00AF12F2"/>
    <w:rsid w:val="00B05991"/>
    <w:rsid w:val="00B05B1D"/>
    <w:rsid w:val="00B21A61"/>
    <w:rsid w:val="00B26A2E"/>
    <w:rsid w:val="00B34E6E"/>
    <w:rsid w:val="00B354A8"/>
    <w:rsid w:val="00B531EC"/>
    <w:rsid w:val="00B62F5C"/>
    <w:rsid w:val="00B6385A"/>
    <w:rsid w:val="00B7490D"/>
    <w:rsid w:val="00B74E6D"/>
    <w:rsid w:val="00B76B91"/>
    <w:rsid w:val="00B806D5"/>
    <w:rsid w:val="00B81541"/>
    <w:rsid w:val="00B82BE5"/>
    <w:rsid w:val="00B84E4E"/>
    <w:rsid w:val="00B85442"/>
    <w:rsid w:val="00B96DC1"/>
    <w:rsid w:val="00B97521"/>
    <w:rsid w:val="00BA0391"/>
    <w:rsid w:val="00BA7831"/>
    <w:rsid w:val="00BC51AB"/>
    <w:rsid w:val="00BC594C"/>
    <w:rsid w:val="00BD09FF"/>
    <w:rsid w:val="00BD3665"/>
    <w:rsid w:val="00BD41BD"/>
    <w:rsid w:val="00BD4C2B"/>
    <w:rsid w:val="00BD7B10"/>
    <w:rsid w:val="00BE07B4"/>
    <w:rsid w:val="00BE4A15"/>
    <w:rsid w:val="00BF032C"/>
    <w:rsid w:val="00C07470"/>
    <w:rsid w:val="00C11F6A"/>
    <w:rsid w:val="00C1443A"/>
    <w:rsid w:val="00C17664"/>
    <w:rsid w:val="00C17EA3"/>
    <w:rsid w:val="00C25CD5"/>
    <w:rsid w:val="00C37879"/>
    <w:rsid w:val="00C402D4"/>
    <w:rsid w:val="00C40373"/>
    <w:rsid w:val="00C6135A"/>
    <w:rsid w:val="00C65F4A"/>
    <w:rsid w:val="00C66869"/>
    <w:rsid w:val="00C71A72"/>
    <w:rsid w:val="00C8028C"/>
    <w:rsid w:val="00CB0918"/>
    <w:rsid w:val="00CB31E5"/>
    <w:rsid w:val="00CC0D5A"/>
    <w:rsid w:val="00CE2EDE"/>
    <w:rsid w:val="00CE2F03"/>
    <w:rsid w:val="00CF170C"/>
    <w:rsid w:val="00CF1F2D"/>
    <w:rsid w:val="00D21EAE"/>
    <w:rsid w:val="00D251FB"/>
    <w:rsid w:val="00D30FDC"/>
    <w:rsid w:val="00D316DD"/>
    <w:rsid w:val="00D34D21"/>
    <w:rsid w:val="00D37C7E"/>
    <w:rsid w:val="00D37D4F"/>
    <w:rsid w:val="00D42A8F"/>
    <w:rsid w:val="00D474FC"/>
    <w:rsid w:val="00D512D0"/>
    <w:rsid w:val="00D5306D"/>
    <w:rsid w:val="00D5465D"/>
    <w:rsid w:val="00D56770"/>
    <w:rsid w:val="00D70434"/>
    <w:rsid w:val="00D8329D"/>
    <w:rsid w:val="00D911F1"/>
    <w:rsid w:val="00D91C22"/>
    <w:rsid w:val="00DA27CF"/>
    <w:rsid w:val="00DA30B3"/>
    <w:rsid w:val="00DA3DBC"/>
    <w:rsid w:val="00DB3FB3"/>
    <w:rsid w:val="00DB43F2"/>
    <w:rsid w:val="00DB452A"/>
    <w:rsid w:val="00DC2F05"/>
    <w:rsid w:val="00DC4355"/>
    <w:rsid w:val="00DC7F25"/>
    <w:rsid w:val="00DD0B76"/>
    <w:rsid w:val="00DF2B11"/>
    <w:rsid w:val="00E01BDF"/>
    <w:rsid w:val="00E200D8"/>
    <w:rsid w:val="00E4306C"/>
    <w:rsid w:val="00E47D17"/>
    <w:rsid w:val="00E50E73"/>
    <w:rsid w:val="00E510D3"/>
    <w:rsid w:val="00E51DC5"/>
    <w:rsid w:val="00E6097C"/>
    <w:rsid w:val="00E70F1B"/>
    <w:rsid w:val="00E872C9"/>
    <w:rsid w:val="00E947B5"/>
    <w:rsid w:val="00E96E84"/>
    <w:rsid w:val="00EA0312"/>
    <w:rsid w:val="00EA27DB"/>
    <w:rsid w:val="00EB38AB"/>
    <w:rsid w:val="00EB3960"/>
    <w:rsid w:val="00ED3604"/>
    <w:rsid w:val="00ED72FE"/>
    <w:rsid w:val="00ED7B28"/>
    <w:rsid w:val="00EE67A1"/>
    <w:rsid w:val="00EF1DC1"/>
    <w:rsid w:val="00EF3E78"/>
    <w:rsid w:val="00EF5AB4"/>
    <w:rsid w:val="00F019EC"/>
    <w:rsid w:val="00F126CB"/>
    <w:rsid w:val="00F135C6"/>
    <w:rsid w:val="00F21EA6"/>
    <w:rsid w:val="00F253A6"/>
    <w:rsid w:val="00F40EC1"/>
    <w:rsid w:val="00F45C5F"/>
    <w:rsid w:val="00F526BB"/>
    <w:rsid w:val="00F52F22"/>
    <w:rsid w:val="00F55707"/>
    <w:rsid w:val="00F55A84"/>
    <w:rsid w:val="00F600C2"/>
    <w:rsid w:val="00F65723"/>
    <w:rsid w:val="00FB6935"/>
    <w:rsid w:val="00FC5436"/>
    <w:rsid w:val="00FD3B98"/>
    <w:rsid w:val="00FD56D0"/>
    <w:rsid w:val="00FE0776"/>
    <w:rsid w:val="00FE5B3F"/>
    <w:rsid w:val="00FF74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55C7"/>
    <w:pPr>
      <w:widowControl w:val="0"/>
      <w:suppressAutoHyphens/>
    </w:pPr>
    <w:rPr>
      <w:rFonts w:eastAsia="SimSun" w:cs="Mangal"/>
      <w:kern w:val="1"/>
      <w:sz w:val="24"/>
      <w:szCs w:val="24"/>
      <w:lang w:val="it-IT" w:eastAsia="zh-CN" w:bidi="hi-IN"/>
    </w:rPr>
  </w:style>
  <w:style w:type="paragraph" w:styleId="Nagwek1">
    <w:name w:val="heading 1"/>
    <w:basedOn w:val="Intestazione1"/>
    <w:next w:val="Tekstpodstawowy"/>
    <w:link w:val="Nagwek1Znak"/>
    <w:uiPriority w:val="99"/>
    <w:qFormat/>
    <w:rsid w:val="00165AAE"/>
    <w:pPr>
      <w:numPr>
        <w:numId w:val="1"/>
      </w:numPr>
      <w:outlineLvl w:val="0"/>
    </w:pPr>
    <w:rPr>
      <w:b/>
      <w:bCs/>
      <w:sz w:val="32"/>
      <w:szCs w:val="32"/>
    </w:rPr>
  </w:style>
  <w:style w:type="paragraph" w:styleId="Nagwek2">
    <w:name w:val="heading 2"/>
    <w:basedOn w:val="Intestazione1"/>
    <w:next w:val="Tekstpodstawowy"/>
    <w:link w:val="Nagwek2Znak"/>
    <w:uiPriority w:val="99"/>
    <w:qFormat/>
    <w:rsid w:val="00165AAE"/>
    <w:pPr>
      <w:numPr>
        <w:ilvl w:val="1"/>
        <w:numId w:val="1"/>
      </w:numPr>
      <w:outlineLvl w:val="1"/>
    </w:pPr>
    <w:rPr>
      <w:b/>
      <w:bCs/>
      <w:i/>
      <w:iCs/>
    </w:rPr>
  </w:style>
  <w:style w:type="paragraph" w:styleId="Nagwek3">
    <w:name w:val="heading 3"/>
    <w:basedOn w:val="Intestazione1"/>
    <w:next w:val="Tekstpodstawowy"/>
    <w:link w:val="Nagwek3Znak"/>
    <w:uiPriority w:val="99"/>
    <w:qFormat/>
    <w:rsid w:val="00165AAE"/>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61997"/>
    <w:rPr>
      <w:rFonts w:ascii="Cambria" w:eastAsia="Times New Roman" w:hAnsi="Cambria" w:cs="Mangal"/>
      <w:b/>
      <w:bCs/>
      <w:kern w:val="32"/>
      <w:sz w:val="32"/>
      <w:szCs w:val="29"/>
      <w:lang w:val="it-IT" w:eastAsia="zh-CN" w:bidi="hi-IN"/>
    </w:rPr>
  </w:style>
  <w:style w:type="character" w:customStyle="1" w:styleId="Nagwek2Znak">
    <w:name w:val="Nagłówek 2 Znak"/>
    <w:link w:val="Nagwek2"/>
    <w:uiPriority w:val="9"/>
    <w:semiHidden/>
    <w:rsid w:val="00D61997"/>
    <w:rPr>
      <w:rFonts w:ascii="Cambria" w:eastAsia="Times New Roman" w:hAnsi="Cambria" w:cs="Mangal"/>
      <w:b/>
      <w:bCs/>
      <w:i/>
      <w:iCs/>
      <w:kern w:val="1"/>
      <w:sz w:val="28"/>
      <w:szCs w:val="25"/>
      <w:lang w:val="it-IT" w:eastAsia="zh-CN" w:bidi="hi-IN"/>
    </w:rPr>
  </w:style>
  <w:style w:type="character" w:customStyle="1" w:styleId="Nagwek3Znak">
    <w:name w:val="Nagłówek 3 Znak"/>
    <w:link w:val="Nagwek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ipercze">
    <w:name w:val="Hyperlink"/>
    <w:uiPriority w:val="99"/>
    <w:rsid w:val="00165AAE"/>
    <w:rPr>
      <w:rFonts w:cs="Times New Roman"/>
      <w:color w:val="000080"/>
      <w:u w:val="single"/>
    </w:rPr>
  </w:style>
  <w:style w:type="paragraph" w:customStyle="1" w:styleId="Intestazione1">
    <w:name w:val="Intestazione1"/>
    <w:basedOn w:val="Normalny"/>
    <w:next w:val="Tekstpodstawowy"/>
    <w:uiPriority w:val="99"/>
    <w:rsid w:val="00165AAE"/>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99"/>
    <w:rsid w:val="00165AAE"/>
    <w:pPr>
      <w:spacing w:after="120"/>
    </w:pPr>
  </w:style>
  <w:style w:type="character" w:customStyle="1" w:styleId="TekstpodstawowyZnak">
    <w:name w:val="Tekst podstawowy Znak"/>
    <w:link w:val="Tekstpodstawowy"/>
    <w:uiPriority w:val="99"/>
    <w:semiHidden/>
    <w:rsid w:val="00D61997"/>
    <w:rPr>
      <w:rFonts w:eastAsia="SimSun" w:cs="Mangal"/>
      <w:kern w:val="1"/>
      <w:sz w:val="24"/>
      <w:szCs w:val="21"/>
      <w:lang w:val="it-IT" w:eastAsia="zh-CN" w:bidi="hi-IN"/>
    </w:rPr>
  </w:style>
  <w:style w:type="paragraph" w:styleId="Lista">
    <w:name w:val="List"/>
    <w:basedOn w:val="Tekstpodstawowy"/>
    <w:uiPriority w:val="99"/>
    <w:rsid w:val="00165AAE"/>
  </w:style>
  <w:style w:type="paragraph" w:styleId="Legenda">
    <w:name w:val="caption"/>
    <w:basedOn w:val="Normalny"/>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ny"/>
    <w:uiPriority w:val="99"/>
    <w:rsid w:val="00165AAE"/>
    <w:pPr>
      <w:suppressLineNumbers/>
    </w:pPr>
  </w:style>
  <w:style w:type="paragraph" w:customStyle="1" w:styleId="Papertitle">
    <w:name w:val="Paper title"/>
    <w:basedOn w:val="Normalny"/>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tabs>
        <w:tab w:val="clear" w:pos="425"/>
        <w:tab w:val="num" w:pos="1275"/>
        <w:tab w:val="num" w:pos="2126"/>
      </w:tabs>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B7490D"/>
    <w:pPr>
      <w:widowControl w:val="0"/>
      <w:suppressAutoHyphens/>
      <w:jc w:val="both"/>
    </w:pPr>
    <w:rPr>
      <w:rFonts w:eastAsia="SimSun"/>
      <w:iCs/>
      <w:kern w:val="1"/>
      <w:sz w:val="18"/>
      <w:szCs w:val="18"/>
      <w:lang w:val="en-US"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Legenda"/>
    <w:uiPriority w:val="99"/>
    <w:rsid w:val="00165AAE"/>
    <w:rPr>
      <w:sz w:val="20"/>
    </w:rPr>
  </w:style>
  <w:style w:type="paragraph" w:customStyle="1" w:styleId="Contenutotabella">
    <w:name w:val="Contenuto tabella"/>
    <w:basedOn w:val="Normalny"/>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Nagwek">
    <w:name w:val="header"/>
    <w:basedOn w:val="Normalny"/>
    <w:link w:val="NagwekZnak"/>
    <w:uiPriority w:val="99"/>
    <w:rsid w:val="00165AAE"/>
    <w:pPr>
      <w:suppressLineNumbers/>
      <w:tabs>
        <w:tab w:val="center" w:pos="4819"/>
        <w:tab w:val="right" w:pos="9638"/>
      </w:tabs>
    </w:pPr>
  </w:style>
  <w:style w:type="character" w:customStyle="1" w:styleId="NagwekZnak">
    <w:name w:val="Nagłówek Znak"/>
    <w:link w:val="Nagwek"/>
    <w:uiPriority w:val="99"/>
    <w:semiHidden/>
    <w:rsid w:val="00D61997"/>
    <w:rPr>
      <w:rFonts w:eastAsia="SimSun" w:cs="Mangal"/>
      <w:kern w:val="1"/>
      <w:sz w:val="24"/>
      <w:szCs w:val="21"/>
      <w:lang w:val="it-IT" w:eastAsia="zh-CN" w:bidi="hi-IN"/>
    </w:rPr>
  </w:style>
  <w:style w:type="paragraph" w:customStyle="1" w:styleId="Contenutocornice">
    <w:name w:val="Contenuto cornice"/>
    <w:basedOn w:val="Tekstpodstawowy"/>
    <w:uiPriority w:val="99"/>
    <w:rsid w:val="00165AAE"/>
  </w:style>
  <w:style w:type="paragraph" w:customStyle="1" w:styleId="Szvegtrzs1">
    <w:name w:val="Szövegtörzs1"/>
    <w:basedOn w:val="Bodytextfirst"/>
    <w:uiPriority w:val="99"/>
    <w:rsid w:val="00165AAE"/>
  </w:style>
  <w:style w:type="paragraph" w:styleId="Stopka">
    <w:name w:val="footer"/>
    <w:basedOn w:val="Normalny"/>
    <w:link w:val="StopkaZnak"/>
    <w:uiPriority w:val="99"/>
    <w:semiHidden/>
    <w:rsid w:val="007927F5"/>
    <w:pPr>
      <w:tabs>
        <w:tab w:val="center" w:pos="4819"/>
        <w:tab w:val="right" w:pos="9638"/>
      </w:tabs>
    </w:pPr>
    <w:rPr>
      <w:szCs w:val="21"/>
    </w:rPr>
  </w:style>
  <w:style w:type="character" w:customStyle="1" w:styleId="StopkaZnak">
    <w:name w:val="Stopka Znak"/>
    <w:link w:val="Stopka"/>
    <w:uiPriority w:val="99"/>
    <w:semiHidden/>
    <w:locked/>
    <w:rsid w:val="007927F5"/>
    <w:rPr>
      <w:rFonts w:eastAsia="SimSun" w:cs="Mangal"/>
      <w:kern w:val="1"/>
      <w:sz w:val="21"/>
      <w:szCs w:val="21"/>
      <w:lang w:eastAsia="zh-CN" w:bidi="hi-IN"/>
    </w:rPr>
  </w:style>
  <w:style w:type="paragraph" w:styleId="Tekstdymka">
    <w:name w:val="Balloon Text"/>
    <w:basedOn w:val="Normalny"/>
    <w:link w:val="TekstdymkaZnak"/>
    <w:uiPriority w:val="99"/>
    <w:semiHidden/>
    <w:rsid w:val="00D37D4F"/>
    <w:rPr>
      <w:rFonts w:ascii="Tahoma" w:hAnsi="Tahoma"/>
      <w:sz w:val="16"/>
      <w:szCs w:val="14"/>
    </w:rPr>
  </w:style>
  <w:style w:type="character" w:customStyle="1" w:styleId="TekstdymkaZnak">
    <w:name w:val="Tekst dymka Znak"/>
    <w:link w:val="Tekstdymka"/>
    <w:uiPriority w:val="99"/>
    <w:semiHidden/>
    <w:locked/>
    <w:rsid w:val="00D37D4F"/>
    <w:rPr>
      <w:rFonts w:ascii="Tahoma" w:eastAsia="SimSun" w:hAnsi="Tahoma" w:cs="Mangal"/>
      <w:kern w:val="1"/>
      <w:sz w:val="14"/>
      <w:szCs w:val="14"/>
      <w:lang w:val="it-IT" w:eastAsia="zh-CN" w:bidi="hi-IN"/>
    </w:rPr>
  </w:style>
  <w:style w:type="paragraph" w:styleId="Wykazrde">
    <w:name w:val="table of authorities"/>
    <w:basedOn w:val="Normalny"/>
    <w:next w:val="Normalny"/>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UyteHipercze">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ny"/>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ny"/>
    <w:next w:val="Legenda"/>
    <w:rsid w:val="002D0ADF"/>
    <w:pPr>
      <w:keepNext/>
      <w:spacing w:before="120"/>
      <w:jc w:val="center"/>
    </w:pPr>
    <w:rPr>
      <w:lang w:val="en-GB" w:eastAsia="hu-HU" w:bidi="ar-SA"/>
    </w:rPr>
  </w:style>
  <w:style w:type="paragraph" w:styleId="Tekstpodstawowywcity3">
    <w:name w:val="Body Text Indent 3"/>
    <w:basedOn w:val="Normalny"/>
    <w:rsid w:val="002D0ADF"/>
    <w:pPr>
      <w:spacing w:after="120"/>
      <w:ind w:left="283"/>
    </w:pPr>
    <w:rPr>
      <w:sz w:val="16"/>
      <w:szCs w:val="16"/>
    </w:rPr>
  </w:style>
  <w:style w:type="table" w:styleId="Tabela-Siatka">
    <w:name w:val="Table Grid"/>
    <w:basedOn w:val="Standardowy"/>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Tekstzastpczy">
    <w:name w:val="Placeholder Text"/>
    <w:basedOn w:val="Domylnaczcionkaakapitu"/>
    <w:uiPriority w:val="99"/>
    <w:semiHidden/>
    <w:rsid w:val="004660FA"/>
    <w:rPr>
      <w:color w:val="808080"/>
    </w:rPr>
  </w:style>
  <w:style w:type="paragraph" w:customStyle="1" w:styleId="equation0">
    <w:name w:val="equation"/>
    <w:basedOn w:val="Normalny"/>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character" w:customStyle="1" w:styleId="UnresolvedMention1">
    <w:name w:val="Unresolved Mention1"/>
    <w:basedOn w:val="Domylnaczcionkaakapitu"/>
    <w:uiPriority w:val="99"/>
    <w:semiHidden/>
    <w:unhideWhenUsed/>
    <w:rsid w:val="007E1F4E"/>
    <w:rPr>
      <w:color w:val="605E5C"/>
      <w:shd w:val="clear" w:color="auto" w:fill="E1DFDD"/>
    </w:rPr>
  </w:style>
  <w:style w:type="paragraph" w:styleId="Tekstpodstawowywcity">
    <w:name w:val="Body Text Indent"/>
    <w:basedOn w:val="Normalny"/>
    <w:link w:val="TekstpodstawowywcityZnak"/>
    <w:uiPriority w:val="99"/>
    <w:semiHidden/>
    <w:unhideWhenUsed/>
    <w:rsid w:val="001F0A89"/>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1F0A89"/>
    <w:rPr>
      <w:rFonts w:eastAsia="SimSun" w:cs="Mangal"/>
      <w:kern w:val="1"/>
      <w:sz w:val="24"/>
      <w:szCs w:val="21"/>
      <w:lang w:val="it-IT" w:eastAsia="zh-CN" w:bidi="hi-IN"/>
    </w:rPr>
  </w:style>
  <w:style w:type="paragraph" w:styleId="Tekstpodstawowyzwciciem2">
    <w:name w:val="Body Text First Indent 2"/>
    <w:basedOn w:val="Tekstpodstawowywcity"/>
    <w:link w:val="Tekstpodstawowyzwciciem2Znak"/>
    <w:uiPriority w:val="99"/>
    <w:semiHidden/>
    <w:unhideWhenUsed/>
    <w:rsid w:val="001F0A89"/>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1F0A89"/>
    <w:rPr>
      <w:rFonts w:eastAsia="SimSun" w:cs="Mangal"/>
      <w:kern w:val="1"/>
      <w:sz w:val="24"/>
      <w:szCs w:val="21"/>
      <w:lang w:val="it-IT" w:eastAsia="zh-CN" w:bidi="hi-IN"/>
    </w:rPr>
  </w:style>
  <w:style w:type="paragraph" w:customStyle="1" w:styleId="Literature">
    <w:name w:val="_Literature"/>
    <w:basedOn w:val="Normalny"/>
    <w:rsid w:val="001F0A89"/>
    <w:pPr>
      <w:widowControl/>
      <w:numPr>
        <w:numId w:val="22"/>
      </w:numPr>
      <w:suppressAutoHyphens w:val="0"/>
      <w:spacing w:after="60" w:line="264" w:lineRule="auto"/>
      <w:ind w:left="567" w:hanging="567"/>
      <w:jc w:val="both"/>
    </w:pPr>
    <w:rPr>
      <w:rFonts w:asciiTheme="minorHAnsi" w:eastAsia="Times New Roman" w:hAnsiTheme="minorHAnsi" w:cs="Times New Roman"/>
      <w:noProof/>
      <w:kern w:val="0"/>
      <w:sz w:val="22"/>
      <w:szCs w:val="20"/>
      <w:lang w:val="pl-PL" w:eastAsia="pl-PL" w:bidi="ar-SA"/>
    </w:rPr>
  </w:style>
  <w:style w:type="paragraph" w:styleId="Akapitzlist">
    <w:name w:val="List Paragraph"/>
    <w:basedOn w:val="Normalny"/>
    <w:uiPriority w:val="34"/>
    <w:qFormat/>
    <w:rsid w:val="00923C34"/>
    <w:pPr>
      <w:ind w:left="720"/>
      <w:contextualSpacing/>
    </w:pPr>
    <w:rPr>
      <w:szCs w:val="21"/>
    </w:rPr>
  </w:style>
  <w:style w:type="paragraph" w:styleId="NormalnyWeb">
    <w:name w:val="Normal (Web)"/>
    <w:basedOn w:val="Normalny"/>
    <w:uiPriority w:val="99"/>
    <w:semiHidden/>
    <w:rsid w:val="00DD0B76"/>
    <w:pPr>
      <w:widowControl/>
      <w:suppressAutoHyphens w:val="0"/>
      <w:spacing w:before="100" w:beforeAutospacing="1" w:after="100" w:afterAutospacing="1"/>
    </w:pPr>
    <w:rPr>
      <w:rFonts w:eastAsia="Times New Roman" w:cs="Times New Roman"/>
      <w:color w:val="000000"/>
      <w:kern w:val="0"/>
      <w:lang w:val="pl-PL" w:eastAsia="pl-PL" w:bidi="ar-SA"/>
    </w:rPr>
  </w:style>
  <w:style w:type="paragraph" w:customStyle="1" w:styleId="Tytu1">
    <w:name w:val="Tytuł1"/>
    <w:basedOn w:val="Normalny"/>
    <w:rsid w:val="001E6969"/>
    <w:pPr>
      <w:widowControl/>
      <w:suppressAutoHyphens w:val="0"/>
      <w:spacing w:before="100" w:beforeAutospacing="1" w:after="100" w:afterAutospacing="1"/>
    </w:pPr>
    <w:rPr>
      <w:rFonts w:eastAsia="Times New Roman" w:cs="Times New Roman"/>
      <w:kern w:val="0"/>
      <w:lang w:val="pl-PL" w:eastAsia="pl-PL" w:bidi="ar-SA"/>
    </w:rPr>
  </w:style>
  <w:style w:type="paragraph" w:customStyle="1" w:styleId="page-range">
    <w:name w:val="page-range"/>
    <w:basedOn w:val="Normalny"/>
    <w:rsid w:val="001E6969"/>
    <w:pPr>
      <w:widowControl/>
      <w:suppressAutoHyphens w:val="0"/>
      <w:spacing w:before="100" w:beforeAutospacing="1" w:after="100" w:afterAutospacing="1"/>
    </w:pPr>
    <w:rPr>
      <w:rFonts w:eastAsia="Times New Roman" w:cs="Times New Roman"/>
      <w:kern w:val="0"/>
      <w:lang w:val="pl-PL" w:eastAsia="pl-PL" w:bidi="ar-SA"/>
    </w:rPr>
  </w:style>
  <w:style w:type="character" w:styleId="Odwoaniedokomentarza">
    <w:name w:val="annotation reference"/>
    <w:basedOn w:val="Domylnaczcionkaakapitu"/>
    <w:uiPriority w:val="99"/>
    <w:semiHidden/>
    <w:unhideWhenUsed/>
    <w:rsid w:val="002827E7"/>
    <w:rPr>
      <w:sz w:val="16"/>
      <w:szCs w:val="16"/>
    </w:rPr>
  </w:style>
  <w:style w:type="paragraph" w:styleId="Tekstkomentarza">
    <w:name w:val="annotation text"/>
    <w:basedOn w:val="Normalny"/>
    <w:link w:val="TekstkomentarzaZnak"/>
    <w:uiPriority w:val="99"/>
    <w:semiHidden/>
    <w:unhideWhenUsed/>
    <w:rsid w:val="002827E7"/>
    <w:rPr>
      <w:sz w:val="20"/>
      <w:szCs w:val="18"/>
    </w:rPr>
  </w:style>
  <w:style w:type="character" w:customStyle="1" w:styleId="TekstkomentarzaZnak">
    <w:name w:val="Tekst komentarza Znak"/>
    <w:basedOn w:val="Domylnaczcionkaakapitu"/>
    <w:link w:val="Tekstkomentarza"/>
    <w:uiPriority w:val="99"/>
    <w:semiHidden/>
    <w:rsid w:val="002827E7"/>
    <w:rPr>
      <w:rFonts w:eastAsia="SimSun" w:cs="Mangal"/>
      <w:kern w:val="1"/>
      <w:szCs w:val="18"/>
      <w:lang w:val="it-IT" w:eastAsia="zh-CN" w:bidi="hi-IN"/>
    </w:rPr>
  </w:style>
  <w:style w:type="paragraph" w:styleId="Tematkomentarza">
    <w:name w:val="annotation subject"/>
    <w:basedOn w:val="Tekstkomentarza"/>
    <w:next w:val="Tekstkomentarza"/>
    <w:link w:val="TematkomentarzaZnak"/>
    <w:uiPriority w:val="99"/>
    <w:semiHidden/>
    <w:unhideWhenUsed/>
    <w:rsid w:val="002827E7"/>
    <w:rPr>
      <w:b/>
      <w:bCs/>
    </w:rPr>
  </w:style>
  <w:style w:type="character" w:customStyle="1" w:styleId="TematkomentarzaZnak">
    <w:name w:val="Temat komentarza Znak"/>
    <w:basedOn w:val="TekstkomentarzaZnak"/>
    <w:link w:val="Tematkomentarza"/>
    <w:uiPriority w:val="99"/>
    <w:semiHidden/>
    <w:rsid w:val="002827E7"/>
    <w:rPr>
      <w:rFonts w:eastAsia="SimSun" w:cs="Mangal"/>
      <w:b/>
      <w:bCs/>
      <w:kern w:val="1"/>
      <w:szCs w:val="18"/>
      <w:lang w:val="it-IT"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55C7"/>
    <w:pPr>
      <w:widowControl w:val="0"/>
      <w:suppressAutoHyphens/>
    </w:pPr>
    <w:rPr>
      <w:rFonts w:eastAsia="SimSun" w:cs="Mangal"/>
      <w:kern w:val="1"/>
      <w:sz w:val="24"/>
      <w:szCs w:val="24"/>
      <w:lang w:val="it-IT" w:eastAsia="zh-CN" w:bidi="hi-IN"/>
    </w:rPr>
  </w:style>
  <w:style w:type="paragraph" w:styleId="Nagwek1">
    <w:name w:val="heading 1"/>
    <w:basedOn w:val="Intestazione1"/>
    <w:next w:val="Tekstpodstawowy"/>
    <w:link w:val="Nagwek1Znak"/>
    <w:uiPriority w:val="99"/>
    <w:qFormat/>
    <w:rsid w:val="00165AAE"/>
    <w:pPr>
      <w:numPr>
        <w:numId w:val="1"/>
      </w:numPr>
      <w:outlineLvl w:val="0"/>
    </w:pPr>
    <w:rPr>
      <w:b/>
      <w:bCs/>
      <w:sz w:val="32"/>
      <w:szCs w:val="32"/>
    </w:rPr>
  </w:style>
  <w:style w:type="paragraph" w:styleId="Nagwek2">
    <w:name w:val="heading 2"/>
    <w:basedOn w:val="Intestazione1"/>
    <w:next w:val="Tekstpodstawowy"/>
    <w:link w:val="Nagwek2Znak"/>
    <w:uiPriority w:val="99"/>
    <w:qFormat/>
    <w:rsid w:val="00165AAE"/>
    <w:pPr>
      <w:numPr>
        <w:ilvl w:val="1"/>
        <w:numId w:val="1"/>
      </w:numPr>
      <w:outlineLvl w:val="1"/>
    </w:pPr>
    <w:rPr>
      <w:b/>
      <w:bCs/>
      <w:i/>
      <w:iCs/>
    </w:rPr>
  </w:style>
  <w:style w:type="paragraph" w:styleId="Nagwek3">
    <w:name w:val="heading 3"/>
    <w:basedOn w:val="Intestazione1"/>
    <w:next w:val="Tekstpodstawowy"/>
    <w:link w:val="Nagwek3Znak"/>
    <w:uiPriority w:val="99"/>
    <w:qFormat/>
    <w:rsid w:val="00165AAE"/>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61997"/>
    <w:rPr>
      <w:rFonts w:ascii="Cambria" w:eastAsia="Times New Roman" w:hAnsi="Cambria" w:cs="Mangal"/>
      <w:b/>
      <w:bCs/>
      <w:kern w:val="32"/>
      <w:sz w:val="32"/>
      <w:szCs w:val="29"/>
      <w:lang w:val="it-IT" w:eastAsia="zh-CN" w:bidi="hi-IN"/>
    </w:rPr>
  </w:style>
  <w:style w:type="character" w:customStyle="1" w:styleId="Nagwek2Znak">
    <w:name w:val="Nagłówek 2 Znak"/>
    <w:link w:val="Nagwek2"/>
    <w:uiPriority w:val="9"/>
    <w:semiHidden/>
    <w:rsid w:val="00D61997"/>
    <w:rPr>
      <w:rFonts w:ascii="Cambria" w:eastAsia="Times New Roman" w:hAnsi="Cambria" w:cs="Mangal"/>
      <w:b/>
      <w:bCs/>
      <w:i/>
      <w:iCs/>
      <w:kern w:val="1"/>
      <w:sz w:val="28"/>
      <w:szCs w:val="25"/>
      <w:lang w:val="it-IT" w:eastAsia="zh-CN" w:bidi="hi-IN"/>
    </w:rPr>
  </w:style>
  <w:style w:type="character" w:customStyle="1" w:styleId="Nagwek3Znak">
    <w:name w:val="Nagłówek 3 Znak"/>
    <w:link w:val="Nagwek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ipercze">
    <w:name w:val="Hyperlink"/>
    <w:uiPriority w:val="99"/>
    <w:rsid w:val="00165AAE"/>
    <w:rPr>
      <w:rFonts w:cs="Times New Roman"/>
      <w:color w:val="000080"/>
      <w:u w:val="single"/>
    </w:rPr>
  </w:style>
  <w:style w:type="paragraph" w:customStyle="1" w:styleId="Intestazione1">
    <w:name w:val="Intestazione1"/>
    <w:basedOn w:val="Normalny"/>
    <w:next w:val="Tekstpodstawowy"/>
    <w:uiPriority w:val="99"/>
    <w:rsid w:val="00165AAE"/>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99"/>
    <w:rsid w:val="00165AAE"/>
    <w:pPr>
      <w:spacing w:after="120"/>
    </w:pPr>
  </w:style>
  <w:style w:type="character" w:customStyle="1" w:styleId="TekstpodstawowyZnak">
    <w:name w:val="Tekst podstawowy Znak"/>
    <w:link w:val="Tekstpodstawowy"/>
    <w:uiPriority w:val="99"/>
    <w:semiHidden/>
    <w:rsid w:val="00D61997"/>
    <w:rPr>
      <w:rFonts w:eastAsia="SimSun" w:cs="Mangal"/>
      <w:kern w:val="1"/>
      <w:sz w:val="24"/>
      <w:szCs w:val="21"/>
      <w:lang w:val="it-IT" w:eastAsia="zh-CN" w:bidi="hi-IN"/>
    </w:rPr>
  </w:style>
  <w:style w:type="paragraph" w:styleId="Lista">
    <w:name w:val="List"/>
    <w:basedOn w:val="Tekstpodstawowy"/>
    <w:uiPriority w:val="99"/>
    <w:rsid w:val="00165AAE"/>
  </w:style>
  <w:style w:type="paragraph" w:styleId="Legenda">
    <w:name w:val="caption"/>
    <w:basedOn w:val="Normalny"/>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ny"/>
    <w:uiPriority w:val="99"/>
    <w:rsid w:val="00165AAE"/>
    <w:pPr>
      <w:suppressLineNumbers/>
    </w:pPr>
  </w:style>
  <w:style w:type="paragraph" w:customStyle="1" w:styleId="Papertitle">
    <w:name w:val="Paper title"/>
    <w:basedOn w:val="Normalny"/>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tabs>
        <w:tab w:val="clear" w:pos="425"/>
        <w:tab w:val="num" w:pos="1275"/>
        <w:tab w:val="num" w:pos="2126"/>
      </w:tabs>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B7490D"/>
    <w:pPr>
      <w:widowControl w:val="0"/>
      <w:suppressAutoHyphens/>
      <w:jc w:val="both"/>
    </w:pPr>
    <w:rPr>
      <w:rFonts w:eastAsia="SimSun"/>
      <w:iCs/>
      <w:kern w:val="1"/>
      <w:sz w:val="18"/>
      <w:szCs w:val="18"/>
      <w:lang w:val="en-US"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Legenda"/>
    <w:uiPriority w:val="99"/>
    <w:rsid w:val="00165AAE"/>
    <w:rPr>
      <w:sz w:val="20"/>
    </w:rPr>
  </w:style>
  <w:style w:type="paragraph" w:customStyle="1" w:styleId="Contenutotabella">
    <w:name w:val="Contenuto tabella"/>
    <w:basedOn w:val="Normalny"/>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Nagwek">
    <w:name w:val="header"/>
    <w:basedOn w:val="Normalny"/>
    <w:link w:val="NagwekZnak"/>
    <w:uiPriority w:val="99"/>
    <w:rsid w:val="00165AAE"/>
    <w:pPr>
      <w:suppressLineNumbers/>
      <w:tabs>
        <w:tab w:val="center" w:pos="4819"/>
        <w:tab w:val="right" w:pos="9638"/>
      </w:tabs>
    </w:pPr>
  </w:style>
  <w:style w:type="character" w:customStyle="1" w:styleId="NagwekZnak">
    <w:name w:val="Nagłówek Znak"/>
    <w:link w:val="Nagwek"/>
    <w:uiPriority w:val="99"/>
    <w:semiHidden/>
    <w:rsid w:val="00D61997"/>
    <w:rPr>
      <w:rFonts w:eastAsia="SimSun" w:cs="Mangal"/>
      <w:kern w:val="1"/>
      <w:sz w:val="24"/>
      <w:szCs w:val="21"/>
      <w:lang w:val="it-IT" w:eastAsia="zh-CN" w:bidi="hi-IN"/>
    </w:rPr>
  </w:style>
  <w:style w:type="paragraph" w:customStyle="1" w:styleId="Contenutocornice">
    <w:name w:val="Contenuto cornice"/>
    <w:basedOn w:val="Tekstpodstawowy"/>
    <w:uiPriority w:val="99"/>
    <w:rsid w:val="00165AAE"/>
  </w:style>
  <w:style w:type="paragraph" w:customStyle="1" w:styleId="Szvegtrzs1">
    <w:name w:val="Szövegtörzs1"/>
    <w:basedOn w:val="Bodytextfirst"/>
    <w:uiPriority w:val="99"/>
    <w:rsid w:val="00165AAE"/>
  </w:style>
  <w:style w:type="paragraph" w:styleId="Stopka">
    <w:name w:val="footer"/>
    <w:basedOn w:val="Normalny"/>
    <w:link w:val="StopkaZnak"/>
    <w:uiPriority w:val="99"/>
    <w:semiHidden/>
    <w:rsid w:val="007927F5"/>
    <w:pPr>
      <w:tabs>
        <w:tab w:val="center" w:pos="4819"/>
        <w:tab w:val="right" w:pos="9638"/>
      </w:tabs>
    </w:pPr>
    <w:rPr>
      <w:szCs w:val="21"/>
    </w:rPr>
  </w:style>
  <w:style w:type="character" w:customStyle="1" w:styleId="StopkaZnak">
    <w:name w:val="Stopka Znak"/>
    <w:link w:val="Stopka"/>
    <w:uiPriority w:val="99"/>
    <w:semiHidden/>
    <w:locked/>
    <w:rsid w:val="007927F5"/>
    <w:rPr>
      <w:rFonts w:eastAsia="SimSun" w:cs="Mangal"/>
      <w:kern w:val="1"/>
      <w:sz w:val="21"/>
      <w:szCs w:val="21"/>
      <w:lang w:eastAsia="zh-CN" w:bidi="hi-IN"/>
    </w:rPr>
  </w:style>
  <w:style w:type="paragraph" w:styleId="Tekstdymka">
    <w:name w:val="Balloon Text"/>
    <w:basedOn w:val="Normalny"/>
    <w:link w:val="TekstdymkaZnak"/>
    <w:uiPriority w:val="99"/>
    <w:semiHidden/>
    <w:rsid w:val="00D37D4F"/>
    <w:rPr>
      <w:rFonts w:ascii="Tahoma" w:hAnsi="Tahoma"/>
      <w:sz w:val="16"/>
      <w:szCs w:val="14"/>
    </w:rPr>
  </w:style>
  <w:style w:type="character" w:customStyle="1" w:styleId="TekstdymkaZnak">
    <w:name w:val="Tekst dymka Znak"/>
    <w:link w:val="Tekstdymka"/>
    <w:uiPriority w:val="99"/>
    <w:semiHidden/>
    <w:locked/>
    <w:rsid w:val="00D37D4F"/>
    <w:rPr>
      <w:rFonts w:ascii="Tahoma" w:eastAsia="SimSun" w:hAnsi="Tahoma" w:cs="Mangal"/>
      <w:kern w:val="1"/>
      <w:sz w:val="14"/>
      <w:szCs w:val="14"/>
      <w:lang w:val="it-IT" w:eastAsia="zh-CN" w:bidi="hi-IN"/>
    </w:rPr>
  </w:style>
  <w:style w:type="paragraph" w:styleId="Wykazrde">
    <w:name w:val="table of authorities"/>
    <w:basedOn w:val="Normalny"/>
    <w:next w:val="Normalny"/>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UyteHipercze">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ny"/>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ny"/>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ny"/>
    <w:next w:val="Legenda"/>
    <w:rsid w:val="002D0ADF"/>
    <w:pPr>
      <w:keepNext/>
      <w:spacing w:before="120"/>
      <w:jc w:val="center"/>
    </w:pPr>
    <w:rPr>
      <w:lang w:val="en-GB" w:eastAsia="hu-HU" w:bidi="ar-SA"/>
    </w:rPr>
  </w:style>
  <w:style w:type="paragraph" w:styleId="Tekstpodstawowywcity3">
    <w:name w:val="Body Text Indent 3"/>
    <w:basedOn w:val="Normalny"/>
    <w:rsid w:val="002D0ADF"/>
    <w:pPr>
      <w:spacing w:after="120"/>
      <w:ind w:left="283"/>
    </w:pPr>
    <w:rPr>
      <w:sz w:val="16"/>
      <w:szCs w:val="16"/>
    </w:rPr>
  </w:style>
  <w:style w:type="table" w:styleId="Tabela-Siatka">
    <w:name w:val="Table Grid"/>
    <w:basedOn w:val="Standardowy"/>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Tekstzastpczy">
    <w:name w:val="Placeholder Text"/>
    <w:basedOn w:val="Domylnaczcionkaakapitu"/>
    <w:uiPriority w:val="99"/>
    <w:semiHidden/>
    <w:rsid w:val="004660FA"/>
    <w:rPr>
      <w:color w:val="808080"/>
    </w:rPr>
  </w:style>
  <w:style w:type="paragraph" w:customStyle="1" w:styleId="equation0">
    <w:name w:val="equation"/>
    <w:basedOn w:val="Normalny"/>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character" w:customStyle="1" w:styleId="UnresolvedMention1">
    <w:name w:val="Unresolved Mention1"/>
    <w:basedOn w:val="Domylnaczcionkaakapitu"/>
    <w:uiPriority w:val="99"/>
    <w:semiHidden/>
    <w:unhideWhenUsed/>
    <w:rsid w:val="007E1F4E"/>
    <w:rPr>
      <w:color w:val="605E5C"/>
      <w:shd w:val="clear" w:color="auto" w:fill="E1DFDD"/>
    </w:rPr>
  </w:style>
  <w:style w:type="paragraph" w:styleId="Tekstpodstawowywcity">
    <w:name w:val="Body Text Indent"/>
    <w:basedOn w:val="Normalny"/>
    <w:link w:val="TekstpodstawowywcityZnak"/>
    <w:uiPriority w:val="99"/>
    <w:semiHidden/>
    <w:unhideWhenUsed/>
    <w:rsid w:val="001F0A89"/>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1F0A89"/>
    <w:rPr>
      <w:rFonts w:eastAsia="SimSun" w:cs="Mangal"/>
      <w:kern w:val="1"/>
      <w:sz w:val="24"/>
      <w:szCs w:val="21"/>
      <w:lang w:val="it-IT" w:eastAsia="zh-CN" w:bidi="hi-IN"/>
    </w:rPr>
  </w:style>
  <w:style w:type="paragraph" w:styleId="Tekstpodstawowyzwciciem2">
    <w:name w:val="Body Text First Indent 2"/>
    <w:basedOn w:val="Tekstpodstawowywcity"/>
    <w:link w:val="Tekstpodstawowyzwciciem2Znak"/>
    <w:uiPriority w:val="99"/>
    <w:semiHidden/>
    <w:unhideWhenUsed/>
    <w:rsid w:val="001F0A89"/>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1F0A89"/>
    <w:rPr>
      <w:rFonts w:eastAsia="SimSun" w:cs="Mangal"/>
      <w:kern w:val="1"/>
      <w:sz w:val="24"/>
      <w:szCs w:val="21"/>
      <w:lang w:val="it-IT" w:eastAsia="zh-CN" w:bidi="hi-IN"/>
    </w:rPr>
  </w:style>
  <w:style w:type="paragraph" w:customStyle="1" w:styleId="Literature">
    <w:name w:val="_Literature"/>
    <w:basedOn w:val="Normalny"/>
    <w:rsid w:val="001F0A89"/>
    <w:pPr>
      <w:widowControl/>
      <w:numPr>
        <w:numId w:val="22"/>
      </w:numPr>
      <w:suppressAutoHyphens w:val="0"/>
      <w:spacing w:after="60" w:line="264" w:lineRule="auto"/>
      <w:ind w:left="567" w:hanging="567"/>
      <w:jc w:val="both"/>
    </w:pPr>
    <w:rPr>
      <w:rFonts w:asciiTheme="minorHAnsi" w:eastAsia="Times New Roman" w:hAnsiTheme="minorHAnsi" w:cs="Times New Roman"/>
      <w:noProof/>
      <w:kern w:val="0"/>
      <w:sz w:val="22"/>
      <w:szCs w:val="20"/>
      <w:lang w:val="pl-PL" w:eastAsia="pl-PL" w:bidi="ar-SA"/>
    </w:rPr>
  </w:style>
  <w:style w:type="paragraph" w:styleId="Akapitzlist">
    <w:name w:val="List Paragraph"/>
    <w:basedOn w:val="Normalny"/>
    <w:uiPriority w:val="34"/>
    <w:qFormat/>
    <w:rsid w:val="00923C34"/>
    <w:pPr>
      <w:ind w:left="720"/>
      <w:contextualSpacing/>
    </w:pPr>
    <w:rPr>
      <w:szCs w:val="21"/>
    </w:rPr>
  </w:style>
  <w:style w:type="paragraph" w:styleId="NormalnyWeb">
    <w:name w:val="Normal (Web)"/>
    <w:basedOn w:val="Normalny"/>
    <w:uiPriority w:val="99"/>
    <w:semiHidden/>
    <w:rsid w:val="00DD0B76"/>
    <w:pPr>
      <w:widowControl/>
      <w:suppressAutoHyphens w:val="0"/>
      <w:spacing w:before="100" w:beforeAutospacing="1" w:after="100" w:afterAutospacing="1"/>
    </w:pPr>
    <w:rPr>
      <w:rFonts w:eastAsia="Times New Roman" w:cs="Times New Roman"/>
      <w:color w:val="000000"/>
      <w:kern w:val="0"/>
      <w:lang w:val="pl-PL" w:eastAsia="pl-PL" w:bidi="ar-SA"/>
    </w:rPr>
  </w:style>
  <w:style w:type="paragraph" w:customStyle="1" w:styleId="Tytu1">
    <w:name w:val="Tytuł1"/>
    <w:basedOn w:val="Normalny"/>
    <w:rsid w:val="001E6969"/>
    <w:pPr>
      <w:widowControl/>
      <w:suppressAutoHyphens w:val="0"/>
      <w:spacing w:before="100" w:beforeAutospacing="1" w:after="100" w:afterAutospacing="1"/>
    </w:pPr>
    <w:rPr>
      <w:rFonts w:eastAsia="Times New Roman" w:cs="Times New Roman"/>
      <w:kern w:val="0"/>
      <w:lang w:val="pl-PL" w:eastAsia="pl-PL" w:bidi="ar-SA"/>
    </w:rPr>
  </w:style>
  <w:style w:type="paragraph" w:customStyle="1" w:styleId="page-range">
    <w:name w:val="page-range"/>
    <w:basedOn w:val="Normalny"/>
    <w:rsid w:val="001E6969"/>
    <w:pPr>
      <w:widowControl/>
      <w:suppressAutoHyphens w:val="0"/>
      <w:spacing w:before="100" w:beforeAutospacing="1" w:after="100" w:afterAutospacing="1"/>
    </w:pPr>
    <w:rPr>
      <w:rFonts w:eastAsia="Times New Roman" w:cs="Times New Roman"/>
      <w:kern w:val="0"/>
      <w:lang w:val="pl-PL" w:eastAsia="pl-PL" w:bidi="ar-SA"/>
    </w:rPr>
  </w:style>
  <w:style w:type="character" w:styleId="Odwoaniedokomentarza">
    <w:name w:val="annotation reference"/>
    <w:basedOn w:val="Domylnaczcionkaakapitu"/>
    <w:uiPriority w:val="99"/>
    <w:semiHidden/>
    <w:unhideWhenUsed/>
    <w:rsid w:val="002827E7"/>
    <w:rPr>
      <w:sz w:val="16"/>
      <w:szCs w:val="16"/>
    </w:rPr>
  </w:style>
  <w:style w:type="paragraph" w:styleId="Tekstkomentarza">
    <w:name w:val="annotation text"/>
    <w:basedOn w:val="Normalny"/>
    <w:link w:val="TekstkomentarzaZnak"/>
    <w:uiPriority w:val="99"/>
    <w:semiHidden/>
    <w:unhideWhenUsed/>
    <w:rsid w:val="002827E7"/>
    <w:rPr>
      <w:sz w:val="20"/>
      <w:szCs w:val="18"/>
    </w:rPr>
  </w:style>
  <w:style w:type="character" w:customStyle="1" w:styleId="TekstkomentarzaZnak">
    <w:name w:val="Tekst komentarza Znak"/>
    <w:basedOn w:val="Domylnaczcionkaakapitu"/>
    <w:link w:val="Tekstkomentarza"/>
    <w:uiPriority w:val="99"/>
    <w:semiHidden/>
    <w:rsid w:val="002827E7"/>
    <w:rPr>
      <w:rFonts w:eastAsia="SimSun" w:cs="Mangal"/>
      <w:kern w:val="1"/>
      <w:szCs w:val="18"/>
      <w:lang w:val="it-IT" w:eastAsia="zh-CN" w:bidi="hi-IN"/>
    </w:rPr>
  </w:style>
  <w:style w:type="paragraph" w:styleId="Tematkomentarza">
    <w:name w:val="annotation subject"/>
    <w:basedOn w:val="Tekstkomentarza"/>
    <w:next w:val="Tekstkomentarza"/>
    <w:link w:val="TematkomentarzaZnak"/>
    <w:uiPriority w:val="99"/>
    <w:semiHidden/>
    <w:unhideWhenUsed/>
    <w:rsid w:val="002827E7"/>
    <w:rPr>
      <w:b/>
      <w:bCs/>
    </w:rPr>
  </w:style>
  <w:style w:type="character" w:customStyle="1" w:styleId="TematkomentarzaZnak">
    <w:name w:val="Temat komentarza Znak"/>
    <w:basedOn w:val="TekstkomentarzaZnak"/>
    <w:link w:val="Tematkomentarza"/>
    <w:uiPriority w:val="99"/>
    <w:semiHidden/>
    <w:rsid w:val="002827E7"/>
    <w:rPr>
      <w:rFonts w:eastAsia="SimSun" w:cs="Mangal"/>
      <w:b/>
      <w:bCs/>
      <w:kern w:val="1"/>
      <w:szCs w:val="18"/>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3295">
      <w:bodyDiv w:val="1"/>
      <w:marLeft w:val="0"/>
      <w:marRight w:val="0"/>
      <w:marTop w:val="0"/>
      <w:marBottom w:val="0"/>
      <w:divBdr>
        <w:top w:val="none" w:sz="0" w:space="0" w:color="auto"/>
        <w:left w:val="none" w:sz="0" w:space="0" w:color="auto"/>
        <w:bottom w:val="none" w:sz="0" w:space="0" w:color="auto"/>
        <w:right w:val="none" w:sz="0" w:space="0" w:color="auto"/>
      </w:divBdr>
      <w:divsChild>
        <w:div w:id="679894731">
          <w:marLeft w:val="0"/>
          <w:marRight w:val="0"/>
          <w:marTop w:val="0"/>
          <w:marBottom w:val="240"/>
          <w:divBdr>
            <w:top w:val="none" w:sz="0" w:space="0" w:color="auto"/>
            <w:left w:val="none" w:sz="0" w:space="0" w:color="auto"/>
            <w:bottom w:val="none" w:sz="0" w:space="0" w:color="auto"/>
            <w:right w:val="none" w:sz="0" w:space="0" w:color="auto"/>
          </w:divBdr>
          <w:divsChild>
            <w:div w:id="1530293370">
              <w:marLeft w:val="0"/>
              <w:marRight w:val="0"/>
              <w:marTop w:val="0"/>
              <w:marBottom w:val="0"/>
              <w:divBdr>
                <w:top w:val="none" w:sz="0" w:space="0" w:color="auto"/>
                <w:left w:val="none" w:sz="0" w:space="0" w:color="auto"/>
                <w:bottom w:val="none" w:sz="0" w:space="0" w:color="auto"/>
                <w:right w:val="none" w:sz="0" w:space="0" w:color="auto"/>
              </w:divBdr>
            </w:div>
          </w:divsChild>
        </w:div>
        <w:div w:id="1403719386">
          <w:marLeft w:val="0"/>
          <w:marRight w:val="0"/>
          <w:marTop w:val="0"/>
          <w:marBottom w:val="0"/>
          <w:divBdr>
            <w:top w:val="none" w:sz="0" w:space="0" w:color="auto"/>
            <w:left w:val="none" w:sz="0" w:space="0" w:color="auto"/>
            <w:bottom w:val="none" w:sz="0" w:space="0" w:color="auto"/>
            <w:right w:val="none" w:sz="0" w:space="0" w:color="auto"/>
          </w:divBdr>
          <w:divsChild>
            <w:div w:id="1056196718">
              <w:marLeft w:val="1740"/>
              <w:marRight w:val="0"/>
              <w:marTop w:val="0"/>
              <w:marBottom w:val="240"/>
              <w:divBdr>
                <w:top w:val="none" w:sz="0" w:space="0" w:color="auto"/>
                <w:left w:val="none" w:sz="0" w:space="0" w:color="auto"/>
                <w:bottom w:val="none" w:sz="0" w:space="0" w:color="auto"/>
                <w:right w:val="none" w:sz="0" w:space="0" w:color="auto"/>
              </w:divBdr>
            </w:div>
          </w:divsChild>
        </w:div>
        <w:div w:id="1757944628">
          <w:marLeft w:val="0"/>
          <w:marRight w:val="0"/>
          <w:marTop w:val="0"/>
          <w:marBottom w:val="0"/>
          <w:divBdr>
            <w:top w:val="none" w:sz="0" w:space="0" w:color="auto"/>
            <w:left w:val="none" w:sz="0" w:space="0" w:color="auto"/>
            <w:bottom w:val="none" w:sz="0" w:space="0" w:color="auto"/>
            <w:right w:val="none" w:sz="0" w:space="0" w:color="auto"/>
          </w:divBdr>
          <w:divsChild>
            <w:div w:id="1331643493">
              <w:marLeft w:val="1740"/>
              <w:marRight w:val="0"/>
              <w:marTop w:val="0"/>
              <w:marBottom w:val="240"/>
              <w:divBdr>
                <w:top w:val="none" w:sz="0" w:space="0" w:color="auto"/>
                <w:left w:val="none" w:sz="0" w:space="0" w:color="auto"/>
                <w:bottom w:val="none" w:sz="0" w:space="0" w:color="auto"/>
                <w:right w:val="none" w:sz="0" w:space="0" w:color="auto"/>
              </w:divBdr>
            </w:div>
          </w:divsChild>
        </w:div>
        <w:div w:id="213739492">
          <w:marLeft w:val="0"/>
          <w:marRight w:val="0"/>
          <w:marTop w:val="0"/>
          <w:marBottom w:val="0"/>
          <w:divBdr>
            <w:top w:val="none" w:sz="0" w:space="0" w:color="auto"/>
            <w:left w:val="none" w:sz="0" w:space="0" w:color="auto"/>
            <w:bottom w:val="none" w:sz="0" w:space="0" w:color="auto"/>
            <w:right w:val="none" w:sz="0" w:space="0" w:color="auto"/>
          </w:divBdr>
          <w:divsChild>
            <w:div w:id="768738428">
              <w:marLeft w:val="1740"/>
              <w:marRight w:val="0"/>
              <w:marTop w:val="0"/>
              <w:marBottom w:val="240"/>
              <w:divBdr>
                <w:top w:val="none" w:sz="0" w:space="0" w:color="auto"/>
                <w:left w:val="none" w:sz="0" w:space="0" w:color="auto"/>
                <w:bottom w:val="none" w:sz="0" w:space="0" w:color="auto"/>
                <w:right w:val="none" w:sz="0" w:space="0" w:color="auto"/>
              </w:divBdr>
            </w:div>
          </w:divsChild>
        </w:div>
        <w:div w:id="2060976612">
          <w:marLeft w:val="0"/>
          <w:marRight w:val="0"/>
          <w:marTop w:val="0"/>
          <w:marBottom w:val="0"/>
          <w:divBdr>
            <w:top w:val="none" w:sz="0" w:space="0" w:color="auto"/>
            <w:left w:val="none" w:sz="0" w:space="0" w:color="auto"/>
            <w:bottom w:val="none" w:sz="0" w:space="0" w:color="auto"/>
            <w:right w:val="none" w:sz="0" w:space="0" w:color="auto"/>
          </w:divBdr>
          <w:divsChild>
            <w:div w:id="711928338">
              <w:marLeft w:val="1740"/>
              <w:marRight w:val="0"/>
              <w:marTop w:val="0"/>
              <w:marBottom w:val="240"/>
              <w:divBdr>
                <w:top w:val="none" w:sz="0" w:space="0" w:color="auto"/>
                <w:left w:val="none" w:sz="0" w:space="0" w:color="auto"/>
                <w:bottom w:val="none" w:sz="0" w:space="0" w:color="auto"/>
                <w:right w:val="none" w:sz="0" w:space="0" w:color="auto"/>
              </w:divBdr>
            </w:div>
          </w:divsChild>
        </w:div>
        <w:div w:id="201598260">
          <w:marLeft w:val="0"/>
          <w:marRight w:val="0"/>
          <w:marTop w:val="0"/>
          <w:marBottom w:val="0"/>
          <w:divBdr>
            <w:top w:val="none" w:sz="0" w:space="0" w:color="auto"/>
            <w:left w:val="none" w:sz="0" w:space="0" w:color="auto"/>
            <w:bottom w:val="none" w:sz="0" w:space="0" w:color="auto"/>
            <w:right w:val="none" w:sz="0" w:space="0" w:color="auto"/>
          </w:divBdr>
          <w:divsChild>
            <w:div w:id="297347035">
              <w:marLeft w:val="1740"/>
              <w:marRight w:val="0"/>
              <w:marTop w:val="0"/>
              <w:marBottom w:val="240"/>
              <w:divBdr>
                <w:top w:val="none" w:sz="0" w:space="0" w:color="auto"/>
                <w:left w:val="none" w:sz="0" w:space="0" w:color="auto"/>
                <w:bottom w:val="none" w:sz="0" w:space="0" w:color="auto"/>
                <w:right w:val="none" w:sz="0" w:space="0" w:color="auto"/>
              </w:divBdr>
            </w:div>
          </w:divsChild>
        </w:div>
        <w:div w:id="1675497381">
          <w:marLeft w:val="0"/>
          <w:marRight w:val="0"/>
          <w:marTop w:val="0"/>
          <w:marBottom w:val="0"/>
          <w:divBdr>
            <w:top w:val="none" w:sz="0" w:space="0" w:color="auto"/>
            <w:left w:val="none" w:sz="0" w:space="0" w:color="auto"/>
            <w:bottom w:val="none" w:sz="0" w:space="0" w:color="auto"/>
            <w:right w:val="none" w:sz="0" w:space="0" w:color="auto"/>
          </w:divBdr>
          <w:divsChild>
            <w:div w:id="149764893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854418180">
      <w:bodyDiv w:val="1"/>
      <w:marLeft w:val="0"/>
      <w:marRight w:val="0"/>
      <w:marTop w:val="0"/>
      <w:marBottom w:val="0"/>
      <w:divBdr>
        <w:top w:val="none" w:sz="0" w:space="0" w:color="auto"/>
        <w:left w:val="none" w:sz="0" w:space="0" w:color="auto"/>
        <w:bottom w:val="none" w:sz="0" w:space="0" w:color="auto"/>
        <w:right w:val="none" w:sz="0" w:space="0" w:color="auto"/>
      </w:divBdr>
    </w:div>
    <w:div w:id="996687683">
      <w:bodyDiv w:val="1"/>
      <w:marLeft w:val="0"/>
      <w:marRight w:val="0"/>
      <w:marTop w:val="0"/>
      <w:marBottom w:val="0"/>
      <w:divBdr>
        <w:top w:val="none" w:sz="0" w:space="0" w:color="auto"/>
        <w:left w:val="none" w:sz="0" w:space="0" w:color="auto"/>
        <w:bottom w:val="none" w:sz="0" w:space="0" w:color="auto"/>
        <w:right w:val="none" w:sz="0" w:space="0" w:color="auto"/>
      </w:divBdr>
      <w:divsChild>
        <w:div w:id="1531651025">
          <w:marLeft w:val="0"/>
          <w:marRight w:val="0"/>
          <w:marTop w:val="0"/>
          <w:marBottom w:val="150"/>
          <w:divBdr>
            <w:top w:val="none" w:sz="0" w:space="0" w:color="auto"/>
            <w:left w:val="none" w:sz="0" w:space="0" w:color="auto"/>
            <w:bottom w:val="none" w:sz="0" w:space="0" w:color="auto"/>
            <w:right w:val="none" w:sz="0" w:space="0" w:color="auto"/>
          </w:divBdr>
        </w:div>
        <w:div w:id="1030376895">
          <w:marLeft w:val="0"/>
          <w:marRight w:val="0"/>
          <w:marTop w:val="0"/>
          <w:marBottom w:val="225"/>
          <w:divBdr>
            <w:top w:val="none" w:sz="0" w:space="0" w:color="auto"/>
            <w:left w:val="none" w:sz="0" w:space="0" w:color="auto"/>
            <w:bottom w:val="none" w:sz="0" w:space="0" w:color="auto"/>
            <w:right w:val="none" w:sz="0" w:space="0" w:color="auto"/>
          </w:divBdr>
          <w:divsChild>
            <w:div w:id="1292319249">
              <w:marLeft w:val="0"/>
              <w:marRight w:val="0"/>
              <w:marTop w:val="0"/>
              <w:marBottom w:val="0"/>
              <w:divBdr>
                <w:top w:val="none" w:sz="0" w:space="0" w:color="auto"/>
                <w:left w:val="none" w:sz="0" w:space="0" w:color="auto"/>
                <w:bottom w:val="none" w:sz="0" w:space="0" w:color="auto"/>
                <w:right w:val="none" w:sz="0" w:space="0" w:color="auto"/>
              </w:divBdr>
              <w:divsChild>
                <w:div w:id="1495992430">
                  <w:marLeft w:val="0"/>
                  <w:marRight w:val="0"/>
                  <w:marTop w:val="0"/>
                  <w:marBottom w:val="75"/>
                  <w:divBdr>
                    <w:top w:val="none" w:sz="0" w:space="0" w:color="auto"/>
                    <w:left w:val="none" w:sz="0" w:space="0" w:color="auto"/>
                    <w:bottom w:val="none" w:sz="0" w:space="0" w:color="auto"/>
                    <w:right w:val="none" w:sz="0" w:space="0" w:color="auto"/>
                  </w:divBdr>
                </w:div>
                <w:div w:id="963081321">
                  <w:marLeft w:val="0"/>
                  <w:marRight w:val="0"/>
                  <w:marTop w:val="0"/>
                  <w:marBottom w:val="75"/>
                  <w:divBdr>
                    <w:top w:val="none" w:sz="0" w:space="0" w:color="auto"/>
                    <w:left w:val="none" w:sz="0" w:space="0" w:color="auto"/>
                    <w:bottom w:val="none" w:sz="0" w:space="0" w:color="auto"/>
                    <w:right w:val="none" w:sz="0" w:space="0" w:color="auto"/>
                  </w:divBdr>
                </w:div>
                <w:div w:id="642001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3482182">
      <w:bodyDiv w:val="1"/>
      <w:marLeft w:val="0"/>
      <w:marRight w:val="0"/>
      <w:marTop w:val="0"/>
      <w:marBottom w:val="0"/>
      <w:divBdr>
        <w:top w:val="none" w:sz="0" w:space="0" w:color="auto"/>
        <w:left w:val="none" w:sz="0" w:space="0" w:color="auto"/>
        <w:bottom w:val="none" w:sz="0" w:space="0" w:color="auto"/>
        <w:right w:val="none" w:sz="0" w:space="0" w:color="auto"/>
      </w:divBdr>
      <w:divsChild>
        <w:div w:id="91974243">
          <w:marLeft w:val="0"/>
          <w:marRight w:val="0"/>
          <w:marTop w:val="0"/>
          <w:marBottom w:val="240"/>
          <w:divBdr>
            <w:top w:val="none" w:sz="0" w:space="0" w:color="auto"/>
            <w:left w:val="none" w:sz="0" w:space="0" w:color="auto"/>
            <w:bottom w:val="none" w:sz="0" w:space="0" w:color="auto"/>
            <w:right w:val="none" w:sz="0" w:space="0" w:color="auto"/>
          </w:divBdr>
          <w:divsChild>
            <w:div w:id="407732029">
              <w:marLeft w:val="0"/>
              <w:marRight w:val="0"/>
              <w:marTop w:val="0"/>
              <w:marBottom w:val="0"/>
              <w:divBdr>
                <w:top w:val="none" w:sz="0" w:space="0" w:color="auto"/>
                <w:left w:val="none" w:sz="0" w:space="0" w:color="auto"/>
                <w:bottom w:val="none" w:sz="0" w:space="0" w:color="auto"/>
                <w:right w:val="none" w:sz="0" w:space="0" w:color="auto"/>
              </w:divBdr>
            </w:div>
          </w:divsChild>
        </w:div>
        <w:div w:id="500242926">
          <w:marLeft w:val="0"/>
          <w:marRight w:val="0"/>
          <w:marTop w:val="0"/>
          <w:marBottom w:val="0"/>
          <w:divBdr>
            <w:top w:val="none" w:sz="0" w:space="0" w:color="auto"/>
            <w:left w:val="none" w:sz="0" w:space="0" w:color="auto"/>
            <w:bottom w:val="none" w:sz="0" w:space="0" w:color="auto"/>
            <w:right w:val="none" w:sz="0" w:space="0" w:color="auto"/>
          </w:divBdr>
          <w:divsChild>
            <w:div w:id="37752180">
              <w:marLeft w:val="1740"/>
              <w:marRight w:val="0"/>
              <w:marTop w:val="0"/>
              <w:marBottom w:val="240"/>
              <w:divBdr>
                <w:top w:val="none" w:sz="0" w:space="0" w:color="auto"/>
                <w:left w:val="none" w:sz="0" w:space="0" w:color="auto"/>
                <w:bottom w:val="none" w:sz="0" w:space="0" w:color="auto"/>
                <w:right w:val="none" w:sz="0" w:space="0" w:color="auto"/>
              </w:divBdr>
            </w:div>
          </w:divsChild>
        </w:div>
        <w:div w:id="522597636">
          <w:marLeft w:val="0"/>
          <w:marRight w:val="0"/>
          <w:marTop w:val="0"/>
          <w:marBottom w:val="0"/>
          <w:divBdr>
            <w:top w:val="none" w:sz="0" w:space="0" w:color="auto"/>
            <w:left w:val="none" w:sz="0" w:space="0" w:color="auto"/>
            <w:bottom w:val="none" w:sz="0" w:space="0" w:color="auto"/>
            <w:right w:val="none" w:sz="0" w:space="0" w:color="auto"/>
          </w:divBdr>
          <w:divsChild>
            <w:div w:id="1306740805">
              <w:marLeft w:val="1740"/>
              <w:marRight w:val="0"/>
              <w:marTop w:val="0"/>
              <w:marBottom w:val="240"/>
              <w:divBdr>
                <w:top w:val="none" w:sz="0" w:space="0" w:color="auto"/>
                <w:left w:val="none" w:sz="0" w:space="0" w:color="auto"/>
                <w:bottom w:val="none" w:sz="0" w:space="0" w:color="auto"/>
                <w:right w:val="none" w:sz="0" w:space="0" w:color="auto"/>
              </w:divBdr>
            </w:div>
          </w:divsChild>
        </w:div>
        <w:div w:id="1539583163">
          <w:marLeft w:val="0"/>
          <w:marRight w:val="0"/>
          <w:marTop w:val="0"/>
          <w:marBottom w:val="0"/>
          <w:divBdr>
            <w:top w:val="none" w:sz="0" w:space="0" w:color="auto"/>
            <w:left w:val="none" w:sz="0" w:space="0" w:color="auto"/>
            <w:bottom w:val="none" w:sz="0" w:space="0" w:color="auto"/>
            <w:right w:val="none" w:sz="0" w:space="0" w:color="auto"/>
          </w:divBdr>
          <w:divsChild>
            <w:div w:id="1880624511">
              <w:marLeft w:val="1740"/>
              <w:marRight w:val="0"/>
              <w:marTop w:val="0"/>
              <w:marBottom w:val="240"/>
              <w:divBdr>
                <w:top w:val="none" w:sz="0" w:space="0" w:color="auto"/>
                <w:left w:val="none" w:sz="0" w:space="0" w:color="auto"/>
                <w:bottom w:val="none" w:sz="0" w:space="0" w:color="auto"/>
                <w:right w:val="none" w:sz="0" w:space="0" w:color="auto"/>
              </w:divBdr>
            </w:div>
          </w:divsChild>
        </w:div>
        <w:div w:id="308024582">
          <w:marLeft w:val="0"/>
          <w:marRight w:val="0"/>
          <w:marTop w:val="0"/>
          <w:marBottom w:val="0"/>
          <w:divBdr>
            <w:top w:val="none" w:sz="0" w:space="0" w:color="auto"/>
            <w:left w:val="none" w:sz="0" w:space="0" w:color="auto"/>
            <w:bottom w:val="none" w:sz="0" w:space="0" w:color="auto"/>
            <w:right w:val="none" w:sz="0" w:space="0" w:color="auto"/>
          </w:divBdr>
          <w:divsChild>
            <w:div w:id="437525213">
              <w:marLeft w:val="1740"/>
              <w:marRight w:val="0"/>
              <w:marTop w:val="0"/>
              <w:marBottom w:val="240"/>
              <w:divBdr>
                <w:top w:val="none" w:sz="0" w:space="0" w:color="auto"/>
                <w:left w:val="none" w:sz="0" w:space="0" w:color="auto"/>
                <w:bottom w:val="none" w:sz="0" w:space="0" w:color="auto"/>
                <w:right w:val="none" w:sz="0" w:space="0" w:color="auto"/>
              </w:divBdr>
            </w:div>
          </w:divsChild>
        </w:div>
        <w:div w:id="325211192">
          <w:marLeft w:val="0"/>
          <w:marRight w:val="0"/>
          <w:marTop w:val="0"/>
          <w:marBottom w:val="0"/>
          <w:divBdr>
            <w:top w:val="none" w:sz="0" w:space="0" w:color="auto"/>
            <w:left w:val="none" w:sz="0" w:space="0" w:color="auto"/>
            <w:bottom w:val="none" w:sz="0" w:space="0" w:color="auto"/>
            <w:right w:val="none" w:sz="0" w:space="0" w:color="auto"/>
          </w:divBdr>
          <w:divsChild>
            <w:div w:id="505094897">
              <w:marLeft w:val="1740"/>
              <w:marRight w:val="0"/>
              <w:marTop w:val="0"/>
              <w:marBottom w:val="240"/>
              <w:divBdr>
                <w:top w:val="none" w:sz="0" w:space="0" w:color="auto"/>
                <w:left w:val="none" w:sz="0" w:space="0" w:color="auto"/>
                <w:bottom w:val="none" w:sz="0" w:space="0" w:color="auto"/>
                <w:right w:val="none" w:sz="0" w:space="0" w:color="auto"/>
              </w:divBdr>
            </w:div>
          </w:divsChild>
        </w:div>
        <w:div w:id="1137799188">
          <w:marLeft w:val="0"/>
          <w:marRight w:val="0"/>
          <w:marTop w:val="0"/>
          <w:marBottom w:val="0"/>
          <w:divBdr>
            <w:top w:val="none" w:sz="0" w:space="0" w:color="auto"/>
            <w:left w:val="none" w:sz="0" w:space="0" w:color="auto"/>
            <w:bottom w:val="none" w:sz="0" w:space="0" w:color="auto"/>
            <w:right w:val="none" w:sz="0" w:space="0" w:color="auto"/>
          </w:divBdr>
          <w:divsChild>
            <w:div w:id="28770919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content.sciendo.com/view/journals/amcs/22/1/article-p225.x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827634EAA0E46A3E3F31C07D80B00" ma:contentTypeVersion="12" ma:contentTypeDescription="Create a new document." ma:contentTypeScope="" ma:versionID="9c42ca7c567c8796063a74ad76d30c0c">
  <xsd:schema xmlns:xsd="http://www.w3.org/2001/XMLSchema" xmlns:xs="http://www.w3.org/2001/XMLSchema" xmlns:p="http://schemas.microsoft.com/office/2006/metadata/properties" xmlns:ns2="f48c046f-1471-4500-a941-592e971f421b" xmlns:ns3="85f09c26-7f1b-4cdc-92b4-d75420172a21" targetNamespace="http://schemas.microsoft.com/office/2006/metadata/properties" ma:root="true" ma:fieldsID="9457ec86461c77a23fc67d74fb4de7de" ns2:_="" ns3:_="">
    <xsd:import namespace="f48c046f-1471-4500-a941-592e971f421b"/>
    <xsd:import namespace="85f09c26-7f1b-4cdc-92b4-d75420172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046f-1471-4500-a941-592e971f42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09c26-7f1b-4cdc-92b4-d75420172a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6215-1383-4323-80AF-1438116884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EF9CAF-B550-4DD1-8FFF-B6B4EF8E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c046f-1471-4500-a941-592e971f421b"/>
    <ds:schemaRef ds:uri="85f09c26-7f1b-4cdc-92b4-d7542017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03C2F-A441-47AD-A8BF-A845E0989861}">
  <ds:schemaRefs>
    <ds:schemaRef ds:uri="http://schemas.microsoft.com/sharepoint/v3/contenttype/forms"/>
  </ds:schemaRefs>
</ds:datastoreItem>
</file>

<file path=customXml/itemProps4.xml><?xml version="1.0" encoding="utf-8"?>
<ds:datastoreItem xmlns:ds="http://schemas.openxmlformats.org/officeDocument/2006/customXml" ds:itemID="{91F204BD-4C7C-43C6-8E13-4852186F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3657</Words>
  <Characters>21943</Characters>
  <Application>Microsoft Office Word</Application>
  <DocSecurity>0</DocSecurity>
  <Lines>182</Lines>
  <Paragraphs>51</Paragraphs>
  <ScaleCrop>false</ScaleCrop>
  <HeadingPairs>
    <vt:vector size="6" baseType="variant">
      <vt:variant>
        <vt:lpstr>Tytuł</vt:lpstr>
      </vt:variant>
      <vt:variant>
        <vt:i4>1</vt:i4>
      </vt:variant>
      <vt:variant>
        <vt:lpstr>Title</vt:lpstr>
      </vt:variant>
      <vt:variant>
        <vt:i4>1</vt:i4>
      </vt:variant>
      <vt:variant>
        <vt:lpstr>Cím</vt:lpstr>
      </vt:variant>
      <vt:variant>
        <vt:i4>1</vt:i4>
      </vt:variant>
    </vt:vector>
  </HeadingPairs>
  <TitlesOfParts>
    <vt:vector size="3" baseType="lpstr">
      <vt:lpstr>Roundoff Errors in the Cost Function for Sine Wave based ADC testing</vt:lpstr>
      <vt:lpstr>Roundoff Errors in the Cost Function for Sine Wave based ADC testing</vt:lpstr>
      <vt:lpstr>Roundoff Errors in the Cost Function for Sine Wave based ADC testing</vt:lpstr>
    </vt:vector>
  </TitlesOfParts>
  <Company>BME - MIT</Company>
  <LinksUpToDate>false</LinksUpToDate>
  <CharactersWithSpaces>25549</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Michal Bartys</cp:lastModifiedBy>
  <cp:revision>13</cp:revision>
  <cp:lastPrinted>2020-08-30T08:19:00Z</cp:lastPrinted>
  <dcterms:created xsi:type="dcterms:W3CDTF">2020-09-03T20:32:00Z</dcterms:created>
  <dcterms:modified xsi:type="dcterms:W3CDTF">2020-12-03T10:06:00Z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0x0101003F9827634EAA0E46A3E3F31C07D80B00</vt:lpwstr>
  </property>
</Properties>
</file>