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F1C735" w14:textId="0BCAA280" w:rsidR="000C2A70" w:rsidRPr="00A67470" w:rsidRDefault="000C2A70" w:rsidP="000C2A70">
      <w:pPr>
        <w:pStyle w:val="Papertitle"/>
        <w:rPr>
          <w:lang w:val="en-US"/>
        </w:rPr>
      </w:pPr>
      <w:bookmarkStart w:id="0" w:name="_GoBack"/>
      <w:bookmarkEnd w:id="0"/>
      <w:r w:rsidRPr="00A67470">
        <w:rPr>
          <w:lang w:val="en-US"/>
        </w:rPr>
        <w:t>A machine learning approach for evaluation of battery state of health</w:t>
      </w:r>
    </w:p>
    <w:p w14:paraId="6571E6DC" w14:textId="09360883" w:rsidR="003227E2" w:rsidRPr="00C05077" w:rsidRDefault="003227E2" w:rsidP="003227E2">
      <w:pPr>
        <w:pStyle w:val="Authors"/>
        <w:rPr>
          <w:vertAlign w:val="superscript"/>
        </w:rPr>
      </w:pPr>
      <w:r w:rsidRPr="00851A40">
        <w:t>Davide Aloisio</w:t>
      </w:r>
      <w:r>
        <w:rPr>
          <w:vertAlign w:val="superscript"/>
        </w:rPr>
        <w:t>1</w:t>
      </w:r>
      <w:r w:rsidR="003A7CFE">
        <w:rPr>
          <w:vertAlign w:val="superscript"/>
        </w:rPr>
        <w:t>*</w:t>
      </w:r>
      <w:r>
        <w:t>, Giuseppe Campobello</w:t>
      </w:r>
      <w:r>
        <w:rPr>
          <w:vertAlign w:val="superscript"/>
        </w:rPr>
        <w:t>2</w:t>
      </w:r>
      <w:r>
        <w:t xml:space="preserve">, </w:t>
      </w:r>
      <w:r w:rsidRPr="00C05077">
        <w:t>Salvatore Gianluca Leonardi</w:t>
      </w:r>
      <w:r>
        <w:rPr>
          <w:vertAlign w:val="superscript"/>
        </w:rPr>
        <w:t>1</w:t>
      </w:r>
      <w:r>
        <w:t xml:space="preserve">, </w:t>
      </w:r>
      <w:r w:rsidRPr="00C05077">
        <w:t>Francesco Sergi</w:t>
      </w:r>
      <w:r>
        <w:rPr>
          <w:vertAlign w:val="superscript"/>
        </w:rPr>
        <w:t>1</w:t>
      </w:r>
      <w:r>
        <w:t xml:space="preserve">, </w:t>
      </w:r>
      <w:r w:rsidRPr="00C05077">
        <w:t>Giovanni Brunaccini</w:t>
      </w:r>
      <w:r>
        <w:rPr>
          <w:vertAlign w:val="superscript"/>
        </w:rPr>
        <w:t>1</w:t>
      </w:r>
      <w:r>
        <w:t xml:space="preserve">, </w:t>
      </w:r>
      <w:r w:rsidRPr="00C05077">
        <w:t>Marco Ferraro</w:t>
      </w:r>
      <w:r>
        <w:rPr>
          <w:vertAlign w:val="superscript"/>
        </w:rPr>
        <w:t>1</w:t>
      </w:r>
      <w:r>
        <w:t xml:space="preserve">, </w:t>
      </w:r>
      <w:r w:rsidRPr="00C05077">
        <w:t>Vincenzo Antonucci</w:t>
      </w:r>
      <w:r>
        <w:rPr>
          <w:vertAlign w:val="superscript"/>
        </w:rPr>
        <w:t>1</w:t>
      </w:r>
      <w:r>
        <w:t xml:space="preserve">, </w:t>
      </w:r>
      <w:r w:rsidRPr="00C05077">
        <w:t>Antonino Segreto</w:t>
      </w:r>
      <w:r>
        <w:rPr>
          <w:vertAlign w:val="superscript"/>
        </w:rPr>
        <w:t>2</w:t>
      </w:r>
      <w:r w:rsidRPr="00C05077">
        <w:t>, Nicola Donato</w:t>
      </w:r>
      <w:r>
        <w:rPr>
          <w:vertAlign w:val="superscript"/>
        </w:rPr>
        <w:t>2*</w:t>
      </w:r>
    </w:p>
    <w:p w14:paraId="347BF9D7" w14:textId="262388D4" w:rsidR="00E51DC5" w:rsidRPr="00847848" w:rsidRDefault="00E51DC5">
      <w:pPr>
        <w:pStyle w:val="Affiliation"/>
        <w:rPr>
          <w:vertAlign w:val="superscript"/>
          <w:lang w:val="en-US"/>
        </w:rPr>
      </w:pPr>
      <w:r w:rsidRPr="00847848">
        <w:rPr>
          <w:vertAlign w:val="superscript"/>
          <w:lang w:val="en-US"/>
        </w:rPr>
        <w:t xml:space="preserve">1 </w:t>
      </w:r>
      <w:r w:rsidR="003227E2" w:rsidRPr="00847848">
        <w:rPr>
          <w:lang w:val="en-US"/>
        </w:rPr>
        <w:t xml:space="preserve">Institute of Advanced Energy Technologies “Nicola Giordano”, National Research Council of Italy, </w:t>
      </w:r>
      <w:proofErr w:type="spellStart"/>
      <w:r w:rsidR="003227E2" w:rsidRPr="00847848">
        <w:rPr>
          <w:lang w:val="en-US"/>
        </w:rPr>
        <w:t>Salita</w:t>
      </w:r>
      <w:proofErr w:type="spellEnd"/>
      <w:r w:rsidR="003227E2" w:rsidRPr="00847848">
        <w:rPr>
          <w:lang w:val="en-US"/>
        </w:rPr>
        <w:t xml:space="preserve"> S. Lucia sopra </w:t>
      </w:r>
      <w:proofErr w:type="spellStart"/>
      <w:r w:rsidR="003227E2" w:rsidRPr="00847848">
        <w:rPr>
          <w:lang w:val="en-US"/>
        </w:rPr>
        <w:t>Contesse</w:t>
      </w:r>
      <w:proofErr w:type="spellEnd"/>
      <w:r w:rsidR="003227E2" w:rsidRPr="00847848">
        <w:rPr>
          <w:lang w:val="en-US"/>
        </w:rPr>
        <w:t>, 5 - 98126, Messina, Italy</w:t>
      </w:r>
    </w:p>
    <w:p w14:paraId="132C6C0C" w14:textId="660A628B" w:rsidR="00E51DC5" w:rsidRDefault="00E51DC5" w:rsidP="003227E2">
      <w:pPr>
        <w:pStyle w:val="Affiliation"/>
        <w:rPr>
          <w:lang w:val="en-US"/>
        </w:rPr>
      </w:pPr>
      <w:r w:rsidRPr="003227E2">
        <w:rPr>
          <w:vertAlign w:val="superscript"/>
          <w:lang w:val="en-US"/>
        </w:rPr>
        <w:t xml:space="preserve">2 </w:t>
      </w:r>
      <w:r w:rsidR="003227E2" w:rsidRPr="003227E2">
        <w:rPr>
          <w:lang w:val="en-US"/>
        </w:rPr>
        <w:t xml:space="preserve">University of Messina, </w:t>
      </w:r>
      <w:r w:rsidR="003227E2">
        <w:rPr>
          <w:lang w:val="en-US"/>
        </w:rPr>
        <w:t xml:space="preserve">Department of Engineering, </w:t>
      </w:r>
      <w:proofErr w:type="spellStart"/>
      <w:proofErr w:type="gramStart"/>
      <w:r w:rsidR="003227E2" w:rsidRPr="003227E2">
        <w:rPr>
          <w:lang w:val="en-US"/>
        </w:rPr>
        <w:t>C.da</w:t>
      </w:r>
      <w:proofErr w:type="spellEnd"/>
      <w:proofErr w:type="gramEnd"/>
      <w:r w:rsidR="003227E2" w:rsidRPr="003227E2">
        <w:rPr>
          <w:lang w:val="en-US"/>
        </w:rPr>
        <w:t xml:space="preserve"> di </w:t>
      </w:r>
      <w:proofErr w:type="spellStart"/>
      <w:r w:rsidR="003227E2" w:rsidRPr="003227E2">
        <w:rPr>
          <w:lang w:val="en-US"/>
        </w:rPr>
        <w:t>Dio</w:t>
      </w:r>
      <w:proofErr w:type="spellEnd"/>
      <w:r w:rsidR="003227E2" w:rsidRPr="003227E2">
        <w:rPr>
          <w:lang w:val="en-US"/>
        </w:rPr>
        <w:t xml:space="preserve">, </w:t>
      </w:r>
      <w:proofErr w:type="spellStart"/>
      <w:r w:rsidR="003227E2" w:rsidRPr="003227E2">
        <w:rPr>
          <w:lang w:val="en-US"/>
        </w:rPr>
        <w:t>Vill</w:t>
      </w:r>
      <w:proofErr w:type="spellEnd"/>
      <w:r w:rsidR="003227E2" w:rsidRPr="003227E2">
        <w:rPr>
          <w:lang w:val="en-US"/>
        </w:rPr>
        <w:t xml:space="preserve">. </w:t>
      </w:r>
      <w:proofErr w:type="spellStart"/>
      <w:r w:rsidR="003227E2" w:rsidRPr="003227E2">
        <w:rPr>
          <w:lang w:val="en-US"/>
        </w:rPr>
        <w:t>S.Agata</w:t>
      </w:r>
      <w:proofErr w:type="spellEnd"/>
      <w:r w:rsidR="003227E2" w:rsidRPr="003227E2">
        <w:rPr>
          <w:lang w:val="en-US"/>
        </w:rPr>
        <w:t>, 98166 Messina, Italy</w:t>
      </w:r>
    </w:p>
    <w:p w14:paraId="37736C9A" w14:textId="4B45D314" w:rsidR="003227E2" w:rsidRPr="00BB71BA" w:rsidRDefault="003227E2" w:rsidP="003227E2">
      <w:pPr>
        <w:pStyle w:val="Affiliation"/>
      </w:pPr>
      <w:r w:rsidRPr="00BB71BA">
        <w:rPr>
          <w:i w:val="0"/>
          <w:vertAlign w:val="superscript"/>
        </w:rPr>
        <w:t>*</w:t>
      </w:r>
      <w:r w:rsidRPr="00BB71BA">
        <w:t xml:space="preserve"> E-mail:</w:t>
      </w:r>
      <w:r w:rsidR="003A7CFE" w:rsidRPr="00BB71BA">
        <w:t xml:space="preserve"> aloisio@itae.cnr.it; </w:t>
      </w:r>
      <w:r w:rsidRPr="00BB71BA">
        <w:t>ndonato@unime.it</w:t>
      </w:r>
    </w:p>
    <w:p w14:paraId="2A39D204" w14:textId="77777777" w:rsidR="00E51DC5" w:rsidRPr="00BB71BA" w:rsidRDefault="00E51DC5">
      <w:pPr>
        <w:pStyle w:val="Affiliation"/>
      </w:pPr>
    </w:p>
    <w:p w14:paraId="073AAC23" w14:textId="77777777" w:rsidR="00E51DC5" w:rsidRPr="00BB71BA" w:rsidRDefault="00E51DC5">
      <w:pPr>
        <w:sectPr w:rsidR="00E51DC5" w:rsidRPr="00BB71BA" w:rsidSect="00155090">
          <w:headerReference w:type="default" r:id="rId8"/>
          <w:headerReference w:type="first" r:id="rId9"/>
          <w:pgSz w:w="11906" w:h="16838"/>
          <w:pgMar w:top="2324" w:right="1134" w:bottom="1417" w:left="1134" w:header="993" w:footer="720" w:gutter="0"/>
          <w:cols w:space="720"/>
          <w:titlePg/>
          <w:docGrid w:linePitch="326"/>
        </w:sectPr>
      </w:pPr>
    </w:p>
    <w:p w14:paraId="7A2CD9F1" w14:textId="66D7FE74" w:rsidR="00E73585" w:rsidRPr="00575E30" w:rsidRDefault="00E51DC5">
      <w:pPr>
        <w:pStyle w:val="Abstract"/>
        <w:rPr>
          <w:lang w:val="en-GB"/>
        </w:rPr>
      </w:pPr>
      <w:r w:rsidRPr="00EC073B">
        <w:rPr>
          <w:i/>
          <w:iCs/>
          <w:lang w:val="en-US"/>
        </w:rPr>
        <w:t>Abstract</w:t>
      </w:r>
      <w:r w:rsidRPr="00EC073B">
        <w:rPr>
          <w:lang w:val="en-US"/>
        </w:rPr>
        <w:t xml:space="preserve"> –</w:t>
      </w:r>
      <w:r w:rsidR="00AC6561">
        <w:rPr>
          <w:lang w:val="en-US"/>
        </w:rPr>
        <w:t xml:space="preserve"> </w:t>
      </w:r>
      <w:r w:rsidR="00AC0132" w:rsidRPr="00AC6561">
        <w:rPr>
          <w:lang w:val="en-US"/>
        </w:rPr>
        <w:t>Ag</w:t>
      </w:r>
      <w:r w:rsidR="004A316E" w:rsidRPr="00AC6561">
        <w:rPr>
          <w:lang w:val="en-US"/>
        </w:rPr>
        <w:t>e</w:t>
      </w:r>
      <w:r w:rsidR="00AC0132" w:rsidRPr="00AC6561">
        <w:rPr>
          <w:lang w:val="en-US"/>
        </w:rPr>
        <w:t>ing estimation of lithium ion (Li-Ion) batteries is a key point for their massive application in the market. In this work, different Machine Learning (ML)</w:t>
      </w:r>
      <w:r w:rsidR="00AC6561">
        <w:rPr>
          <w:lang w:val="en-US"/>
        </w:rPr>
        <w:t xml:space="preserve"> </w:t>
      </w:r>
      <w:r w:rsidR="00AC0132" w:rsidRPr="00AC6561">
        <w:rPr>
          <w:lang w:val="en-US"/>
        </w:rPr>
        <w:t>techniques were applied and compared to evaluate the State of Health (</w:t>
      </w:r>
      <w:proofErr w:type="spellStart"/>
      <w:r w:rsidR="00AC0132" w:rsidRPr="00AC6561">
        <w:rPr>
          <w:lang w:val="en-US"/>
        </w:rPr>
        <w:t>SoH</w:t>
      </w:r>
      <w:proofErr w:type="spellEnd"/>
      <w:r w:rsidR="00AC0132" w:rsidRPr="00AC6561">
        <w:rPr>
          <w:lang w:val="en-US"/>
        </w:rPr>
        <w:t xml:space="preserve">) of a cobalt based Li-Ion battery, cycled under a stationary application profile. Experimental results show that ML can be profitably used for </w:t>
      </w:r>
      <w:proofErr w:type="spellStart"/>
      <w:r w:rsidR="00AC0132" w:rsidRPr="00AC6561">
        <w:rPr>
          <w:lang w:val="en-US"/>
        </w:rPr>
        <w:t>SoH</w:t>
      </w:r>
      <w:proofErr w:type="spellEnd"/>
      <w:r w:rsidR="00AC0132" w:rsidRPr="00AC6561">
        <w:rPr>
          <w:lang w:val="en-US"/>
        </w:rPr>
        <w:t xml:space="preserve"> estimation.</w:t>
      </w:r>
    </w:p>
    <w:p w14:paraId="6DABD2CC" w14:textId="77777777" w:rsidR="00E51DC5" w:rsidRDefault="00E51DC5">
      <w:pPr>
        <w:pStyle w:val="Sectionheading"/>
      </w:pPr>
      <w:r w:rsidRPr="00575E30">
        <w:t>Introductio</w:t>
      </w:r>
      <w:r>
        <w:t>n</w:t>
      </w:r>
    </w:p>
    <w:p w14:paraId="15B83B6B" w14:textId="429C72ED" w:rsidR="00F962AD" w:rsidRPr="00AC6561" w:rsidRDefault="00F962AD" w:rsidP="00F962AD">
      <w:pPr>
        <w:ind w:firstLine="170"/>
        <w:jc w:val="both"/>
        <w:rPr>
          <w:sz w:val="20"/>
          <w:lang w:val="en-US"/>
        </w:rPr>
      </w:pPr>
      <w:r w:rsidRPr="00F962AD">
        <w:rPr>
          <w:sz w:val="20"/>
          <w:lang w:val="en-US"/>
        </w:rPr>
        <w:t>A</w:t>
      </w:r>
      <w:r w:rsidRPr="00AC6561">
        <w:rPr>
          <w:sz w:val="20"/>
          <w:lang w:val="en-US"/>
        </w:rPr>
        <w:t>s well known, Machine Learning (ML) is a subfield of computing, a type of Artificial Intelligence (AI), which provides machines with the ability to learn from the field without explicit programming [</w:t>
      </w:r>
      <w:r w:rsidR="00CC3D2B" w:rsidRPr="00AC6561">
        <w:rPr>
          <w:sz w:val="20"/>
          <w:lang w:val="en-US"/>
        </w:rPr>
        <w:t>1</w:t>
      </w:r>
      <w:r w:rsidRPr="00AC6561">
        <w:rPr>
          <w:sz w:val="20"/>
          <w:lang w:val="en-US"/>
        </w:rPr>
        <w:t>]. In particular, it is well known that ML can be really useful in applications in which a lot of data are obtained from the field and you want to extract some information or unknown properties (‘features’) from the dataset, the so-called ‘training set’. The information extracted from this kind of data analysi</w:t>
      </w:r>
      <w:r w:rsidR="00BB71BA" w:rsidRPr="00AC6561">
        <w:rPr>
          <w:sz w:val="20"/>
          <w:lang w:val="en-US"/>
        </w:rPr>
        <w:t>s can be used for prediction of</w:t>
      </w:r>
      <w:r w:rsidRPr="00AC6561">
        <w:rPr>
          <w:sz w:val="20"/>
          <w:lang w:val="en-US"/>
        </w:rPr>
        <w:t xml:space="preserve"> </w:t>
      </w:r>
      <w:r w:rsidR="00BB71BA" w:rsidRPr="00AC6561">
        <w:rPr>
          <w:sz w:val="20"/>
          <w:lang w:val="en-US"/>
        </w:rPr>
        <w:t xml:space="preserve">the systems behavior when subject to certain operative conditions and under some constraints. </w:t>
      </w:r>
      <w:proofErr w:type="gramStart"/>
      <w:r w:rsidR="00BB71BA" w:rsidRPr="00AC6561">
        <w:rPr>
          <w:sz w:val="20"/>
          <w:lang w:val="en-US"/>
        </w:rPr>
        <w:t>In particular, the</w:t>
      </w:r>
      <w:proofErr w:type="gramEnd"/>
      <w:r w:rsidR="00BB71BA" w:rsidRPr="00AC6561">
        <w:rPr>
          <w:sz w:val="20"/>
          <w:lang w:val="en-US"/>
        </w:rPr>
        <w:t xml:space="preserve"> battery behavior is very complex to understand because many parameters act in determining the ageing evolution such as charge and discharge current rates</w:t>
      </w:r>
      <w:r w:rsidR="008311E0" w:rsidRPr="00AC6561">
        <w:rPr>
          <w:sz w:val="20"/>
          <w:lang w:val="en-US"/>
        </w:rPr>
        <w:t xml:space="preserve">, </w:t>
      </w:r>
      <w:r w:rsidR="00BB71BA" w:rsidRPr="00AC6561">
        <w:rPr>
          <w:sz w:val="20"/>
          <w:lang w:val="en-US"/>
        </w:rPr>
        <w:t>operative temperature, depth of discharge (DoD) reached, state of charge (SoC) during rest periods and so on. Therefore</w:t>
      </w:r>
      <w:r w:rsidR="00961EE8" w:rsidRPr="00AC6561">
        <w:rPr>
          <w:sz w:val="20"/>
          <w:lang w:val="en-US"/>
        </w:rPr>
        <w:t>,</w:t>
      </w:r>
      <w:r w:rsidR="00BB71BA" w:rsidRPr="00AC6561">
        <w:rPr>
          <w:sz w:val="20"/>
          <w:lang w:val="en-US"/>
        </w:rPr>
        <w:t xml:space="preserve"> the combination of the above parameters makes the systems </w:t>
      </w:r>
      <w:r w:rsidRPr="00AC6561">
        <w:rPr>
          <w:sz w:val="20"/>
          <w:lang w:val="en-US"/>
        </w:rPr>
        <w:t>hard to model via analytical equations</w:t>
      </w:r>
      <w:r w:rsidR="00BB71BA" w:rsidRPr="00AC6561">
        <w:rPr>
          <w:sz w:val="20"/>
          <w:lang w:val="en-US"/>
        </w:rPr>
        <w:t xml:space="preserve">. </w:t>
      </w:r>
      <w:r w:rsidRPr="00AC6561">
        <w:rPr>
          <w:sz w:val="20"/>
          <w:lang w:val="en-US"/>
        </w:rPr>
        <w:t>This is particularly true in the case of Li-Ion batteries, where it is more difficult to translate electrochemical processes into analytical equations, due to the intrinsic and strong nonlinearities present in this type of batteries. The analytical models, in fact, require, in addition to input data of the actual working conditions (current, temperature, etc.), the knowledge of many parameters (g</w:t>
      </w:r>
      <w:r w:rsidR="0055630C" w:rsidRPr="00AC6561">
        <w:rPr>
          <w:sz w:val="20"/>
          <w:lang w:val="en-US"/>
        </w:rPr>
        <w:t>eometry</w:t>
      </w:r>
      <w:r w:rsidRPr="00AC6561">
        <w:rPr>
          <w:sz w:val="20"/>
          <w:lang w:val="en-US"/>
        </w:rPr>
        <w:t xml:space="preserve">, </w:t>
      </w:r>
      <w:r w:rsidR="009C49C4" w:rsidRPr="00AC6561">
        <w:rPr>
          <w:sz w:val="20"/>
          <w:lang w:val="en-US"/>
        </w:rPr>
        <w:t xml:space="preserve">density and porosity </w:t>
      </w:r>
      <w:r w:rsidRPr="00AC6561">
        <w:rPr>
          <w:sz w:val="20"/>
          <w:lang w:val="en-US"/>
        </w:rPr>
        <w:t xml:space="preserve">of materials, etc.). These data are not always available or easily measurable and can vary over time (e.g. due to ageing). Therefore, the analytical models can be affected by inaccuracy. </w:t>
      </w:r>
    </w:p>
    <w:p w14:paraId="467251C3" w14:textId="05C7CA73" w:rsidR="00D8584D" w:rsidRPr="00D8584D" w:rsidRDefault="00F962AD" w:rsidP="00D8584D">
      <w:pPr>
        <w:ind w:firstLine="170"/>
        <w:jc w:val="both"/>
        <w:rPr>
          <w:sz w:val="20"/>
          <w:lang w:val="en-US"/>
        </w:rPr>
      </w:pPr>
      <w:r>
        <w:rPr>
          <w:sz w:val="20"/>
          <w:lang w:val="en-US"/>
        </w:rPr>
        <w:t>In this context, ML techniques can provide a viable alternative and a useful tool for modelling the battery behavior. ML algorithms learn directly from experimental data, reducing the complexity of modelling, usually due to the high number of parameters and empirical corrections needed.</w:t>
      </w:r>
      <w:r w:rsidR="00D8584D">
        <w:rPr>
          <w:sz w:val="20"/>
          <w:lang w:val="en-US"/>
        </w:rPr>
        <w:t xml:space="preserve"> </w:t>
      </w:r>
      <w:r w:rsidR="00D8584D" w:rsidRPr="00AC6561">
        <w:rPr>
          <w:sz w:val="20"/>
          <w:lang w:val="en-US"/>
        </w:rPr>
        <w:t>In addition, according to the recent literature, the application of ML techniques in the prediction of the ag</w:t>
      </w:r>
      <w:r w:rsidR="004A316E" w:rsidRPr="00AC6561">
        <w:rPr>
          <w:sz w:val="20"/>
          <w:lang w:val="en-US"/>
        </w:rPr>
        <w:t>e</w:t>
      </w:r>
      <w:r w:rsidR="00D8584D" w:rsidRPr="00AC6561">
        <w:rPr>
          <w:sz w:val="20"/>
          <w:lang w:val="en-US"/>
        </w:rPr>
        <w:t>ing of Li-Ion batteries show</w:t>
      </w:r>
      <w:r w:rsidR="008311E0" w:rsidRPr="00AC6561">
        <w:rPr>
          <w:sz w:val="20"/>
          <w:lang w:val="en-US"/>
        </w:rPr>
        <w:t>s</w:t>
      </w:r>
      <w:r w:rsidR="00D8584D" w:rsidRPr="00AC6561">
        <w:rPr>
          <w:sz w:val="20"/>
          <w:lang w:val="en-US"/>
        </w:rPr>
        <w:t xml:space="preserve"> errors in the range between 0.5% - 5.5% [</w:t>
      </w:r>
      <w:r w:rsidR="00755D79" w:rsidRPr="00AC6561">
        <w:rPr>
          <w:sz w:val="20"/>
          <w:lang w:val="en-US"/>
        </w:rPr>
        <w:t>2</w:t>
      </w:r>
      <w:r w:rsidR="00D8584D" w:rsidRPr="00AC6561">
        <w:rPr>
          <w:sz w:val="20"/>
          <w:lang w:val="en-US"/>
        </w:rPr>
        <w:t>-</w:t>
      </w:r>
      <w:r w:rsidR="00755D79" w:rsidRPr="00AC6561">
        <w:rPr>
          <w:sz w:val="20"/>
          <w:lang w:val="en-US"/>
        </w:rPr>
        <w:t>4</w:t>
      </w:r>
      <w:r w:rsidR="00D8584D" w:rsidRPr="00AC6561">
        <w:rPr>
          <w:sz w:val="20"/>
          <w:lang w:val="en-US"/>
        </w:rPr>
        <w:t>]. This range of accuracy is considered a good compromise among algorithm complexity, effort spent on model development and reliability of results.</w:t>
      </w:r>
    </w:p>
    <w:p w14:paraId="09D7A821" w14:textId="172C9237" w:rsidR="00F962AD" w:rsidRPr="00EC073B" w:rsidRDefault="00F962AD" w:rsidP="00F962AD">
      <w:pPr>
        <w:ind w:firstLine="170"/>
        <w:jc w:val="both"/>
        <w:rPr>
          <w:sz w:val="20"/>
          <w:lang w:val="en-GB"/>
        </w:rPr>
      </w:pPr>
      <w:r w:rsidRPr="00F962AD">
        <w:rPr>
          <w:sz w:val="20"/>
          <w:lang w:val="en-GB"/>
        </w:rPr>
        <w:t xml:space="preserve">In this paper we exploit ML to identify possible </w:t>
      </w:r>
      <w:r w:rsidR="001C03E2">
        <w:rPr>
          <w:sz w:val="20"/>
          <w:lang w:val="en-GB"/>
        </w:rPr>
        <w:t>methodolog</w:t>
      </w:r>
      <w:r w:rsidRPr="00F962AD">
        <w:rPr>
          <w:sz w:val="20"/>
          <w:lang w:val="en-GB"/>
        </w:rPr>
        <w:t>ies for estimating the State of Health (</w:t>
      </w:r>
      <w:proofErr w:type="spellStart"/>
      <w:r w:rsidRPr="00F962AD">
        <w:rPr>
          <w:sz w:val="20"/>
          <w:lang w:val="en-GB"/>
        </w:rPr>
        <w:t>SoH</w:t>
      </w:r>
      <w:proofErr w:type="spellEnd"/>
      <w:r w:rsidRPr="00F962AD">
        <w:rPr>
          <w:sz w:val="20"/>
          <w:lang w:val="en-GB"/>
        </w:rPr>
        <w:t>) of Li-Ion battery with the main aim of developing a feasible model which can be easily integrated in a battery management system (BMS).</w:t>
      </w:r>
      <w:r>
        <w:rPr>
          <w:sz w:val="20"/>
          <w:lang w:val="en-GB"/>
        </w:rPr>
        <w:t xml:space="preserve"> </w:t>
      </w:r>
      <w:r w:rsidRPr="00A364AD">
        <w:rPr>
          <w:sz w:val="20"/>
          <w:lang w:val="en-GB"/>
        </w:rPr>
        <w:t xml:space="preserve">Implementation in BMSs of techniques able to lengthen batteries useful life, estimating the possible replacement time (estimation of Remaining Useful Life, or RUL), is considered a key research activity in the field </w:t>
      </w:r>
      <w:r w:rsidRPr="00AC6561">
        <w:rPr>
          <w:sz w:val="20"/>
          <w:lang w:val="en-GB"/>
        </w:rPr>
        <w:t>[</w:t>
      </w:r>
      <w:r w:rsidR="00755D79" w:rsidRPr="00AC6561">
        <w:rPr>
          <w:sz w:val="20"/>
          <w:lang w:val="en-GB"/>
        </w:rPr>
        <w:t>5</w:t>
      </w:r>
      <w:r w:rsidRPr="00AC6561">
        <w:rPr>
          <w:sz w:val="20"/>
          <w:lang w:val="en-GB"/>
        </w:rPr>
        <w:t>]</w:t>
      </w:r>
      <w:r w:rsidRPr="00F40A08">
        <w:rPr>
          <w:sz w:val="20"/>
          <w:lang w:val="en-GB"/>
        </w:rPr>
        <w:t>.</w:t>
      </w:r>
    </w:p>
    <w:p w14:paraId="2C99B076" w14:textId="133A6013" w:rsidR="00E51DC5" w:rsidRPr="00EC073B" w:rsidRDefault="00EC073B" w:rsidP="00AE1395">
      <w:pPr>
        <w:pStyle w:val="Sectionheading"/>
        <w:ind w:left="284" w:hanging="284"/>
        <w:rPr>
          <w:lang w:val="en-US"/>
        </w:rPr>
      </w:pPr>
      <w:r w:rsidRPr="00EC073B">
        <w:rPr>
          <w:lang w:val="en-US"/>
        </w:rPr>
        <w:t>ML algorithms for State of Health (SoH) and Remaining Useful Life (RUL) evaluat</w:t>
      </w:r>
      <w:r w:rsidR="00AE1395">
        <w:rPr>
          <w:lang w:val="en-US"/>
        </w:rPr>
        <w:t>ion: a brief review</w:t>
      </w:r>
      <w:r w:rsidRPr="00EC073B">
        <w:rPr>
          <w:lang w:val="en-US"/>
        </w:rPr>
        <w:t xml:space="preserve">. </w:t>
      </w:r>
    </w:p>
    <w:p w14:paraId="4D60CA4B" w14:textId="77777777" w:rsidR="007D162A" w:rsidRDefault="003E6B2B" w:rsidP="003723D5">
      <w:pPr>
        <w:pStyle w:val="Bodytextfirst"/>
      </w:pPr>
      <w:r w:rsidRPr="003E6B2B">
        <w:t>In this section a few</w:t>
      </w:r>
      <w:r>
        <w:t xml:space="preserve"> </w:t>
      </w:r>
      <w:r w:rsidRPr="003E6B2B">
        <w:t>state</w:t>
      </w:r>
      <w:r>
        <w:t>-</w:t>
      </w:r>
      <w:r w:rsidRPr="003E6B2B">
        <w:t>of</w:t>
      </w:r>
      <w:r>
        <w:t>-</w:t>
      </w:r>
      <w:r w:rsidRPr="003E6B2B">
        <w:t>the</w:t>
      </w:r>
      <w:r>
        <w:t>-</w:t>
      </w:r>
      <w:r w:rsidRPr="003E6B2B">
        <w:t>art</w:t>
      </w:r>
      <w:r>
        <w:t xml:space="preserve"> of </w:t>
      </w:r>
      <w:r w:rsidRPr="003E6B2B">
        <w:t xml:space="preserve">ML techniques applied to </w:t>
      </w:r>
      <w:proofErr w:type="spellStart"/>
      <w:r w:rsidRPr="003E6B2B">
        <w:t>SoH</w:t>
      </w:r>
      <w:proofErr w:type="spellEnd"/>
      <w:r w:rsidRPr="003E6B2B">
        <w:t xml:space="preserve"> and RUL estimation are reviewed</w:t>
      </w:r>
      <w:r>
        <w:t>.</w:t>
      </w:r>
      <w:r w:rsidR="007F08E8">
        <w:t xml:space="preserve"> </w:t>
      </w:r>
    </w:p>
    <w:p w14:paraId="4A1CF348" w14:textId="1C7ACE3A" w:rsidR="007D162A" w:rsidRPr="00AC6561" w:rsidRDefault="007D162A" w:rsidP="003723D5">
      <w:pPr>
        <w:pStyle w:val="Bodytextfirst"/>
      </w:pPr>
      <w:r w:rsidRPr="00AC6561">
        <w:t xml:space="preserve">Thanks to the remarkable computational capabilities of today systems, learning algorithms applied to large quantities of data have often become the preferred approach in the search and identification of complex system behaviors, and therefore represent a valid tool for </w:t>
      </w:r>
      <w:proofErr w:type="spellStart"/>
      <w:r w:rsidRPr="00AC6561">
        <w:t>SoH</w:t>
      </w:r>
      <w:proofErr w:type="spellEnd"/>
      <w:r w:rsidRPr="00AC6561">
        <w:t xml:space="preserve"> estimation of batteries. In these techniques, a large amount of data</w:t>
      </w:r>
      <w:r w:rsidR="008311E0" w:rsidRPr="00AC6561">
        <w:t>,</w:t>
      </w:r>
      <w:r w:rsidRPr="00AC6561">
        <w:t xml:space="preserve"> constituted by main battery parameters</w:t>
      </w:r>
      <w:r w:rsidR="008311E0" w:rsidRPr="00AC6561">
        <w:t>,</w:t>
      </w:r>
      <w:r w:rsidRPr="00AC6561">
        <w:t xml:space="preserve"> are collected continuously up to the end of </w:t>
      </w:r>
      <w:r w:rsidR="008311E0" w:rsidRPr="00AC6561">
        <w:t>their</w:t>
      </w:r>
      <w:r w:rsidRPr="00AC6561">
        <w:t xml:space="preserve"> life. The dataset analysis of the battery life</w:t>
      </w:r>
      <w:r w:rsidR="008311E0" w:rsidRPr="00AC6561">
        <w:t>, performed</w:t>
      </w:r>
      <w:r w:rsidRPr="00AC6561">
        <w:t xml:space="preserve"> by learning algorithms</w:t>
      </w:r>
      <w:r w:rsidR="008311E0" w:rsidRPr="00AC6561">
        <w:t>,</w:t>
      </w:r>
      <w:r w:rsidRPr="00AC6561">
        <w:t xml:space="preserve"> extracts non-linear relationships among the various parameters. The knowledge derived from this kind of information can allow a careful management of the battery, thus helping in prolonging the useful life and </w:t>
      </w:r>
      <w:r w:rsidRPr="00AC6561">
        <w:lastRenderedPageBreak/>
        <w:t xml:space="preserve">giving reliable prediction on possible replacement times, with obvious positive impact on costs and investments. </w:t>
      </w:r>
    </w:p>
    <w:p w14:paraId="1593A6C8" w14:textId="6140160F" w:rsidR="00AE154C" w:rsidRPr="00AE154C" w:rsidRDefault="007F08E8" w:rsidP="003723D5">
      <w:pPr>
        <w:pStyle w:val="Bodytextfirst"/>
      </w:pPr>
      <w:r w:rsidRPr="00AC6561">
        <w:t>ML techniques such as, Fuzzy Logic (FL), Support Vector Machine (SVM) and Artificial Neural Networks (ANN) have extensively been applied for the estimation of the health of</w:t>
      </w:r>
      <w:r w:rsidR="00666E02" w:rsidRPr="00AC6561">
        <w:t xml:space="preserve"> </w:t>
      </w:r>
      <w:r w:rsidRPr="00AC6561">
        <w:t>batteries, and a brief review can be found in [</w:t>
      </w:r>
      <w:r w:rsidR="00CC3D2B" w:rsidRPr="00AC6561">
        <w:t>3</w:t>
      </w:r>
      <w:r w:rsidRPr="00AC6561">
        <w:t>].</w:t>
      </w:r>
      <w:r w:rsidRPr="00AC6561">
        <w:rPr>
          <w:lang w:val="en-GB"/>
        </w:rPr>
        <w:t xml:space="preserve"> </w:t>
      </w:r>
      <w:r w:rsidRPr="00AC6561">
        <w:t>In most cases</w:t>
      </w:r>
      <w:r w:rsidR="008311E0" w:rsidRPr="00AC6561">
        <w:t>,</w:t>
      </w:r>
      <w:r w:rsidRPr="00AC6561">
        <w:t xml:space="preserve"> </w:t>
      </w:r>
      <w:proofErr w:type="spellStart"/>
      <w:r w:rsidRPr="00AC6561">
        <w:t>SoH</w:t>
      </w:r>
      <w:proofErr w:type="spellEnd"/>
      <w:r w:rsidRPr="00AC6561">
        <w:t xml:space="preserve"> estimation is performed by determining battery capacity and internal resistance, p</w:t>
      </w:r>
      <w:r w:rsidR="009D168A" w:rsidRPr="00AC6561">
        <w:t xml:space="preserve">arameters strictly related to </w:t>
      </w:r>
      <w:proofErr w:type="spellStart"/>
      <w:r w:rsidR="009D168A" w:rsidRPr="00AC6561">
        <w:t>So</w:t>
      </w:r>
      <w:r w:rsidRPr="00AC6561">
        <w:t>H</w:t>
      </w:r>
      <w:proofErr w:type="spellEnd"/>
      <w:r w:rsidRPr="00AC6561">
        <w:t>, from input variables behavior analysis (current, temperature, voltage, etc.). An application of Fuzzy logic with a potential use in portable device is shown in [</w:t>
      </w:r>
      <w:r w:rsidR="00755D79" w:rsidRPr="00AC6561">
        <w:t>6</w:t>
      </w:r>
      <w:r w:rsidRPr="00AC6561">
        <w:t>].</w:t>
      </w:r>
      <w:r w:rsidR="00CC3D2B" w:rsidRPr="00AC6561">
        <w:t xml:space="preserve"> Here Electrochemical Impedance Spectroscopy (EIS) technique was used for the dataset creation. However, improper hypotheses in the Fuzzy rules [3] and reduced set of observation can lead to s</w:t>
      </w:r>
      <w:r w:rsidR="00836386" w:rsidRPr="00AC6561">
        <w:t xml:space="preserve">ubstantial errors on the result. </w:t>
      </w:r>
      <w:r w:rsidR="00CC3D2B" w:rsidRPr="00AC6561">
        <w:t xml:space="preserve">The Support Vector Machine is a regression algorithm which converts nonlinearities in a lower dimension space </w:t>
      </w:r>
      <w:r w:rsidR="008311E0" w:rsidRPr="00AC6561">
        <w:t>to</w:t>
      </w:r>
      <w:r w:rsidR="00CC3D2B" w:rsidRPr="00AC6561">
        <w:t xml:space="preserve"> a linear model developed in a higher dimension one [</w:t>
      </w:r>
      <w:r w:rsidR="00755D79" w:rsidRPr="00AC6561">
        <w:t>7</w:t>
      </w:r>
      <w:r w:rsidR="00CC3D2B" w:rsidRPr="00AC6561">
        <w:t>]. Examples of application</w:t>
      </w:r>
      <w:r w:rsidR="009D168A" w:rsidRPr="00AC6561">
        <w:t xml:space="preserve"> of this technique applied to </w:t>
      </w:r>
      <w:proofErr w:type="spellStart"/>
      <w:r w:rsidR="009D168A" w:rsidRPr="00AC6561">
        <w:t>So</w:t>
      </w:r>
      <w:r w:rsidR="00CC3D2B" w:rsidRPr="00AC6561">
        <w:t>H</w:t>
      </w:r>
      <w:proofErr w:type="spellEnd"/>
      <w:r w:rsidR="00CC3D2B" w:rsidRPr="00AC6561">
        <w:t xml:space="preserve"> are reported in several works</w:t>
      </w:r>
      <w:r w:rsidR="00884105" w:rsidRPr="00AC6561">
        <w:t xml:space="preserve"> [</w:t>
      </w:r>
      <w:r w:rsidR="00755D79" w:rsidRPr="00AC6561">
        <w:t>8</w:t>
      </w:r>
      <w:r w:rsidR="00884105" w:rsidRPr="00AC6561">
        <w:t>-1</w:t>
      </w:r>
      <w:r w:rsidR="00755D79" w:rsidRPr="00AC6561">
        <w:t>2</w:t>
      </w:r>
      <w:r w:rsidR="00884105" w:rsidRPr="00AC6561">
        <w:t>].</w:t>
      </w:r>
      <w:r w:rsidR="00384995" w:rsidRPr="00AC6561">
        <w:t xml:space="preserve"> </w:t>
      </w:r>
      <w:proofErr w:type="gramStart"/>
      <w:r w:rsidR="00384995" w:rsidRPr="00AC6561">
        <w:t>In particular, in</w:t>
      </w:r>
      <w:proofErr w:type="gramEnd"/>
      <w:r w:rsidR="00384995" w:rsidRPr="00AC6561">
        <w:t xml:space="preserve"> [1</w:t>
      </w:r>
      <w:r w:rsidR="00457B56" w:rsidRPr="00AC6561">
        <w:t>2</w:t>
      </w:r>
      <w:r w:rsidR="00384995" w:rsidRPr="00AC6561">
        <w:t>] a</w:t>
      </w:r>
      <w:r w:rsidR="009D168A" w:rsidRPr="00AC6561">
        <w:t xml:space="preserve">n online method for </w:t>
      </w:r>
      <w:proofErr w:type="spellStart"/>
      <w:r w:rsidR="009D168A" w:rsidRPr="00AC6561">
        <w:t>So</w:t>
      </w:r>
      <w:r w:rsidR="00384995" w:rsidRPr="00AC6561">
        <w:t>H</w:t>
      </w:r>
      <w:proofErr w:type="spellEnd"/>
      <w:r w:rsidR="00384995" w:rsidRPr="00AC6561">
        <w:t xml:space="preserve"> estimation was developed determining support vectors by means </w:t>
      </w:r>
      <w:r w:rsidR="009D168A" w:rsidRPr="00AC6561">
        <w:t xml:space="preserve">of pieces of charging curves. </w:t>
      </w:r>
      <w:proofErr w:type="spellStart"/>
      <w:r w:rsidR="009D168A" w:rsidRPr="00AC6561">
        <w:t>So</w:t>
      </w:r>
      <w:r w:rsidR="00384995" w:rsidRPr="00AC6561">
        <w:t>H</w:t>
      </w:r>
      <w:proofErr w:type="spellEnd"/>
      <w:r w:rsidR="00384995" w:rsidRPr="00AC6561">
        <w:t xml:space="preserve"> with less than 2% error for 80% of all the cases for commercial NMC LI-ion batteries was achieved. The accuracy of the results is strongly dependent on the noise and operational conditions and other data manipulation techniques (particle filter, Bayesian technique) </w:t>
      </w:r>
      <w:proofErr w:type="gramStart"/>
      <w:r w:rsidR="00384995" w:rsidRPr="00AC6561">
        <w:t>have to</w:t>
      </w:r>
      <w:proofErr w:type="gramEnd"/>
      <w:r w:rsidR="00384995" w:rsidRPr="00AC6561">
        <w:t xml:space="preserve"> be used in conjunction with SVM to increase the robustness of the estimation</w:t>
      </w:r>
      <w:r w:rsidR="00AC6561" w:rsidRPr="00AC6561">
        <w:t xml:space="preserve"> [13]</w:t>
      </w:r>
      <w:r w:rsidR="00384995" w:rsidRPr="00AC6561">
        <w:t>, thus increasing the complexity of implementation. Relevance Vector Machine or RVM is suggested as a possible improvement of this approach in</w:t>
      </w:r>
      <w:r w:rsidR="004F237A" w:rsidRPr="00AC6561">
        <w:t xml:space="preserve"> [</w:t>
      </w:r>
      <w:r w:rsidR="00457B56" w:rsidRPr="00AC6561">
        <w:t>7</w:t>
      </w:r>
      <w:r w:rsidR="004F237A" w:rsidRPr="00AC6561">
        <w:t xml:space="preserve">]. Artificial Neural Networks (ANN) are probably the most used approach for modeling of nonlinear systems which is inspired by the biological functioning of the human brain. </w:t>
      </w:r>
      <w:proofErr w:type="spellStart"/>
      <w:r w:rsidR="004F237A" w:rsidRPr="00AC6561">
        <w:t>SoH</w:t>
      </w:r>
      <w:proofErr w:type="spellEnd"/>
      <w:r w:rsidR="004F237A" w:rsidRPr="00AC6561">
        <w:t xml:space="preserve"> estimation using an independently recurrent neural network (in RNN) was realized in [3]. Here </w:t>
      </w:r>
      <w:proofErr w:type="spellStart"/>
      <w:r w:rsidR="004F237A" w:rsidRPr="00AC6561">
        <w:t>SoH</w:t>
      </w:r>
      <w:proofErr w:type="spellEnd"/>
      <w:r w:rsidR="004F237A" w:rsidRPr="00AC6561">
        <w:t xml:space="preserve"> is predicted accurately with root means </w:t>
      </w:r>
      <w:r w:rsidR="00666E02" w:rsidRPr="00AC6561">
        <w:t>s</w:t>
      </w:r>
      <w:r w:rsidR="004F237A" w:rsidRPr="00AC6561">
        <w:t>quare error (RMSE) of 1.33% and mean absolute error (MAE) of 1.14%. The main limitation underlined here is the need of a detailed analysis on experimental dataset</w:t>
      </w:r>
      <w:r w:rsidR="00AC6561" w:rsidRPr="00AC6561">
        <w:t>.</w:t>
      </w:r>
      <w:r w:rsidR="004F237A" w:rsidRPr="00AC6561">
        <w:t xml:space="preserve"> </w:t>
      </w:r>
      <w:r w:rsidR="00AC6561" w:rsidRPr="00AC6561">
        <w:t>D</w:t>
      </w:r>
      <w:r w:rsidR="004F237A" w:rsidRPr="00AC6561">
        <w:t>ifferent chemistries can require a precise identification and understanding of input parameters. In [1</w:t>
      </w:r>
      <w:r w:rsidR="00457B56" w:rsidRPr="00AC6561">
        <w:t>4</w:t>
      </w:r>
      <w:r w:rsidR="004F237A" w:rsidRPr="00AC6561">
        <w:t>] an improved neural network method based on the combination of a LSTM (long-short-term memory) and (PSO) Particle Swarm Optimization was developed.</w:t>
      </w:r>
      <w:r w:rsidR="004F237A">
        <w:t xml:space="preserve"> </w:t>
      </w:r>
      <w:r w:rsidR="00647C87" w:rsidRPr="00AC6561">
        <w:t xml:space="preserve">The methodology proposed here uses some additional techniques in each part of the learning process, such as PSO for optimization of the weights, </w:t>
      </w:r>
      <w:r w:rsidR="004467D1" w:rsidRPr="00AC6561">
        <w:t xml:space="preserve">dynamic </w:t>
      </w:r>
      <w:r w:rsidR="00647C87" w:rsidRPr="00AC6561">
        <w:t xml:space="preserve">incremental learning </w:t>
      </w:r>
      <w:r w:rsidR="004467D1" w:rsidRPr="00AC6561">
        <w:t xml:space="preserve">for </w:t>
      </w:r>
      <w:proofErr w:type="spellStart"/>
      <w:r w:rsidR="00647C87" w:rsidRPr="00AC6561">
        <w:t>S</w:t>
      </w:r>
      <w:r w:rsidR="007D162A" w:rsidRPr="00AC6561">
        <w:t>o</w:t>
      </w:r>
      <w:r w:rsidR="00647C87" w:rsidRPr="00AC6561">
        <w:t>H</w:t>
      </w:r>
      <w:proofErr w:type="spellEnd"/>
      <w:r w:rsidR="004467D1" w:rsidRPr="00AC6561">
        <w:t xml:space="preserve"> model updating</w:t>
      </w:r>
      <w:r w:rsidR="00647C87" w:rsidRPr="00AC6561">
        <w:t>, CEEMDAN method to denoise raw data, with the aim of increasing the accuracy of the model [1</w:t>
      </w:r>
      <w:r w:rsidR="00457B56" w:rsidRPr="00AC6561">
        <w:t>4</w:t>
      </w:r>
      <w:r w:rsidR="00647C87" w:rsidRPr="00AC6561">
        <w:t>]. Another hybrid approach can be found in [1</w:t>
      </w:r>
      <w:r w:rsidR="00457B56" w:rsidRPr="00AC6561">
        <w:t>5</w:t>
      </w:r>
      <w:r w:rsidR="00647C87" w:rsidRPr="00AC6561">
        <w:t>] where false nearest neighbor method is used in conjunction with a mixed LSTM and convolutional neural network (CNN)</w:t>
      </w:r>
      <w:r w:rsidR="005261CF" w:rsidRPr="00AC6561">
        <w:t xml:space="preserve"> as solution for unreliable sliding window sizes, a problem commonly present in data-driven RUL evaluation approaches</w:t>
      </w:r>
      <w:r w:rsidR="00647C87" w:rsidRPr="00AC6561">
        <w:t xml:space="preserve">. The </w:t>
      </w:r>
      <w:r w:rsidR="00647C87" w:rsidRPr="00AC6561">
        <w:t xml:space="preserve">complexity and topology of ANN used in these works is actually classified as deep learning, an evolution of the machine learning concept coined for neural networks which exploits the concept of multi-layer perceptron (MLP). </w:t>
      </w:r>
      <w:r w:rsidR="004F237A" w:rsidRPr="00AC6561">
        <w:t>A comparison of deep learning over different other common techniques showing its potential and advantages of data driven approaches is presented in [</w:t>
      </w:r>
      <w:r w:rsidR="00532FB9" w:rsidRPr="00AC6561">
        <w:t>4</w:t>
      </w:r>
      <w:r w:rsidR="004F237A" w:rsidRPr="00AC6561">
        <w:t>]</w:t>
      </w:r>
      <w:r w:rsidR="00AE154C" w:rsidRPr="00AC6561">
        <w:t>. The outcomes show the goodness of deep neural networks (DNN) which are suitable when high accuracy is needed. However, also this technique is not very easily implementable due to higher computational complexity and resources needed [</w:t>
      </w:r>
      <w:r w:rsidR="00532FB9" w:rsidRPr="00AC6561">
        <w:t>4</w:t>
      </w:r>
      <w:r w:rsidR="00AE154C" w:rsidRPr="00AC6561">
        <w:t>].</w:t>
      </w:r>
      <w:r w:rsidR="00AE154C" w:rsidRPr="00AE154C">
        <w:t xml:space="preserve"> </w:t>
      </w:r>
    </w:p>
    <w:p w14:paraId="3E101A0A" w14:textId="7944A5CC" w:rsidR="002212FD" w:rsidRPr="00AC6561" w:rsidRDefault="00AE154C" w:rsidP="003723D5">
      <w:pPr>
        <w:pStyle w:val="Bodytextfirst"/>
        <w:rPr>
          <w:lang w:val="en-GB"/>
        </w:rPr>
      </w:pPr>
      <w:r w:rsidRPr="00AC6561">
        <w:t>A lot of other techniques and approaches can be found in literature on this topic. Although they are not described here for sake of space, the goal of a possible implementation in BMS suggest</w:t>
      </w:r>
      <w:r w:rsidR="00EF11E6" w:rsidRPr="00AC6561">
        <w:t>s</w:t>
      </w:r>
      <w:r w:rsidRPr="00AC6561">
        <w:t xml:space="preserve"> the choice of low-complexity approaches</w:t>
      </w:r>
      <w:r w:rsidR="00B60DE2" w:rsidRPr="00AC6561">
        <w:t xml:space="preserve"> to reduce</w:t>
      </w:r>
      <w:r w:rsidR="002212FD" w:rsidRPr="00AC6561">
        <w:rPr>
          <w:lang w:val="en-GB"/>
        </w:rPr>
        <w:t xml:space="preserve"> computational resources </w:t>
      </w:r>
      <w:r w:rsidR="00B60DE2" w:rsidRPr="00AC6561">
        <w:rPr>
          <w:lang w:val="en-GB"/>
        </w:rPr>
        <w:t xml:space="preserve">needed </w:t>
      </w:r>
      <w:r w:rsidR="002212FD" w:rsidRPr="00AC6561">
        <w:rPr>
          <w:lang w:val="en-GB"/>
        </w:rPr>
        <w:t xml:space="preserve">and </w:t>
      </w:r>
      <w:r w:rsidR="00B60DE2" w:rsidRPr="00AC6561">
        <w:rPr>
          <w:lang w:val="en-GB"/>
        </w:rPr>
        <w:t xml:space="preserve">thus </w:t>
      </w:r>
      <w:r w:rsidR="002212FD" w:rsidRPr="00AC6561">
        <w:rPr>
          <w:lang w:val="en-GB"/>
        </w:rPr>
        <w:t>lead</w:t>
      </w:r>
      <w:r w:rsidR="00B60DE2" w:rsidRPr="00AC6561">
        <w:rPr>
          <w:lang w:val="en-GB"/>
        </w:rPr>
        <w:t>ing</w:t>
      </w:r>
      <w:r w:rsidR="002212FD" w:rsidRPr="00AC6561">
        <w:rPr>
          <w:lang w:val="en-GB"/>
        </w:rPr>
        <w:t xml:space="preserve"> to </w:t>
      </w:r>
      <w:r w:rsidR="00B60DE2" w:rsidRPr="00AC6561">
        <w:rPr>
          <w:lang w:val="en-GB"/>
        </w:rPr>
        <w:t>lowe</w:t>
      </w:r>
      <w:r w:rsidR="002212FD" w:rsidRPr="00AC6561">
        <w:rPr>
          <w:lang w:val="en-GB"/>
        </w:rPr>
        <w:t xml:space="preserve">r energy consumption. </w:t>
      </w:r>
      <w:r w:rsidR="00B60DE2" w:rsidRPr="00AC6561">
        <w:rPr>
          <w:lang w:val="en-GB"/>
        </w:rPr>
        <w:t xml:space="preserve">A possible alternative is given by </w:t>
      </w:r>
      <w:r w:rsidR="002212FD" w:rsidRPr="00AC6561">
        <w:rPr>
          <w:lang w:val="en-GB"/>
        </w:rPr>
        <w:t>Random Forest algorithms</w:t>
      </w:r>
      <w:r w:rsidR="00EF11E6" w:rsidRPr="00AC6561">
        <w:rPr>
          <w:lang w:val="en-GB"/>
        </w:rPr>
        <w:t>.</w:t>
      </w:r>
      <w:r w:rsidR="00B60DE2" w:rsidRPr="00AC6561">
        <w:rPr>
          <w:lang w:val="en-GB"/>
        </w:rPr>
        <w:t xml:space="preserve"> </w:t>
      </w:r>
      <w:r w:rsidR="00EF11E6" w:rsidRPr="00AC6561">
        <w:rPr>
          <w:lang w:val="en-GB"/>
        </w:rPr>
        <w:t>T</w:t>
      </w:r>
      <w:r w:rsidR="00B60DE2" w:rsidRPr="00AC6561">
        <w:rPr>
          <w:lang w:val="en-GB"/>
        </w:rPr>
        <w:t>hey</w:t>
      </w:r>
      <w:r w:rsidR="002212FD" w:rsidRPr="00AC6561">
        <w:rPr>
          <w:lang w:val="en-GB"/>
        </w:rPr>
        <w:t xml:space="preserve"> generally us</w:t>
      </w:r>
      <w:r w:rsidR="00B60DE2" w:rsidRPr="00AC6561">
        <w:rPr>
          <w:lang w:val="en-GB"/>
        </w:rPr>
        <w:t>e</w:t>
      </w:r>
      <w:r w:rsidR="002212FD" w:rsidRPr="00AC6561">
        <w:rPr>
          <w:lang w:val="en-GB"/>
        </w:rPr>
        <w:t xml:space="preserve"> reduced computation resources,</w:t>
      </w:r>
      <w:r w:rsidR="00B60DE2" w:rsidRPr="00AC6561">
        <w:rPr>
          <w:lang w:val="en-GB"/>
        </w:rPr>
        <w:t xml:space="preserve"> and</w:t>
      </w:r>
      <w:r w:rsidR="002212FD" w:rsidRPr="00AC6561">
        <w:rPr>
          <w:lang w:val="en-GB"/>
        </w:rPr>
        <w:t xml:space="preserve"> </w:t>
      </w:r>
      <w:r w:rsidR="004467D1" w:rsidRPr="00AC6561">
        <w:rPr>
          <w:lang w:val="en-GB"/>
        </w:rPr>
        <w:t xml:space="preserve">thus </w:t>
      </w:r>
      <w:r w:rsidR="00B60DE2" w:rsidRPr="00AC6561">
        <w:rPr>
          <w:lang w:val="en-GB"/>
        </w:rPr>
        <w:t>can result</w:t>
      </w:r>
      <w:r w:rsidR="002212FD" w:rsidRPr="00AC6561">
        <w:rPr>
          <w:lang w:val="en-GB"/>
        </w:rPr>
        <w:t xml:space="preserve"> preferable </w:t>
      </w:r>
      <w:r w:rsidR="004467D1" w:rsidRPr="00AC6561">
        <w:rPr>
          <w:lang w:val="en-GB"/>
        </w:rPr>
        <w:t xml:space="preserve">in comparison to other </w:t>
      </w:r>
      <w:r w:rsidR="00B60DE2" w:rsidRPr="00AC6561">
        <w:rPr>
          <w:lang w:val="en-GB"/>
        </w:rPr>
        <w:t>techniques analyse</w:t>
      </w:r>
      <w:r w:rsidR="004467D1" w:rsidRPr="00AC6561">
        <w:rPr>
          <w:lang w:val="en-GB"/>
        </w:rPr>
        <w:t>d</w:t>
      </w:r>
      <w:r w:rsidR="00B60DE2" w:rsidRPr="00AC6561">
        <w:rPr>
          <w:lang w:val="en-GB"/>
        </w:rPr>
        <w:t>,</w:t>
      </w:r>
      <w:r w:rsidR="004467D1" w:rsidRPr="00AC6561">
        <w:rPr>
          <w:lang w:val="en-GB"/>
        </w:rPr>
        <w:t xml:space="preserve"> based on</w:t>
      </w:r>
      <w:r w:rsidR="00B60DE2" w:rsidRPr="00AC6561">
        <w:rPr>
          <w:lang w:val="en-GB"/>
        </w:rPr>
        <w:t xml:space="preserve"> </w:t>
      </w:r>
      <w:r w:rsidR="002212FD" w:rsidRPr="00AC6561">
        <w:rPr>
          <w:lang w:val="en-GB"/>
        </w:rPr>
        <w:t xml:space="preserve">SVM and NN. </w:t>
      </w:r>
      <w:r w:rsidR="00B60DE2" w:rsidRPr="00AC6561">
        <w:rPr>
          <w:lang w:val="en-GB"/>
        </w:rPr>
        <w:t xml:space="preserve">In general, Linear regressors or Random Forest response is faster than complex model and easily interpreted. </w:t>
      </w:r>
      <w:r w:rsidR="002212FD" w:rsidRPr="00AC6561">
        <w:rPr>
          <w:lang w:val="en-GB"/>
        </w:rPr>
        <w:t xml:space="preserve">However, </w:t>
      </w:r>
      <w:r w:rsidR="00B60DE2" w:rsidRPr="00AC6561">
        <w:rPr>
          <w:lang w:val="en-GB"/>
        </w:rPr>
        <w:t>i</w:t>
      </w:r>
      <w:r w:rsidR="002212FD" w:rsidRPr="00AC6561">
        <w:rPr>
          <w:lang w:val="en-GB"/>
        </w:rPr>
        <w:t xml:space="preserve">t </w:t>
      </w:r>
      <w:proofErr w:type="gramStart"/>
      <w:r w:rsidR="002212FD" w:rsidRPr="00AC6561">
        <w:rPr>
          <w:lang w:val="en-GB"/>
        </w:rPr>
        <w:t>has to</w:t>
      </w:r>
      <w:proofErr w:type="gramEnd"/>
      <w:r w:rsidR="002212FD" w:rsidRPr="00AC6561">
        <w:rPr>
          <w:lang w:val="en-GB"/>
        </w:rPr>
        <w:t xml:space="preserve"> be underlined that the accuracy in Random Forest models is related to the number and size of trees and therefore to the availability of memory</w:t>
      </w:r>
      <w:r w:rsidR="004467D1" w:rsidRPr="00AC6561">
        <w:rPr>
          <w:lang w:val="en-GB"/>
        </w:rPr>
        <w:t xml:space="preserve"> [1</w:t>
      </w:r>
      <w:r w:rsidR="003723D5">
        <w:rPr>
          <w:lang w:val="en-GB"/>
        </w:rPr>
        <w:t>,</w:t>
      </w:r>
      <w:r w:rsidR="00532FB9" w:rsidRPr="00AC6561">
        <w:rPr>
          <w:lang w:val="en-GB"/>
        </w:rPr>
        <w:t>16</w:t>
      </w:r>
      <w:r w:rsidR="004467D1" w:rsidRPr="00AC6561">
        <w:rPr>
          <w:lang w:val="en-GB"/>
        </w:rPr>
        <w:t>]</w:t>
      </w:r>
      <w:r w:rsidR="002212FD" w:rsidRPr="00AC6561">
        <w:rPr>
          <w:lang w:val="en-GB"/>
        </w:rPr>
        <w:t xml:space="preserve">. </w:t>
      </w:r>
    </w:p>
    <w:p w14:paraId="6F477F9C" w14:textId="1AB58AE7" w:rsidR="00E51DC5" w:rsidRPr="00AE1395" w:rsidRDefault="00AF35F4" w:rsidP="00AE1395">
      <w:pPr>
        <w:pStyle w:val="Sectionheading"/>
        <w:ind w:left="284" w:hanging="284"/>
        <w:rPr>
          <w:lang w:val="en-US"/>
        </w:rPr>
      </w:pPr>
      <w:r w:rsidRPr="00AE1395">
        <w:rPr>
          <w:lang w:val="en-US"/>
        </w:rPr>
        <w:t>Dataset collection and creation</w:t>
      </w:r>
    </w:p>
    <w:p w14:paraId="470C543A" w14:textId="62309B82" w:rsidR="00E51DC5" w:rsidRPr="003723D5" w:rsidRDefault="00647C87" w:rsidP="003723D5">
      <w:pPr>
        <w:pStyle w:val="Bodytextfirst"/>
      </w:pPr>
      <w:r w:rsidRPr="003723D5">
        <w:t>The work was aimed for</w:t>
      </w:r>
      <w:r w:rsidR="00AF35F4" w:rsidRPr="003723D5">
        <w:t xml:space="preserve"> the development of a method to identify the degradation level induced </w:t>
      </w:r>
      <w:proofErr w:type="gramStart"/>
      <w:r w:rsidR="00AF35F4" w:rsidRPr="003723D5">
        <w:t>by the use of</w:t>
      </w:r>
      <w:proofErr w:type="gramEnd"/>
      <w:r w:rsidR="00AF35F4" w:rsidRPr="003723D5">
        <w:t xml:space="preserve"> </w:t>
      </w:r>
      <w:r w:rsidR="00B33C45" w:rsidRPr="003723D5">
        <w:t>Li-Ion</w:t>
      </w:r>
      <w:r w:rsidR="00AF35F4" w:rsidRPr="003723D5">
        <w:t xml:space="preserve"> batteries in a primary fre</w:t>
      </w:r>
      <w:r w:rsidR="002E11E6" w:rsidRPr="003723D5">
        <w:t>quency regulation (</w:t>
      </w:r>
      <w:r w:rsidR="00A569AD" w:rsidRPr="003723D5">
        <w:t>F</w:t>
      </w:r>
      <w:r w:rsidR="002E11E6" w:rsidRPr="003723D5">
        <w:t>R</w:t>
      </w:r>
      <w:r w:rsidR="00A569AD" w:rsidRPr="003723D5">
        <w:t>) service.</w:t>
      </w:r>
      <w:r w:rsidR="00AE154C" w:rsidRPr="003723D5">
        <w:t xml:space="preserve"> More precisely, the activity </w:t>
      </w:r>
      <w:r w:rsidR="00AF35F4" w:rsidRPr="003723D5">
        <w:t xml:space="preserve">was focused </w:t>
      </w:r>
      <w:r w:rsidRPr="003723D5">
        <w:t>on</w:t>
      </w:r>
      <w:r w:rsidR="00AF35F4" w:rsidRPr="003723D5">
        <w:t xml:space="preserve"> the identification of the main parameters indicating the state of battery degradation</w:t>
      </w:r>
      <w:r w:rsidR="00AE154C" w:rsidRPr="003723D5">
        <w:t>.</w:t>
      </w:r>
      <w:r w:rsidR="00AF35F4" w:rsidRPr="003723D5">
        <w:t xml:space="preserve"> For this purpose, cylindrical-type 18650 </w:t>
      </w:r>
      <w:r w:rsidR="00B33C45" w:rsidRPr="003723D5">
        <w:t>Li-Ion</w:t>
      </w:r>
      <w:r w:rsidR="00AF35F4" w:rsidRPr="003723D5">
        <w:t>-ion cells (Table 1) were cycle aged according to a test profile extrapolated by the standard IEC 61427-2 [</w:t>
      </w:r>
      <w:r w:rsidR="00AE154C" w:rsidRPr="003723D5">
        <w:t>1</w:t>
      </w:r>
      <w:r w:rsidR="00532FB9" w:rsidRPr="003723D5">
        <w:t>7</w:t>
      </w:r>
      <w:r w:rsidR="00AF35F4" w:rsidRPr="003723D5">
        <w:t>].</w:t>
      </w:r>
    </w:p>
    <w:p w14:paraId="16FE7069" w14:textId="13543C85" w:rsidR="00AF35F4" w:rsidRPr="00AF35F4" w:rsidRDefault="00AF35F4" w:rsidP="00AF35F4">
      <w:pPr>
        <w:pStyle w:val="Didascalia1"/>
        <w:rPr>
          <w:i w:val="0"/>
          <w:iCs w:val="0"/>
          <w:lang w:val="en-US"/>
        </w:rPr>
      </w:pPr>
      <w:r w:rsidRPr="00EC073B">
        <w:rPr>
          <w:lang w:val="en-US"/>
        </w:rPr>
        <w:t xml:space="preserve">Table 1. </w:t>
      </w:r>
      <w:r w:rsidRPr="00CC150A">
        <w:rPr>
          <w:lang w:val="en-GB"/>
        </w:rPr>
        <w:t xml:space="preserve">Main characteristics of the tested </w:t>
      </w:r>
      <w:r w:rsidR="00B33C45">
        <w:rPr>
          <w:lang w:val="en-GB"/>
        </w:rPr>
        <w:t>Li-Ion</w:t>
      </w:r>
      <w:r w:rsidRPr="00CC150A">
        <w:rPr>
          <w:lang w:val="en-GB"/>
        </w:rPr>
        <w:t xml:space="preserve"> cell</w:t>
      </w:r>
      <w:r w:rsidRPr="00AF35F4">
        <w:rPr>
          <w:lang w:val="en-US"/>
        </w:rPr>
        <w:t>.</w:t>
      </w:r>
    </w:p>
    <w:tbl>
      <w:tblPr>
        <w:tblStyle w:val="Grigliatabellachiara"/>
        <w:tblW w:w="0" w:type="auto"/>
        <w:jc w:val="center"/>
        <w:tblLook w:val="0000" w:firstRow="0" w:lastRow="0" w:firstColumn="0" w:lastColumn="0" w:noHBand="0" w:noVBand="0"/>
      </w:tblPr>
      <w:tblGrid>
        <w:gridCol w:w="2029"/>
        <w:gridCol w:w="2002"/>
      </w:tblGrid>
      <w:tr w:rsidR="00AF35F4" w14:paraId="461CB2F1" w14:textId="77777777" w:rsidTr="00CB402C">
        <w:trPr>
          <w:jc w:val="center"/>
        </w:trPr>
        <w:tc>
          <w:tcPr>
            <w:tcW w:w="0" w:type="auto"/>
          </w:tcPr>
          <w:p w14:paraId="3A2B25FD" w14:textId="0EBACCC2" w:rsidR="00AF35F4" w:rsidRPr="00AF35F4" w:rsidRDefault="00AF35F4" w:rsidP="00384B34">
            <w:pPr>
              <w:pStyle w:val="Intestazionetabella"/>
              <w:rPr>
                <w:b w:val="0"/>
                <w:bCs w:val="0"/>
                <w:sz w:val="20"/>
                <w:szCs w:val="20"/>
              </w:rPr>
            </w:pPr>
            <w:r w:rsidRPr="00AF35F4">
              <w:rPr>
                <w:b w:val="0"/>
                <w:sz w:val="20"/>
                <w:szCs w:val="20"/>
              </w:rPr>
              <w:t>Description</w:t>
            </w:r>
          </w:p>
        </w:tc>
        <w:tc>
          <w:tcPr>
            <w:tcW w:w="0" w:type="auto"/>
          </w:tcPr>
          <w:p w14:paraId="245D3D71" w14:textId="5AA2B6A5" w:rsidR="00AF35F4" w:rsidRPr="00AF35F4" w:rsidRDefault="00AF35F4" w:rsidP="00384B34">
            <w:pPr>
              <w:pStyle w:val="Intestazionetabella"/>
              <w:rPr>
                <w:b w:val="0"/>
                <w:bCs w:val="0"/>
                <w:sz w:val="20"/>
                <w:szCs w:val="20"/>
              </w:rPr>
            </w:pPr>
            <w:r w:rsidRPr="00AF35F4">
              <w:rPr>
                <w:b w:val="0"/>
                <w:sz w:val="20"/>
                <w:szCs w:val="20"/>
              </w:rPr>
              <w:t>Value</w:t>
            </w:r>
          </w:p>
        </w:tc>
      </w:tr>
      <w:tr w:rsidR="00AF35F4" w14:paraId="20F040EA" w14:textId="77777777" w:rsidTr="00CB402C">
        <w:trPr>
          <w:jc w:val="center"/>
        </w:trPr>
        <w:tc>
          <w:tcPr>
            <w:tcW w:w="0" w:type="auto"/>
          </w:tcPr>
          <w:p w14:paraId="56099ADF" w14:textId="244E42F4" w:rsidR="00AF35F4" w:rsidRPr="00AF35F4" w:rsidRDefault="00AF35F4" w:rsidP="00384B34">
            <w:pPr>
              <w:pStyle w:val="Contenutotabella"/>
              <w:jc w:val="center"/>
              <w:rPr>
                <w:sz w:val="20"/>
                <w:szCs w:val="20"/>
              </w:rPr>
            </w:pPr>
            <w:proofErr w:type="spellStart"/>
            <w:r w:rsidRPr="00AF35F4">
              <w:rPr>
                <w:sz w:val="20"/>
                <w:szCs w:val="20"/>
              </w:rPr>
              <w:t>Nominal</w:t>
            </w:r>
            <w:proofErr w:type="spellEnd"/>
            <w:r w:rsidRPr="00AF35F4">
              <w:rPr>
                <w:sz w:val="20"/>
                <w:szCs w:val="20"/>
              </w:rPr>
              <w:t xml:space="preserve"> </w:t>
            </w:r>
            <w:proofErr w:type="spellStart"/>
            <w:r w:rsidRPr="00AF35F4">
              <w:rPr>
                <w:sz w:val="20"/>
                <w:szCs w:val="20"/>
              </w:rPr>
              <w:t>voltage</w:t>
            </w:r>
            <w:proofErr w:type="spellEnd"/>
          </w:p>
        </w:tc>
        <w:tc>
          <w:tcPr>
            <w:tcW w:w="0" w:type="auto"/>
          </w:tcPr>
          <w:p w14:paraId="49873640" w14:textId="5500D6A0" w:rsidR="00AF35F4" w:rsidRPr="00AF35F4" w:rsidRDefault="00AF35F4" w:rsidP="00384B34">
            <w:pPr>
              <w:pStyle w:val="Contenutotabella"/>
              <w:jc w:val="center"/>
              <w:rPr>
                <w:sz w:val="20"/>
                <w:szCs w:val="20"/>
              </w:rPr>
            </w:pPr>
            <w:r w:rsidRPr="00AF35F4">
              <w:rPr>
                <w:sz w:val="20"/>
                <w:szCs w:val="20"/>
              </w:rPr>
              <w:t>3.7 V</w:t>
            </w:r>
          </w:p>
        </w:tc>
      </w:tr>
      <w:tr w:rsidR="00AF35F4" w14:paraId="1534824D" w14:textId="77777777" w:rsidTr="00CB402C">
        <w:trPr>
          <w:jc w:val="center"/>
        </w:trPr>
        <w:tc>
          <w:tcPr>
            <w:tcW w:w="0" w:type="auto"/>
          </w:tcPr>
          <w:p w14:paraId="3BF71C3D" w14:textId="77284444" w:rsidR="00AF35F4" w:rsidRPr="00AF35F4" w:rsidRDefault="00AF35F4" w:rsidP="00384B34">
            <w:pPr>
              <w:pStyle w:val="Contenutotabella"/>
              <w:jc w:val="center"/>
              <w:rPr>
                <w:sz w:val="20"/>
                <w:szCs w:val="20"/>
              </w:rPr>
            </w:pPr>
            <w:proofErr w:type="spellStart"/>
            <w:r w:rsidRPr="00AF35F4">
              <w:rPr>
                <w:sz w:val="20"/>
                <w:szCs w:val="20"/>
              </w:rPr>
              <w:t>Nominal</w:t>
            </w:r>
            <w:proofErr w:type="spellEnd"/>
            <w:r w:rsidRPr="00AF35F4">
              <w:rPr>
                <w:sz w:val="20"/>
                <w:szCs w:val="20"/>
              </w:rPr>
              <w:t xml:space="preserve"> </w:t>
            </w:r>
            <w:proofErr w:type="spellStart"/>
            <w:r w:rsidRPr="00AF35F4">
              <w:rPr>
                <w:sz w:val="20"/>
                <w:szCs w:val="20"/>
              </w:rPr>
              <w:t>capacity</w:t>
            </w:r>
            <w:proofErr w:type="spellEnd"/>
          </w:p>
        </w:tc>
        <w:tc>
          <w:tcPr>
            <w:tcW w:w="0" w:type="auto"/>
          </w:tcPr>
          <w:p w14:paraId="120311BA" w14:textId="68510CD1" w:rsidR="00AF35F4" w:rsidRPr="00AF35F4" w:rsidRDefault="00AF35F4" w:rsidP="00384B34">
            <w:pPr>
              <w:pStyle w:val="Contenutotabella"/>
              <w:jc w:val="center"/>
              <w:rPr>
                <w:sz w:val="20"/>
                <w:szCs w:val="20"/>
              </w:rPr>
            </w:pPr>
            <w:r w:rsidRPr="00AF35F4">
              <w:rPr>
                <w:sz w:val="20"/>
                <w:szCs w:val="20"/>
              </w:rPr>
              <w:t>1.1 Ah</w:t>
            </w:r>
          </w:p>
        </w:tc>
      </w:tr>
      <w:tr w:rsidR="00AF35F4" w14:paraId="6929606B" w14:textId="77777777" w:rsidTr="00CB402C">
        <w:trPr>
          <w:jc w:val="center"/>
        </w:trPr>
        <w:tc>
          <w:tcPr>
            <w:tcW w:w="0" w:type="auto"/>
          </w:tcPr>
          <w:p w14:paraId="37AABDC0" w14:textId="08659F12" w:rsidR="00AF35F4" w:rsidRPr="00AF35F4" w:rsidRDefault="00AF35F4" w:rsidP="00384B34">
            <w:pPr>
              <w:pStyle w:val="Contenutotabella"/>
              <w:jc w:val="center"/>
              <w:rPr>
                <w:sz w:val="20"/>
                <w:szCs w:val="20"/>
              </w:rPr>
            </w:pPr>
            <w:r w:rsidRPr="00AF35F4">
              <w:rPr>
                <w:sz w:val="20"/>
                <w:szCs w:val="20"/>
              </w:rPr>
              <w:t xml:space="preserve">Max </w:t>
            </w:r>
            <w:proofErr w:type="spellStart"/>
            <w:r w:rsidRPr="00AF35F4">
              <w:rPr>
                <w:sz w:val="20"/>
                <w:szCs w:val="20"/>
              </w:rPr>
              <w:t>charge</w:t>
            </w:r>
            <w:proofErr w:type="spellEnd"/>
            <w:r w:rsidRPr="00AF35F4">
              <w:rPr>
                <w:sz w:val="20"/>
                <w:szCs w:val="20"/>
              </w:rPr>
              <w:t xml:space="preserve"> </w:t>
            </w:r>
            <w:proofErr w:type="spellStart"/>
            <w:r w:rsidRPr="00AF35F4">
              <w:rPr>
                <w:sz w:val="20"/>
                <w:szCs w:val="20"/>
              </w:rPr>
              <w:t>current</w:t>
            </w:r>
            <w:proofErr w:type="spellEnd"/>
          </w:p>
        </w:tc>
        <w:tc>
          <w:tcPr>
            <w:tcW w:w="0" w:type="auto"/>
          </w:tcPr>
          <w:p w14:paraId="2C3E32A3" w14:textId="3D9433A8" w:rsidR="00AF35F4" w:rsidRPr="00AF35F4" w:rsidRDefault="00AF35F4" w:rsidP="00384B34">
            <w:pPr>
              <w:pStyle w:val="Contenutotabella"/>
              <w:jc w:val="center"/>
              <w:rPr>
                <w:sz w:val="20"/>
                <w:szCs w:val="20"/>
              </w:rPr>
            </w:pPr>
            <w:r w:rsidRPr="00AF35F4">
              <w:rPr>
                <w:sz w:val="20"/>
                <w:szCs w:val="20"/>
              </w:rPr>
              <w:t>4 A</w:t>
            </w:r>
          </w:p>
        </w:tc>
      </w:tr>
      <w:tr w:rsidR="00AF35F4" w14:paraId="3620D392" w14:textId="77777777" w:rsidTr="00CB402C">
        <w:trPr>
          <w:jc w:val="center"/>
        </w:trPr>
        <w:tc>
          <w:tcPr>
            <w:tcW w:w="0" w:type="auto"/>
          </w:tcPr>
          <w:p w14:paraId="3EF553DA" w14:textId="798E7DC2" w:rsidR="00AF35F4" w:rsidRPr="00AF35F4" w:rsidRDefault="00AF35F4" w:rsidP="00384B34">
            <w:pPr>
              <w:pStyle w:val="Contenutotabella"/>
              <w:jc w:val="center"/>
              <w:rPr>
                <w:sz w:val="20"/>
                <w:szCs w:val="20"/>
              </w:rPr>
            </w:pPr>
            <w:r w:rsidRPr="00AF35F4">
              <w:rPr>
                <w:sz w:val="20"/>
                <w:szCs w:val="20"/>
              </w:rPr>
              <w:t xml:space="preserve">Max </w:t>
            </w:r>
            <w:proofErr w:type="spellStart"/>
            <w:r w:rsidRPr="00AF35F4">
              <w:rPr>
                <w:sz w:val="20"/>
                <w:szCs w:val="20"/>
              </w:rPr>
              <w:t>discharge</w:t>
            </w:r>
            <w:proofErr w:type="spellEnd"/>
            <w:r w:rsidRPr="00AF35F4">
              <w:rPr>
                <w:sz w:val="20"/>
                <w:szCs w:val="20"/>
              </w:rPr>
              <w:t xml:space="preserve"> </w:t>
            </w:r>
            <w:proofErr w:type="spellStart"/>
            <w:r w:rsidRPr="00AF35F4">
              <w:rPr>
                <w:sz w:val="20"/>
                <w:szCs w:val="20"/>
              </w:rPr>
              <w:t>current</w:t>
            </w:r>
            <w:proofErr w:type="spellEnd"/>
          </w:p>
        </w:tc>
        <w:tc>
          <w:tcPr>
            <w:tcW w:w="0" w:type="auto"/>
          </w:tcPr>
          <w:p w14:paraId="649EAB5C" w14:textId="6A7B717D" w:rsidR="00AF35F4" w:rsidRPr="00AF35F4" w:rsidRDefault="00AF35F4" w:rsidP="00384B34">
            <w:pPr>
              <w:pStyle w:val="Contenutotabella"/>
              <w:jc w:val="center"/>
              <w:rPr>
                <w:sz w:val="20"/>
                <w:szCs w:val="20"/>
              </w:rPr>
            </w:pPr>
            <w:r w:rsidRPr="00AF35F4">
              <w:rPr>
                <w:sz w:val="20"/>
                <w:szCs w:val="20"/>
              </w:rPr>
              <w:t>10 A</w:t>
            </w:r>
          </w:p>
        </w:tc>
      </w:tr>
      <w:tr w:rsidR="00AF35F4" w14:paraId="508D698D" w14:textId="77777777" w:rsidTr="00CB402C">
        <w:trPr>
          <w:jc w:val="center"/>
        </w:trPr>
        <w:tc>
          <w:tcPr>
            <w:tcW w:w="0" w:type="auto"/>
          </w:tcPr>
          <w:p w14:paraId="60A7BE6E" w14:textId="1CBDA58C" w:rsidR="00AF35F4" w:rsidRPr="00AF35F4" w:rsidRDefault="00AF35F4" w:rsidP="00384B34">
            <w:pPr>
              <w:pStyle w:val="Contenutotabella"/>
              <w:jc w:val="center"/>
              <w:rPr>
                <w:sz w:val="20"/>
                <w:szCs w:val="20"/>
              </w:rPr>
            </w:pPr>
            <w:r w:rsidRPr="00AF35F4">
              <w:rPr>
                <w:sz w:val="20"/>
                <w:szCs w:val="20"/>
              </w:rPr>
              <w:t xml:space="preserve">Maximum </w:t>
            </w:r>
            <w:proofErr w:type="spellStart"/>
            <w:r w:rsidRPr="00AF35F4">
              <w:rPr>
                <w:sz w:val="20"/>
                <w:szCs w:val="20"/>
              </w:rPr>
              <w:t>voltage</w:t>
            </w:r>
            <w:proofErr w:type="spellEnd"/>
          </w:p>
        </w:tc>
        <w:tc>
          <w:tcPr>
            <w:tcW w:w="0" w:type="auto"/>
          </w:tcPr>
          <w:p w14:paraId="1E417760" w14:textId="3284BD3C" w:rsidR="00AF35F4" w:rsidRPr="00AF35F4" w:rsidRDefault="00AF35F4" w:rsidP="00384B34">
            <w:pPr>
              <w:pStyle w:val="Contenutotabella"/>
              <w:jc w:val="center"/>
              <w:rPr>
                <w:sz w:val="20"/>
                <w:szCs w:val="20"/>
              </w:rPr>
            </w:pPr>
            <w:r w:rsidRPr="00AF35F4">
              <w:rPr>
                <w:sz w:val="20"/>
                <w:szCs w:val="20"/>
              </w:rPr>
              <w:t>4.2 V</w:t>
            </w:r>
          </w:p>
        </w:tc>
      </w:tr>
      <w:tr w:rsidR="00AF35F4" w14:paraId="19487F7B" w14:textId="77777777" w:rsidTr="00CB402C">
        <w:trPr>
          <w:jc w:val="center"/>
        </w:trPr>
        <w:tc>
          <w:tcPr>
            <w:tcW w:w="0" w:type="auto"/>
          </w:tcPr>
          <w:p w14:paraId="1BDDABFC" w14:textId="295C6451" w:rsidR="00AF35F4" w:rsidRPr="00AF35F4" w:rsidRDefault="00AF35F4" w:rsidP="00384B34">
            <w:pPr>
              <w:pStyle w:val="Contenutotabella"/>
              <w:jc w:val="center"/>
              <w:rPr>
                <w:sz w:val="20"/>
                <w:szCs w:val="20"/>
              </w:rPr>
            </w:pPr>
            <w:r w:rsidRPr="00AF35F4">
              <w:rPr>
                <w:sz w:val="20"/>
                <w:szCs w:val="20"/>
              </w:rPr>
              <w:t xml:space="preserve">Minimum </w:t>
            </w:r>
            <w:proofErr w:type="spellStart"/>
            <w:r w:rsidRPr="00AF35F4">
              <w:rPr>
                <w:sz w:val="20"/>
                <w:szCs w:val="20"/>
              </w:rPr>
              <w:t>voltage</w:t>
            </w:r>
            <w:proofErr w:type="spellEnd"/>
          </w:p>
        </w:tc>
        <w:tc>
          <w:tcPr>
            <w:tcW w:w="0" w:type="auto"/>
          </w:tcPr>
          <w:p w14:paraId="221BA2FD" w14:textId="58812FC5" w:rsidR="00AF35F4" w:rsidRPr="00AF35F4" w:rsidRDefault="00AF35F4" w:rsidP="00384B34">
            <w:pPr>
              <w:pStyle w:val="Contenutotabella"/>
              <w:jc w:val="center"/>
              <w:rPr>
                <w:sz w:val="20"/>
                <w:szCs w:val="20"/>
              </w:rPr>
            </w:pPr>
            <w:r w:rsidRPr="00AF35F4">
              <w:rPr>
                <w:sz w:val="20"/>
                <w:szCs w:val="20"/>
              </w:rPr>
              <w:t>2.5 V</w:t>
            </w:r>
          </w:p>
        </w:tc>
      </w:tr>
      <w:tr w:rsidR="00AF35F4" w14:paraId="5DC1A0EF" w14:textId="77777777" w:rsidTr="00CB402C">
        <w:trPr>
          <w:jc w:val="center"/>
        </w:trPr>
        <w:tc>
          <w:tcPr>
            <w:tcW w:w="0" w:type="auto"/>
          </w:tcPr>
          <w:p w14:paraId="016724B0" w14:textId="5A5DE0FA" w:rsidR="00AF35F4" w:rsidRPr="00AF35F4" w:rsidRDefault="00AF35F4" w:rsidP="00384B34">
            <w:pPr>
              <w:pStyle w:val="Contenutotabella"/>
              <w:jc w:val="center"/>
              <w:rPr>
                <w:sz w:val="20"/>
                <w:szCs w:val="20"/>
              </w:rPr>
            </w:pPr>
            <w:proofErr w:type="spellStart"/>
            <w:r w:rsidRPr="00AF35F4">
              <w:rPr>
                <w:sz w:val="20"/>
                <w:szCs w:val="20"/>
              </w:rPr>
              <w:t>Discharge</w:t>
            </w:r>
            <w:proofErr w:type="spellEnd"/>
            <w:r w:rsidRPr="00AF35F4">
              <w:rPr>
                <w:sz w:val="20"/>
                <w:szCs w:val="20"/>
              </w:rPr>
              <w:t xml:space="preserve"> temperature</w:t>
            </w:r>
          </w:p>
        </w:tc>
        <w:tc>
          <w:tcPr>
            <w:tcW w:w="0" w:type="auto"/>
          </w:tcPr>
          <w:p w14:paraId="6CF713DB" w14:textId="3525AA24" w:rsidR="00AF35F4" w:rsidRPr="00AF35F4" w:rsidRDefault="00AF35F4" w:rsidP="00384B34">
            <w:pPr>
              <w:pStyle w:val="Contenutotabella"/>
              <w:jc w:val="center"/>
              <w:rPr>
                <w:sz w:val="20"/>
                <w:szCs w:val="20"/>
              </w:rPr>
            </w:pPr>
            <w:r w:rsidRPr="00AF35F4">
              <w:rPr>
                <w:sz w:val="20"/>
                <w:szCs w:val="20"/>
              </w:rPr>
              <w:t>-30 ÷ 60 °C</w:t>
            </w:r>
          </w:p>
        </w:tc>
      </w:tr>
      <w:tr w:rsidR="00AF35F4" w14:paraId="45415942" w14:textId="77777777" w:rsidTr="00CB402C">
        <w:trPr>
          <w:jc w:val="center"/>
        </w:trPr>
        <w:tc>
          <w:tcPr>
            <w:tcW w:w="0" w:type="auto"/>
          </w:tcPr>
          <w:p w14:paraId="232EB688" w14:textId="5E8CAABD" w:rsidR="00AF35F4" w:rsidRPr="00AF35F4" w:rsidRDefault="00AF35F4" w:rsidP="00384B34">
            <w:pPr>
              <w:pStyle w:val="Contenutotabella"/>
              <w:jc w:val="center"/>
              <w:rPr>
                <w:sz w:val="20"/>
                <w:szCs w:val="20"/>
              </w:rPr>
            </w:pPr>
            <w:proofErr w:type="spellStart"/>
            <w:r w:rsidRPr="00AF35F4">
              <w:rPr>
                <w:sz w:val="20"/>
                <w:szCs w:val="20"/>
              </w:rPr>
              <w:t>Charge</w:t>
            </w:r>
            <w:proofErr w:type="spellEnd"/>
            <w:r w:rsidRPr="00AF35F4">
              <w:rPr>
                <w:sz w:val="20"/>
                <w:szCs w:val="20"/>
              </w:rPr>
              <w:t xml:space="preserve"> temperature</w:t>
            </w:r>
          </w:p>
        </w:tc>
        <w:tc>
          <w:tcPr>
            <w:tcW w:w="0" w:type="auto"/>
          </w:tcPr>
          <w:p w14:paraId="521D332E" w14:textId="0147B505" w:rsidR="00AF35F4" w:rsidRPr="00AF35F4" w:rsidRDefault="00AF35F4" w:rsidP="00384B34">
            <w:pPr>
              <w:pStyle w:val="Contenutotabella"/>
              <w:jc w:val="center"/>
              <w:rPr>
                <w:sz w:val="20"/>
                <w:szCs w:val="20"/>
              </w:rPr>
            </w:pPr>
            <w:r w:rsidRPr="00AF35F4">
              <w:rPr>
                <w:sz w:val="20"/>
                <w:szCs w:val="20"/>
              </w:rPr>
              <w:t>0 ÷ 60 °C</w:t>
            </w:r>
          </w:p>
        </w:tc>
      </w:tr>
      <w:tr w:rsidR="00AF35F4" w14:paraId="4EC32A51" w14:textId="77777777" w:rsidTr="00CB402C">
        <w:trPr>
          <w:jc w:val="center"/>
        </w:trPr>
        <w:tc>
          <w:tcPr>
            <w:tcW w:w="0" w:type="auto"/>
          </w:tcPr>
          <w:p w14:paraId="093BB748" w14:textId="316FC3EB" w:rsidR="00AF35F4" w:rsidRPr="00AF35F4" w:rsidRDefault="00AF35F4" w:rsidP="00384B34">
            <w:pPr>
              <w:pStyle w:val="Contenutotabella"/>
              <w:jc w:val="center"/>
              <w:rPr>
                <w:sz w:val="20"/>
                <w:szCs w:val="20"/>
              </w:rPr>
            </w:pPr>
            <w:r w:rsidRPr="00AF35F4">
              <w:rPr>
                <w:sz w:val="20"/>
                <w:szCs w:val="20"/>
                <w:lang w:val="en-GB"/>
              </w:rPr>
              <w:t>Chemistry</w:t>
            </w:r>
          </w:p>
        </w:tc>
        <w:tc>
          <w:tcPr>
            <w:tcW w:w="0" w:type="auto"/>
          </w:tcPr>
          <w:p w14:paraId="66ED03D2" w14:textId="77777777" w:rsidR="00AF35F4" w:rsidRDefault="00AF35F4" w:rsidP="00384B34">
            <w:pPr>
              <w:pStyle w:val="Contenutotabella"/>
              <w:jc w:val="center"/>
              <w:rPr>
                <w:sz w:val="20"/>
                <w:szCs w:val="20"/>
                <w:vertAlign w:val="subscript"/>
                <w:lang w:val="en-GB"/>
              </w:rPr>
            </w:pPr>
            <w:r w:rsidRPr="00AF35F4">
              <w:rPr>
                <w:sz w:val="20"/>
                <w:szCs w:val="20"/>
                <w:lang w:val="en-GB"/>
              </w:rPr>
              <w:t>LiCoO</w:t>
            </w:r>
            <w:r w:rsidRPr="00AF35F4">
              <w:rPr>
                <w:sz w:val="20"/>
                <w:szCs w:val="20"/>
                <w:vertAlign w:val="subscript"/>
                <w:lang w:val="en-GB"/>
              </w:rPr>
              <w:t>2</w:t>
            </w:r>
            <w:r w:rsidRPr="00AF35F4">
              <w:rPr>
                <w:sz w:val="20"/>
                <w:szCs w:val="20"/>
                <w:lang w:val="en-GB"/>
              </w:rPr>
              <w:t>-LiNiCoMnO</w:t>
            </w:r>
            <w:r w:rsidRPr="00AF35F4">
              <w:rPr>
                <w:sz w:val="20"/>
                <w:szCs w:val="20"/>
                <w:vertAlign w:val="subscript"/>
                <w:lang w:val="en-GB"/>
              </w:rPr>
              <w:t>2</w:t>
            </w:r>
          </w:p>
          <w:p w14:paraId="52F2FC3A" w14:textId="2DB87724" w:rsidR="00AF35F4" w:rsidRPr="00AF35F4" w:rsidRDefault="00AF35F4" w:rsidP="00384B34">
            <w:pPr>
              <w:pStyle w:val="Contenutotabella"/>
              <w:jc w:val="center"/>
              <w:rPr>
                <w:sz w:val="20"/>
                <w:szCs w:val="20"/>
              </w:rPr>
            </w:pPr>
            <w:r w:rsidRPr="00AF35F4">
              <w:rPr>
                <w:sz w:val="20"/>
                <w:szCs w:val="20"/>
                <w:lang w:val="en-GB"/>
              </w:rPr>
              <w:t>/Graphite</w:t>
            </w:r>
          </w:p>
        </w:tc>
      </w:tr>
    </w:tbl>
    <w:p w14:paraId="159088EF" w14:textId="6C60980C" w:rsidR="006C7281" w:rsidRDefault="0030238B" w:rsidP="00B904AF">
      <w:pPr>
        <w:ind w:firstLine="170"/>
        <w:jc w:val="both"/>
        <w:rPr>
          <w:kern w:val="0"/>
          <w:sz w:val="20"/>
          <w:lang w:val="en-US"/>
        </w:rPr>
      </w:pPr>
      <w:r w:rsidRPr="0030238B">
        <w:rPr>
          <w:kern w:val="0"/>
          <w:sz w:val="20"/>
          <w:lang w:val="en-US"/>
        </w:rPr>
        <w:t xml:space="preserve">The standard profile requires that the storage system is able to provide symmetrical charging and discharging phases at constant power of 500 kW and 1000 kW, respectively, with a voltage range of 400–600 V. Therefore, the profile was adapted to the single cell </w:t>
      </w:r>
      <w:r w:rsidRPr="0030238B">
        <w:rPr>
          <w:kern w:val="0"/>
          <w:sz w:val="20"/>
          <w:lang w:val="en-US"/>
        </w:rPr>
        <w:lastRenderedPageBreak/>
        <w:t>characteristics</w:t>
      </w:r>
      <w:r w:rsidR="00CB402C">
        <w:rPr>
          <w:kern w:val="0"/>
          <w:sz w:val="20"/>
          <w:lang w:val="en-US"/>
        </w:rPr>
        <w:t>.</w:t>
      </w:r>
      <w:r w:rsidR="00957E1C">
        <w:rPr>
          <w:kern w:val="0"/>
          <w:sz w:val="20"/>
          <w:lang w:val="en-US"/>
        </w:rPr>
        <w:t xml:space="preserve"> </w:t>
      </w:r>
      <w:r w:rsidRPr="0030238B">
        <w:rPr>
          <w:kern w:val="0"/>
          <w:sz w:val="20"/>
          <w:lang w:val="en-US"/>
        </w:rPr>
        <w:t xml:space="preserve">Moreover, </w:t>
      </w:r>
      <w:proofErr w:type="gramStart"/>
      <w:r w:rsidRPr="0030238B">
        <w:rPr>
          <w:kern w:val="0"/>
          <w:sz w:val="20"/>
          <w:lang w:val="en-US"/>
        </w:rPr>
        <w:t>in order to</w:t>
      </w:r>
      <w:proofErr w:type="gramEnd"/>
      <w:r w:rsidRPr="0030238B">
        <w:rPr>
          <w:kern w:val="0"/>
          <w:sz w:val="20"/>
          <w:lang w:val="en-US"/>
        </w:rPr>
        <w:t xml:space="preserve"> enhance the degradation of the cell, thus limiting the overall duration required for data collection, </w:t>
      </w:r>
      <w:r w:rsidR="002E11E6">
        <w:rPr>
          <w:kern w:val="0"/>
          <w:sz w:val="20"/>
          <w:lang w:val="en-US"/>
        </w:rPr>
        <w:t>FR</w:t>
      </w:r>
      <w:r w:rsidRPr="0030238B">
        <w:rPr>
          <w:kern w:val="0"/>
          <w:sz w:val="20"/>
          <w:lang w:val="en-US"/>
        </w:rPr>
        <w:t xml:space="preserve"> ageing were accelerated by operating at an ambient temperature of 45 °C</w:t>
      </w:r>
      <w:r w:rsidR="00957E1C" w:rsidRPr="003723D5">
        <w:rPr>
          <w:kern w:val="0"/>
          <w:sz w:val="20"/>
          <w:lang w:val="en-US"/>
        </w:rPr>
        <w:t xml:space="preserve">. </w:t>
      </w:r>
      <w:r w:rsidR="006C7281" w:rsidRPr="003723D5">
        <w:rPr>
          <w:kern w:val="0"/>
          <w:sz w:val="20"/>
          <w:lang w:val="en-US"/>
        </w:rPr>
        <w:t xml:space="preserve">In fact, it is well known that the degradation processes of Li-Ion batteries are speeded up </w:t>
      </w:r>
      <w:r w:rsidR="007A3078" w:rsidRPr="003723D5">
        <w:rPr>
          <w:kern w:val="0"/>
          <w:sz w:val="20"/>
          <w:lang w:val="en-US"/>
        </w:rPr>
        <w:t>by</w:t>
      </w:r>
      <w:r w:rsidR="006C7281" w:rsidRPr="003723D5">
        <w:rPr>
          <w:kern w:val="0"/>
          <w:sz w:val="20"/>
          <w:lang w:val="en-US"/>
        </w:rPr>
        <w:t xml:space="preserve"> temperature increase</w:t>
      </w:r>
      <w:r w:rsidR="007A3078" w:rsidRPr="003723D5">
        <w:rPr>
          <w:kern w:val="0"/>
          <w:sz w:val="20"/>
          <w:lang w:val="en-US"/>
        </w:rPr>
        <w:t xml:space="preserve"> [18].</w:t>
      </w:r>
    </w:p>
    <w:p w14:paraId="0F255810" w14:textId="41C74AE2" w:rsidR="00731E2D" w:rsidRPr="003723D5" w:rsidRDefault="00731E2D" w:rsidP="00B904AF">
      <w:pPr>
        <w:ind w:firstLine="170"/>
        <w:jc w:val="both"/>
        <w:rPr>
          <w:kern w:val="0"/>
          <w:sz w:val="20"/>
          <w:lang w:val="en-US"/>
        </w:rPr>
      </w:pPr>
      <w:r w:rsidRPr="003723D5">
        <w:rPr>
          <w:kern w:val="0"/>
          <w:sz w:val="20"/>
          <w:lang w:val="en-US"/>
        </w:rPr>
        <w:t xml:space="preserve">The ageing tests were performed by a dual-channel </w:t>
      </w:r>
      <w:proofErr w:type="spellStart"/>
      <w:r w:rsidRPr="003723D5">
        <w:rPr>
          <w:kern w:val="0"/>
          <w:sz w:val="20"/>
          <w:lang w:val="en-US"/>
        </w:rPr>
        <w:t>Bitrode</w:t>
      </w:r>
      <w:proofErr w:type="spellEnd"/>
      <w:r w:rsidRPr="003723D5">
        <w:rPr>
          <w:kern w:val="0"/>
          <w:sz w:val="20"/>
          <w:lang w:val="en-US"/>
        </w:rPr>
        <w:t xml:space="preserve"> FTV1 battery cycler. In addition, the cell was tested under temperature-controlled atmosphere in an </w:t>
      </w:r>
      <w:proofErr w:type="spellStart"/>
      <w:r w:rsidRPr="003723D5">
        <w:rPr>
          <w:kern w:val="0"/>
          <w:sz w:val="20"/>
          <w:lang w:val="en-US"/>
        </w:rPr>
        <w:t>Angelantoni</w:t>
      </w:r>
      <w:proofErr w:type="spellEnd"/>
      <w:r w:rsidRPr="003723D5">
        <w:rPr>
          <w:kern w:val="0"/>
          <w:sz w:val="20"/>
          <w:lang w:val="en-US"/>
        </w:rPr>
        <w:t xml:space="preserve"> Discovery DM 340 BT climatic chamber. </w:t>
      </w:r>
    </w:p>
    <w:p w14:paraId="1A778BE8" w14:textId="428828F7" w:rsidR="00AF35F4" w:rsidRPr="003723D5" w:rsidRDefault="00957E1C" w:rsidP="00B904AF">
      <w:pPr>
        <w:ind w:firstLine="170"/>
        <w:jc w:val="both"/>
        <w:rPr>
          <w:kern w:val="0"/>
          <w:sz w:val="20"/>
          <w:lang w:val="en-GB"/>
        </w:rPr>
      </w:pPr>
      <w:r w:rsidRPr="003723D5">
        <w:rPr>
          <w:kern w:val="0"/>
          <w:sz w:val="20"/>
          <w:lang w:val="en-US"/>
        </w:rPr>
        <w:t>T</w:t>
      </w:r>
      <w:r w:rsidR="0030238B" w:rsidRPr="003723D5">
        <w:rPr>
          <w:kern w:val="0"/>
          <w:sz w:val="20"/>
          <w:lang w:val="en-US"/>
        </w:rPr>
        <w:t xml:space="preserve">he </w:t>
      </w:r>
      <w:r w:rsidR="002E11E6" w:rsidRPr="003723D5">
        <w:rPr>
          <w:kern w:val="0"/>
          <w:sz w:val="20"/>
          <w:lang w:val="en-US"/>
        </w:rPr>
        <w:t>FR</w:t>
      </w:r>
      <w:r w:rsidR="0030238B" w:rsidRPr="003723D5">
        <w:rPr>
          <w:kern w:val="0"/>
          <w:sz w:val="20"/>
          <w:lang w:val="en-US"/>
        </w:rPr>
        <w:t xml:space="preserve"> ageing profile with actual </w:t>
      </w:r>
      <w:r w:rsidR="003723D5">
        <w:rPr>
          <w:kern w:val="0"/>
          <w:sz w:val="20"/>
          <w:lang w:val="en-US"/>
        </w:rPr>
        <w:t xml:space="preserve">power </w:t>
      </w:r>
      <w:r w:rsidR="0030238B" w:rsidRPr="003723D5">
        <w:rPr>
          <w:kern w:val="0"/>
          <w:sz w:val="20"/>
          <w:lang w:val="en-US"/>
        </w:rPr>
        <w:t>step</w:t>
      </w:r>
      <w:r w:rsidR="003723D5">
        <w:rPr>
          <w:kern w:val="0"/>
          <w:sz w:val="20"/>
          <w:lang w:val="en-US"/>
        </w:rPr>
        <w:t>s</w:t>
      </w:r>
      <w:r w:rsidR="0030238B" w:rsidRPr="003723D5">
        <w:rPr>
          <w:kern w:val="0"/>
          <w:sz w:val="20"/>
          <w:lang w:val="en-US"/>
        </w:rPr>
        <w:t xml:space="preserve"> imposed to the cell </w:t>
      </w:r>
      <w:r w:rsidRPr="003723D5">
        <w:rPr>
          <w:kern w:val="0"/>
          <w:sz w:val="20"/>
          <w:lang w:val="en-US"/>
        </w:rPr>
        <w:t>is shown in Figure 1.</w:t>
      </w:r>
      <w:r w:rsidR="002E11E6" w:rsidRPr="003723D5">
        <w:rPr>
          <w:kern w:val="0"/>
          <w:sz w:val="20"/>
          <w:lang w:val="en-US"/>
        </w:rPr>
        <w:t xml:space="preserve"> </w:t>
      </w:r>
    </w:p>
    <w:p w14:paraId="464732EC" w14:textId="72B34DA8" w:rsidR="001C02A8" w:rsidRPr="00B33C45" w:rsidRDefault="001C02A8" w:rsidP="001C02A8">
      <w:pPr>
        <w:pStyle w:val="Didascalia1"/>
        <w:rPr>
          <w:i w:val="0"/>
        </w:rPr>
      </w:pPr>
      <w:r>
        <w:rPr>
          <w:noProof/>
          <w:lang w:eastAsia="it-IT" w:bidi="ar-SA"/>
        </w:rPr>
        <mc:AlternateContent>
          <mc:Choice Requires="wps">
            <w:drawing>
              <wp:inline distT="0" distB="0" distL="0" distR="0" wp14:anchorId="34795716" wp14:editId="7D1365D5">
                <wp:extent cx="2974181" cy="18288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181"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9CC76" w14:textId="77777777" w:rsidR="001C02A8" w:rsidRDefault="001C02A8" w:rsidP="00A569AD">
                            <w:pPr>
                              <w:pStyle w:val="Didascalia1"/>
                              <w:spacing w:before="0" w:after="0"/>
                            </w:pPr>
                            <w:r>
                              <w:rPr>
                                <w:noProof/>
                                <w:lang w:eastAsia="it-IT" w:bidi="ar-SA"/>
                              </w:rPr>
                              <w:drawing>
                                <wp:inline distT="0" distB="0" distL="0" distR="0" wp14:anchorId="04572BF3" wp14:editId="3BEA8BD7">
                                  <wp:extent cx="3103246" cy="1540328"/>
                                  <wp:effectExtent l="0" t="0" r="1905"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332" b="5174"/>
                                          <a:stretch/>
                                        </pic:blipFill>
                                        <pic:spPr bwMode="auto">
                                          <a:xfrm>
                                            <a:off x="0" y="0"/>
                                            <a:ext cx="3436521" cy="1705753"/>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297500E3" w14:textId="2B9BA8EF" w:rsidR="001C02A8" w:rsidRDefault="001C02A8" w:rsidP="001C02A8">
                            <w:pPr>
                              <w:pStyle w:val="Didascalia1"/>
                            </w:pPr>
                            <w:r>
                              <w:t xml:space="preserve">Fig. 1. </w:t>
                            </w:r>
                            <w:r w:rsidRPr="001C02A8">
                              <w:t>F</w:t>
                            </w:r>
                            <w:r w:rsidR="002E11E6">
                              <w:t>R</w:t>
                            </w:r>
                            <w:r w:rsidRPr="001C02A8">
                              <w:t xml:space="preserve"> </w:t>
                            </w:r>
                            <w:r w:rsidRPr="001C02A8">
                              <w:rPr>
                                <w:lang w:val="en-US"/>
                              </w:rPr>
                              <w:t>ageing</w:t>
                            </w:r>
                            <w:r w:rsidRPr="001C02A8">
                              <w:t xml:space="preserve"> </w:t>
                            </w:r>
                            <w:r w:rsidRPr="001C02A8">
                              <w:rPr>
                                <w:lang w:val="en-US"/>
                              </w:rPr>
                              <w:t>profile</w:t>
                            </w:r>
                            <w:r>
                              <w:t>.</w:t>
                            </w:r>
                          </w:p>
                        </w:txbxContent>
                      </wps:txbx>
                      <wps:bodyPr rot="0" vert="horz" wrap="square" lIns="0" tIns="0" rIns="0" bIns="0" anchor="t" anchorCtr="0" upright="1">
                        <a:noAutofit/>
                      </wps:bodyPr>
                    </wps:wsp>
                  </a:graphicData>
                </a:graphic>
              </wp:inline>
            </w:drawing>
          </mc:Choice>
          <mc:Fallback>
            <w:pict>
              <v:shapetype w14:anchorId="34795716" id="_x0000_t202" coordsize="21600,21600" o:spt="202" path="m,l,21600r21600,l21600,xe">
                <v:stroke joinstyle="miter"/>
                <v:path gradientshapeok="t" o:connecttype="rect"/>
              </v:shapetype>
              <v:shape id="Text Box 2" o:spid="_x0000_s1026" type="#_x0000_t202" style="width:234.2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" stroked="f">
                <v:textbox inset="0,0,0,0">
                  <w:txbxContent>
                    <w:p w14:paraId="7019CC76" w14:textId="77777777" w:rsidR="001C02A8" w:rsidRDefault="001C02A8" w:rsidP="00A569AD">
                      <w:pPr>
                        <w:pStyle w:val="Didascalia1"/>
                        <w:spacing w:before="0" w:after="0"/>
                      </w:pPr>
                      <w:r>
                        <w:rPr>
                          <w:noProof/>
                          <w:lang w:eastAsia="it-IT" w:bidi="ar-SA"/>
                        </w:rPr>
                        <w:drawing>
                          <wp:inline distT="0" distB="0" distL="0" distR="0" wp14:anchorId="04572BF3" wp14:editId="3BEA8BD7">
                            <wp:extent cx="3103246" cy="1540328"/>
                            <wp:effectExtent l="0" t="0" r="1905" b="317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332" b="5174"/>
                                    <a:stretch/>
                                  </pic:blipFill>
                                  <pic:spPr bwMode="auto">
                                    <a:xfrm>
                                      <a:off x="0" y="0"/>
                                      <a:ext cx="3436521" cy="1705753"/>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297500E3" w14:textId="2B9BA8EF" w:rsidR="001C02A8" w:rsidRDefault="001C02A8" w:rsidP="001C02A8">
                      <w:pPr>
                        <w:pStyle w:val="Didascalia1"/>
                      </w:pPr>
                      <w:r>
                        <w:t xml:space="preserve">Fig. 1. </w:t>
                      </w:r>
                      <w:r w:rsidRPr="001C02A8">
                        <w:t>F</w:t>
                      </w:r>
                      <w:r w:rsidR="002E11E6">
                        <w:t>R</w:t>
                      </w:r>
                      <w:r w:rsidRPr="001C02A8">
                        <w:t xml:space="preserve"> </w:t>
                      </w:r>
                      <w:r w:rsidRPr="001C02A8">
                        <w:rPr>
                          <w:lang w:val="en-US"/>
                        </w:rPr>
                        <w:t>ageing</w:t>
                      </w:r>
                      <w:r w:rsidRPr="001C02A8">
                        <w:t xml:space="preserve"> </w:t>
                      </w:r>
                      <w:r w:rsidRPr="001C02A8">
                        <w:rPr>
                          <w:lang w:val="en-US"/>
                        </w:rPr>
                        <w:t>profile</w:t>
                      </w:r>
                      <w:r>
                        <w:t>.</w:t>
                      </w:r>
                    </w:p>
                  </w:txbxContent>
                </v:textbox>
                <w10:anchorlock/>
              </v:shape>
            </w:pict>
          </mc:Fallback>
        </mc:AlternateContent>
      </w:r>
    </w:p>
    <w:p w14:paraId="44358F57" w14:textId="53989D7B" w:rsidR="00731E2D" w:rsidRPr="00893218" w:rsidRDefault="00731E2D" w:rsidP="0054466F">
      <w:pPr>
        <w:ind w:firstLine="170"/>
        <w:jc w:val="both"/>
        <w:rPr>
          <w:kern w:val="0"/>
          <w:sz w:val="20"/>
          <w:lang w:val="en-US"/>
        </w:rPr>
      </w:pPr>
      <w:r w:rsidRPr="00893218">
        <w:rPr>
          <w:kern w:val="0"/>
          <w:sz w:val="20"/>
          <w:lang w:val="en-US"/>
        </w:rPr>
        <w:t xml:space="preserve">The full ageing protocol consisted of a </w:t>
      </w:r>
      <w:r w:rsidR="00874D32" w:rsidRPr="00893218">
        <w:rPr>
          <w:kern w:val="0"/>
          <w:sz w:val="20"/>
          <w:lang w:val="en-US"/>
        </w:rPr>
        <w:t>first char</w:t>
      </w:r>
      <w:r w:rsidRPr="00893218">
        <w:rPr>
          <w:kern w:val="0"/>
          <w:sz w:val="20"/>
          <w:lang w:val="en-US"/>
        </w:rPr>
        <w:t>ge of the cell up to 100 % SoC and then an execution of</w:t>
      </w:r>
      <w:r w:rsidR="00874D32" w:rsidRPr="00893218">
        <w:rPr>
          <w:kern w:val="0"/>
          <w:sz w:val="20"/>
          <w:lang w:val="en-US"/>
        </w:rPr>
        <w:t xml:space="preserve"> </w:t>
      </w:r>
      <w:r w:rsidRPr="00893218">
        <w:rPr>
          <w:kern w:val="0"/>
          <w:sz w:val="20"/>
          <w:lang w:val="en-US"/>
        </w:rPr>
        <w:t xml:space="preserve">the FR profile. </w:t>
      </w:r>
      <w:r w:rsidR="00874D32" w:rsidRPr="00893218">
        <w:rPr>
          <w:kern w:val="0"/>
          <w:sz w:val="20"/>
          <w:lang w:val="en-US"/>
        </w:rPr>
        <w:t xml:space="preserve">Whenever the cell reached </w:t>
      </w:r>
      <w:r w:rsidRPr="00893218">
        <w:rPr>
          <w:kern w:val="0"/>
          <w:sz w:val="20"/>
          <w:lang w:val="en-US"/>
        </w:rPr>
        <w:t xml:space="preserve">the </w:t>
      </w:r>
      <w:r w:rsidR="00874D32" w:rsidRPr="00893218">
        <w:rPr>
          <w:kern w:val="0"/>
          <w:sz w:val="20"/>
          <w:lang w:val="en-US"/>
        </w:rPr>
        <w:t>lower voltage cut-off threshold (discharged</w:t>
      </w:r>
      <w:r w:rsidRPr="00893218">
        <w:rPr>
          <w:kern w:val="0"/>
          <w:sz w:val="20"/>
          <w:lang w:val="en-US"/>
        </w:rPr>
        <w:t>), a recharge up to 100 % SoC was</w:t>
      </w:r>
      <w:r w:rsidR="00874D32" w:rsidRPr="00893218">
        <w:rPr>
          <w:kern w:val="0"/>
          <w:sz w:val="20"/>
          <w:lang w:val="en-US"/>
        </w:rPr>
        <w:t xml:space="preserve"> performed</w:t>
      </w:r>
      <w:r w:rsidR="00893218" w:rsidRPr="00893218">
        <w:rPr>
          <w:kern w:val="0"/>
          <w:sz w:val="20"/>
          <w:lang w:val="en-US"/>
        </w:rPr>
        <w:t xml:space="preserve"> and </w:t>
      </w:r>
      <w:r w:rsidRPr="00893218">
        <w:rPr>
          <w:kern w:val="0"/>
          <w:sz w:val="20"/>
          <w:lang w:val="en-US"/>
        </w:rPr>
        <w:t xml:space="preserve">then </w:t>
      </w:r>
      <w:r w:rsidR="006363EF" w:rsidRPr="00893218">
        <w:rPr>
          <w:kern w:val="0"/>
          <w:sz w:val="20"/>
          <w:lang w:val="en-US"/>
        </w:rPr>
        <w:t xml:space="preserve">the </w:t>
      </w:r>
      <w:r w:rsidR="007E02EF" w:rsidRPr="00893218">
        <w:rPr>
          <w:kern w:val="0"/>
          <w:sz w:val="20"/>
          <w:lang w:val="en-US"/>
        </w:rPr>
        <w:t>cycle</w:t>
      </w:r>
      <w:r w:rsidR="00893218" w:rsidRPr="00893218">
        <w:rPr>
          <w:kern w:val="0"/>
          <w:sz w:val="20"/>
          <w:lang w:val="en-US"/>
        </w:rPr>
        <w:t xml:space="preserve"> was restarted.</w:t>
      </w:r>
    </w:p>
    <w:p w14:paraId="7ABFE64E" w14:textId="764F32EF" w:rsidR="009F7A6E" w:rsidRPr="003A6223" w:rsidRDefault="00874D32" w:rsidP="0054466F">
      <w:pPr>
        <w:ind w:firstLine="170"/>
        <w:jc w:val="both"/>
        <w:rPr>
          <w:kern w:val="0"/>
          <w:sz w:val="20"/>
          <w:lang w:val="en-US"/>
        </w:rPr>
      </w:pPr>
      <w:r w:rsidRPr="003A6223">
        <w:rPr>
          <w:kern w:val="0"/>
          <w:sz w:val="20"/>
          <w:lang w:val="en-US"/>
        </w:rPr>
        <w:t>The ag</w:t>
      </w:r>
      <w:r w:rsidR="004A316E" w:rsidRPr="003A6223">
        <w:rPr>
          <w:kern w:val="0"/>
          <w:sz w:val="20"/>
          <w:lang w:val="en-US"/>
        </w:rPr>
        <w:t>e</w:t>
      </w:r>
      <w:r w:rsidRPr="003A6223">
        <w:rPr>
          <w:kern w:val="0"/>
          <w:sz w:val="20"/>
          <w:lang w:val="en-US"/>
        </w:rPr>
        <w:t>ing level has been defined in terms of residual capacity retained by the cell. This information was obtained from periodic check-ups carried out on the cell, approximately every 10 days of operation</w:t>
      </w:r>
      <w:r w:rsidR="0054466F" w:rsidRPr="003A6223">
        <w:rPr>
          <w:kern w:val="0"/>
          <w:sz w:val="20"/>
          <w:lang w:val="en-US"/>
        </w:rPr>
        <w:t xml:space="preserve">. </w:t>
      </w:r>
      <w:r w:rsidR="00731E2D" w:rsidRPr="003A6223">
        <w:rPr>
          <w:kern w:val="0"/>
          <w:sz w:val="20"/>
          <w:lang w:val="en-US"/>
        </w:rPr>
        <w:t>Parame</w:t>
      </w:r>
      <w:r w:rsidR="007E02EF" w:rsidRPr="003A6223">
        <w:rPr>
          <w:kern w:val="0"/>
          <w:sz w:val="20"/>
          <w:lang w:val="en-US"/>
        </w:rPr>
        <w:t>tric check-ups of the cells</w:t>
      </w:r>
      <w:r w:rsidR="00731E2D" w:rsidRPr="003A6223">
        <w:rPr>
          <w:kern w:val="0"/>
          <w:sz w:val="20"/>
          <w:lang w:val="en-US"/>
        </w:rPr>
        <w:t xml:space="preserve"> </w:t>
      </w:r>
      <w:r w:rsidR="00893218" w:rsidRPr="003A6223">
        <w:rPr>
          <w:kern w:val="0"/>
          <w:sz w:val="20"/>
          <w:lang w:val="en-US"/>
        </w:rPr>
        <w:t>performed</w:t>
      </w:r>
      <w:r w:rsidR="00731E2D" w:rsidRPr="003A6223">
        <w:rPr>
          <w:kern w:val="0"/>
          <w:sz w:val="20"/>
          <w:lang w:val="en-US"/>
        </w:rPr>
        <w:t xml:space="preserve"> the </w:t>
      </w:r>
      <w:r w:rsidR="007E02EF" w:rsidRPr="003A6223">
        <w:rPr>
          <w:kern w:val="0"/>
          <w:sz w:val="20"/>
          <w:lang w:val="en-US"/>
        </w:rPr>
        <w:t xml:space="preserve">extraction of </w:t>
      </w:r>
      <w:r w:rsidR="00731E2D" w:rsidRPr="003A6223">
        <w:rPr>
          <w:kern w:val="0"/>
          <w:sz w:val="20"/>
          <w:lang w:val="en-US"/>
        </w:rPr>
        <w:t>residual capacity and impedance evaluations</w:t>
      </w:r>
      <w:r w:rsidR="007E02EF" w:rsidRPr="003A6223">
        <w:rPr>
          <w:kern w:val="0"/>
          <w:sz w:val="20"/>
          <w:lang w:val="en-US"/>
        </w:rPr>
        <w:t xml:space="preserve"> by means of </w:t>
      </w:r>
      <w:r w:rsidR="003A6223">
        <w:rPr>
          <w:kern w:val="0"/>
          <w:sz w:val="20"/>
          <w:lang w:val="en-US"/>
        </w:rPr>
        <w:t xml:space="preserve">EIS technique. </w:t>
      </w:r>
      <w:r w:rsidR="007E02EF" w:rsidRPr="003A6223">
        <w:rPr>
          <w:kern w:val="0"/>
          <w:sz w:val="20"/>
          <w:lang w:val="en-US"/>
        </w:rPr>
        <w:t xml:space="preserve">Both </w:t>
      </w:r>
      <w:r w:rsidR="00532FB9" w:rsidRPr="003A6223">
        <w:rPr>
          <w:kern w:val="0"/>
          <w:sz w:val="20"/>
          <w:lang w:val="en-US"/>
        </w:rPr>
        <w:t>analyses</w:t>
      </w:r>
      <w:r w:rsidR="00636D7C" w:rsidRPr="003A6223">
        <w:rPr>
          <w:kern w:val="0"/>
          <w:sz w:val="20"/>
          <w:lang w:val="en-US"/>
        </w:rPr>
        <w:t xml:space="preserve"> were carried out by a high reliability</w:t>
      </w:r>
      <w:r w:rsidR="00731E2D" w:rsidRPr="003A6223">
        <w:rPr>
          <w:kern w:val="0"/>
          <w:sz w:val="20"/>
          <w:lang w:val="en-US"/>
        </w:rPr>
        <w:t xml:space="preserve"> </w:t>
      </w:r>
      <w:proofErr w:type="spellStart"/>
      <w:r w:rsidR="00731E2D" w:rsidRPr="003A6223">
        <w:rPr>
          <w:kern w:val="0"/>
          <w:sz w:val="20"/>
          <w:lang w:val="en-US"/>
        </w:rPr>
        <w:t>Autolab</w:t>
      </w:r>
      <w:proofErr w:type="spellEnd"/>
      <w:r w:rsidR="00731E2D" w:rsidRPr="003A6223">
        <w:rPr>
          <w:kern w:val="0"/>
          <w:sz w:val="20"/>
          <w:lang w:val="en-US"/>
        </w:rPr>
        <w:t xml:space="preserve"> 302N </w:t>
      </w:r>
      <w:proofErr w:type="spellStart"/>
      <w:r w:rsidR="00731E2D" w:rsidRPr="003A6223">
        <w:rPr>
          <w:kern w:val="0"/>
          <w:sz w:val="20"/>
          <w:lang w:val="en-US"/>
        </w:rPr>
        <w:t>potentiostat</w:t>
      </w:r>
      <w:proofErr w:type="spellEnd"/>
      <w:r w:rsidR="00731E2D" w:rsidRPr="003A6223">
        <w:rPr>
          <w:kern w:val="0"/>
          <w:sz w:val="20"/>
          <w:lang w:val="en-US"/>
        </w:rPr>
        <w:t>/</w:t>
      </w:r>
      <w:proofErr w:type="spellStart"/>
      <w:r w:rsidR="00731E2D" w:rsidRPr="003A6223">
        <w:rPr>
          <w:kern w:val="0"/>
          <w:sz w:val="20"/>
          <w:lang w:val="en-US"/>
        </w:rPr>
        <w:t>galvanostat</w:t>
      </w:r>
      <w:proofErr w:type="spellEnd"/>
      <w:r w:rsidR="009F7A6E" w:rsidRPr="003A6223">
        <w:rPr>
          <w:kern w:val="0"/>
          <w:sz w:val="20"/>
          <w:lang w:val="en-US"/>
        </w:rPr>
        <w:t xml:space="preserve">, which exhibits applied potential accuracy of </w:t>
      </w:r>
      <w:r w:rsidR="009F7A6E" w:rsidRPr="003A6223">
        <w:rPr>
          <w:rFonts w:cs="Times New Roman"/>
          <w:kern w:val="0"/>
          <w:sz w:val="20"/>
          <w:lang w:val="en-US"/>
        </w:rPr>
        <w:t>±</w:t>
      </w:r>
      <w:r w:rsidR="009F7A6E" w:rsidRPr="003A6223">
        <w:rPr>
          <w:kern w:val="0"/>
          <w:sz w:val="20"/>
          <w:lang w:val="en-US"/>
        </w:rPr>
        <w:t xml:space="preserve">0.2% and current accuracy </w:t>
      </w:r>
      <w:r w:rsidR="00E34AE9" w:rsidRPr="003A6223">
        <w:rPr>
          <w:kern w:val="0"/>
          <w:sz w:val="20"/>
          <w:lang w:val="en-US"/>
        </w:rPr>
        <w:t xml:space="preserve">of </w:t>
      </w:r>
      <w:r w:rsidR="00E34AE9" w:rsidRPr="003A6223">
        <w:rPr>
          <w:rFonts w:cs="Times New Roman"/>
          <w:kern w:val="0"/>
          <w:sz w:val="20"/>
          <w:lang w:val="en-US"/>
        </w:rPr>
        <w:t>±</w:t>
      </w:r>
      <w:r w:rsidR="00E34AE9" w:rsidRPr="003A6223">
        <w:rPr>
          <w:kern w:val="0"/>
          <w:sz w:val="20"/>
          <w:lang w:val="en-US"/>
        </w:rPr>
        <w:t>0.2% of the used range.</w:t>
      </w:r>
      <w:r w:rsidR="005261CF" w:rsidRPr="003A6223">
        <w:rPr>
          <w:kern w:val="0"/>
          <w:sz w:val="20"/>
          <w:lang w:val="en-US"/>
        </w:rPr>
        <w:t xml:space="preserve"> It is worth nothing that, due to instruments calibration and performances, measures where considered reliable and no impact of uncertainty on the model was evaluated</w:t>
      </w:r>
      <w:r w:rsidR="003A6223" w:rsidRPr="003A6223">
        <w:rPr>
          <w:kern w:val="0"/>
          <w:sz w:val="20"/>
          <w:lang w:val="en-US"/>
        </w:rPr>
        <w:t>. O</w:t>
      </w:r>
      <w:r w:rsidR="005261CF" w:rsidRPr="003A6223">
        <w:rPr>
          <w:kern w:val="0"/>
          <w:sz w:val="20"/>
          <w:lang w:val="en-US"/>
        </w:rPr>
        <w:t xml:space="preserve">nly robustness of the model </w:t>
      </w:r>
      <w:r w:rsidR="0015741A" w:rsidRPr="003A6223">
        <w:rPr>
          <w:kern w:val="0"/>
          <w:sz w:val="20"/>
          <w:lang w:val="en-US"/>
        </w:rPr>
        <w:t>will be investigated in a future work</w:t>
      </w:r>
      <w:r w:rsidR="005261CF" w:rsidRPr="003A6223">
        <w:rPr>
          <w:kern w:val="0"/>
          <w:sz w:val="20"/>
          <w:lang w:val="en-US"/>
        </w:rPr>
        <w:t>.</w:t>
      </w:r>
    </w:p>
    <w:p w14:paraId="64BEBFB7" w14:textId="5A1B1F54" w:rsidR="003F56F4" w:rsidRPr="003A6223" w:rsidRDefault="00874D32" w:rsidP="003F56F4">
      <w:pPr>
        <w:ind w:firstLine="170"/>
        <w:jc w:val="both"/>
        <w:rPr>
          <w:kern w:val="0"/>
          <w:sz w:val="20"/>
          <w:lang w:val="en-US"/>
        </w:rPr>
      </w:pPr>
      <w:r w:rsidRPr="003A6223">
        <w:rPr>
          <w:kern w:val="0"/>
          <w:sz w:val="20"/>
          <w:lang w:val="en-US"/>
        </w:rPr>
        <w:t xml:space="preserve">Capacity tests, </w:t>
      </w:r>
      <w:r w:rsidR="003A6223" w:rsidRPr="003A6223">
        <w:rPr>
          <w:kern w:val="0"/>
          <w:sz w:val="20"/>
          <w:lang w:val="en-US"/>
        </w:rPr>
        <w:t>constituted by a</w:t>
      </w:r>
      <w:r w:rsidRPr="003A6223">
        <w:rPr>
          <w:kern w:val="0"/>
          <w:sz w:val="20"/>
          <w:lang w:val="en-US"/>
        </w:rPr>
        <w:t xml:space="preserve"> galva</w:t>
      </w:r>
      <w:r w:rsidR="00456879" w:rsidRPr="003A6223">
        <w:rPr>
          <w:kern w:val="0"/>
          <w:sz w:val="20"/>
          <w:lang w:val="en-US"/>
        </w:rPr>
        <w:t>nostatic discharge at nominal c-</w:t>
      </w:r>
      <w:r w:rsidRPr="003A6223">
        <w:rPr>
          <w:kern w:val="0"/>
          <w:sz w:val="20"/>
          <w:lang w:val="en-US"/>
        </w:rPr>
        <w:t>rate and room temperature, allowed to extrapolate the characteristic parameters indicative of the state of health of the cell (</w:t>
      </w:r>
      <w:proofErr w:type="spellStart"/>
      <w:r w:rsidRPr="003A6223">
        <w:rPr>
          <w:kern w:val="0"/>
          <w:sz w:val="20"/>
          <w:lang w:val="en-US"/>
        </w:rPr>
        <w:t>SoH</w:t>
      </w:r>
      <w:proofErr w:type="spellEnd"/>
      <w:r w:rsidRPr="003A6223">
        <w:rPr>
          <w:kern w:val="0"/>
          <w:sz w:val="20"/>
          <w:lang w:val="en-US"/>
        </w:rPr>
        <w:t>). The recorded discharge curves at begin of life (</w:t>
      </w:r>
      <w:proofErr w:type="spellStart"/>
      <w:r w:rsidRPr="003A6223">
        <w:rPr>
          <w:kern w:val="0"/>
          <w:sz w:val="20"/>
          <w:lang w:val="en-US"/>
        </w:rPr>
        <w:t>BoL</w:t>
      </w:r>
      <w:proofErr w:type="spellEnd"/>
      <w:r w:rsidRPr="003A6223">
        <w:rPr>
          <w:kern w:val="0"/>
          <w:sz w:val="20"/>
          <w:lang w:val="en-US"/>
        </w:rPr>
        <w:t xml:space="preserve">) and different </w:t>
      </w:r>
      <w:proofErr w:type="spellStart"/>
      <w:r w:rsidRPr="003A6223">
        <w:rPr>
          <w:kern w:val="0"/>
          <w:sz w:val="20"/>
          <w:lang w:val="en-US"/>
        </w:rPr>
        <w:t>SoH</w:t>
      </w:r>
      <w:proofErr w:type="spellEnd"/>
      <w:r w:rsidRPr="003A6223">
        <w:rPr>
          <w:kern w:val="0"/>
          <w:sz w:val="20"/>
          <w:lang w:val="en-US"/>
        </w:rPr>
        <w:t xml:space="preserve"> levels are reported in figure 2a.  </w:t>
      </w:r>
      <w:proofErr w:type="gramStart"/>
      <w:r w:rsidR="003F56F4" w:rsidRPr="003A6223">
        <w:rPr>
          <w:kern w:val="0"/>
          <w:sz w:val="20"/>
          <w:lang w:val="en-US"/>
        </w:rPr>
        <w:t xml:space="preserve">In particular, </w:t>
      </w:r>
      <w:r w:rsidR="003A6223" w:rsidRPr="003A6223">
        <w:rPr>
          <w:kern w:val="0"/>
          <w:sz w:val="20"/>
          <w:lang w:val="en-US"/>
        </w:rPr>
        <w:t>Residual</w:t>
      </w:r>
      <w:proofErr w:type="gramEnd"/>
      <w:r w:rsidR="003A6223" w:rsidRPr="003A6223">
        <w:rPr>
          <w:kern w:val="0"/>
          <w:sz w:val="20"/>
          <w:lang w:val="en-US"/>
        </w:rPr>
        <w:t xml:space="preserve"> capacity (Cd) and Residual energy (Ed) </w:t>
      </w:r>
      <w:r w:rsidR="003F56F4" w:rsidRPr="003A6223">
        <w:rPr>
          <w:kern w:val="0"/>
          <w:sz w:val="20"/>
          <w:lang w:val="en-US"/>
        </w:rPr>
        <w:t>were collected and used as output variables of the database</w:t>
      </w:r>
      <w:r w:rsidR="003A6223" w:rsidRPr="003A6223">
        <w:rPr>
          <w:kern w:val="0"/>
          <w:sz w:val="20"/>
          <w:lang w:val="en-US"/>
        </w:rPr>
        <w:t>.</w:t>
      </w:r>
      <w:r w:rsidR="003F56F4" w:rsidRPr="003A6223">
        <w:rPr>
          <w:kern w:val="0"/>
          <w:sz w:val="20"/>
          <w:lang w:val="en-US"/>
        </w:rPr>
        <w:t xml:space="preserve"> Cd was obtained by integrating the actual current (Id) between begin of discharge (t0) </w:t>
      </w:r>
      <w:r w:rsidR="003A6223">
        <w:rPr>
          <w:kern w:val="0"/>
          <w:sz w:val="20"/>
          <w:lang w:val="en-US"/>
        </w:rPr>
        <w:t>and</w:t>
      </w:r>
      <w:r w:rsidR="003F56F4" w:rsidRPr="003A6223">
        <w:rPr>
          <w:kern w:val="0"/>
          <w:sz w:val="20"/>
          <w:lang w:val="en-US"/>
        </w:rPr>
        <w:t xml:space="preserve"> end of discharge (</w:t>
      </w:r>
      <w:proofErr w:type="spellStart"/>
      <w:r w:rsidR="003F56F4" w:rsidRPr="003A6223">
        <w:rPr>
          <w:kern w:val="0"/>
          <w:sz w:val="20"/>
          <w:lang w:val="en-US"/>
        </w:rPr>
        <w:t>tf</w:t>
      </w:r>
      <w:proofErr w:type="spellEnd"/>
      <w:r w:rsidR="003F56F4" w:rsidRPr="003A6223">
        <w:rPr>
          <w:kern w:val="0"/>
          <w:sz w:val="20"/>
          <w:lang w:val="en-US"/>
        </w:rPr>
        <w:t>), within the upper and lower voltage cut off limits.</w:t>
      </w:r>
    </w:p>
    <w:p w14:paraId="04CDBFF4" w14:textId="77777777" w:rsidR="003F56F4" w:rsidRPr="00B904AF" w:rsidRDefault="003F56F4" w:rsidP="003723D5">
      <w:pPr>
        <w:pStyle w:val="Bodytextfirst"/>
        <w:rPr>
          <w:color w:val="FF0000"/>
        </w:rPr>
      </w:pPr>
      <m:oMath>
        <m:r>
          <m:rPr>
            <m:sty m:val="p"/>
          </m:rPr>
          <w:rPr>
            <w:rFonts w:ascii="Cambria Math" w:hAnsi="Cambria Math"/>
          </w:rPr>
          <m:t>Cd=</m:t>
        </m:r>
        <m:nary>
          <m:naryPr>
            <m:limLoc m:val="subSup"/>
            <m:ctrlPr>
              <w:rPr>
                <w:rFonts w:ascii="Cambria Math" w:hAnsi="Cambria Math"/>
              </w:rPr>
            </m:ctrlPr>
          </m:naryPr>
          <m:sub>
            <m:r>
              <m:rPr>
                <m:sty m:val="p"/>
              </m:rPr>
              <w:rPr>
                <w:rFonts w:ascii="Cambria Math" w:hAnsi="Cambria Math"/>
              </w:rPr>
              <m:t>to</m:t>
            </m:r>
          </m:sub>
          <m:sup>
            <m:r>
              <m:rPr>
                <m:sty m:val="p"/>
              </m:rPr>
              <w:rPr>
                <w:rFonts w:ascii="Cambria Math" w:hAnsi="Cambria Math"/>
              </w:rPr>
              <m:t>tf</m:t>
            </m:r>
          </m:sup>
          <m:e>
            <m:r>
              <m:rPr>
                <m:sty m:val="p"/>
              </m:rPr>
              <w:rPr>
                <w:rFonts w:ascii="Cambria Math" w:hAnsi="Cambria Math"/>
              </w:rPr>
              <m:t>Id(t) dt</m:t>
            </m:r>
          </m:e>
        </m:nary>
      </m:oMath>
      <w:r w:rsidRPr="003A6223">
        <w:t xml:space="preserve">                          (1)</w:t>
      </w:r>
    </w:p>
    <w:p w14:paraId="64499967" w14:textId="5E1E6DEA" w:rsidR="003F56F4" w:rsidRPr="003A6223" w:rsidRDefault="003F56F4" w:rsidP="003F56F4">
      <w:pPr>
        <w:spacing w:before="120"/>
        <w:ind w:firstLine="170"/>
        <w:jc w:val="both"/>
        <w:rPr>
          <w:kern w:val="0"/>
          <w:sz w:val="20"/>
          <w:lang w:val="en-US"/>
        </w:rPr>
      </w:pPr>
      <w:r w:rsidRPr="003A6223">
        <w:rPr>
          <w:kern w:val="0"/>
          <w:sz w:val="20"/>
          <w:lang w:val="en-US"/>
        </w:rPr>
        <w:t xml:space="preserve">Ed was obtained by integrating the actual power (id) between begin of discharge (t0) </w:t>
      </w:r>
      <w:r w:rsidR="003A6223">
        <w:rPr>
          <w:kern w:val="0"/>
          <w:sz w:val="20"/>
          <w:lang w:val="en-US"/>
        </w:rPr>
        <w:t>and</w:t>
      </w:r>
      <w:r w:rsidRPr="003A6223">
        <w:rPr>
          <w:kern w:val="0"/>
          <w:sz w:val="20"/>
          <w:lang w:val="en-US"/>
        </w:rPr>
        <w:t xml:space="preserve"> end of discharge (</w:t>
      </w:r>
      <w:proofErr w:type="spellStart"/>
      <w:r w:rsidRPr="003A6223">
        <w:rPr>
          <w:kern w:val="0"/>
          <w:sz w:val="20"/>
          <w:lang w:val="en-US"/>
        </w:rPr>
        <w:t>tf</w:t>
      </w:r>
      <w:proofErr w:type="spellEnd"/>
      <w:r w:rsidRPr="003A6223">
        <w:rPr>
          <w:kern w:val="0"/>
          <w:sz w:val="20"/>
          <w:lang w:val="en-US"/>
        </w:rPr>
        <w:t>), within the upper and lower voltage cut off limits.</w:t>
      </w:r>
    </w:p>
    <w:p w14:paraId="768EF33C" w14:textId="77777777" w:rsidR="003F56F4" w:rsidRPr="00B904AF" w:rsidRDefault="003F56F4" w:rsidP="003723D5">
      <w:pPr>
        <w:pStyle w:val="Bodytextfirst"/>
        <w:rPr>
          <w:color w:val="FF0000"/>
        </w:rPr>
      </w:pPr>
      <m:oMath>
        <m:r>
          <m:rPr>
            <m:sty m:val="p"/>
          </m:rPr>
          <w:rPr>
            <w:rFonts w:ascii="Cambria Math" w:hAnsi="Cambria Math"/>
          </w:rPr>
          <m:t>Ed=</m:t>
        </m:r>
        <m:nary>
          <m:naryPr>
            <m:limLoc m:val="subSup"/>
            <m:ctrlPr>
              <w:rPr>
                <w:rFonts w:ascii="Cambria Math" w:hAnsi="Cambria Math"/>
              </w:rPr>
            </m:ctrlPr>
          </m:naryPr>
          <m:sub>
            <m:r>
              <m:rPr>
                <m:sty m:val="p"/>
              </m:rPr>
              <w:rPr>
                <w:rFonts w:ascii="Cambria Math" w:hAnsi="Cambria Math"/>
              </w:rPr>
              <m:t>to</m:t>
            </m:r>
          </m:sub>
          <m:sup>
            <m:r>
              <m:rPr>
                <m:sty m:val="p"/>
              </m:rPr>
              <w:rPr>
                <w:rFonts w:ascii="Cambria Math" w:hAnsi="Cambria Math"/>
              </w:rPr>
              <m:t>tf</m:t>
            </m:r>
          </m:sup>
          <m:e>
            <m:r>
              <m:rPr>
                <m:sty m:val="p"/>
              </m:rPr>
              <w:rPr>
                <w:rFonts w:ascii="Cambria Math" w:hAnsi="Cambria Math"/>
              </w:rPr>
              <m:t>Pd(t) dt</m:t>
            </m:r>
          </m:e>
        </m:nary>
      </m:oMath>
      <w:r w:rsidRPr="00B904AF">
        <w:t xml:space="preserve">                        </w:t>
      </w:r>
      <w:r w:rsidRPr="003A6223">
        <w:t>(2)</w:t>
      </w:r>
    </w:p>
    <w:p w14:paraId="5A03F13B" w14:textId="313D0C84" w:rsidR="00874D32" w:rsidRPr="003A6223" w:rsidRDefault="003F56F4" w:rsidP="003F56F4">
      <w:pPr>
        <w:spacing w:before="120"/>
        <w:ind w:firstLine="170"/>
        <w:jc w:val="both"/>
        <w:rPr>
          <w:kern w:val="0"/>
          <w:sz w:val="20"/>
          <w:lang w:val="en-US"/>
        </w:rPr>
      </w:pPr>
      <w:r w:rsidRPr="003A6223">
        <w:rPr>
          <w:kern w:val="0"/>
          <w:sz w:val="20"/>
          <w:lang w:val="en-US"/>
        </w:rPr>
        <w:t>Where "Pd(t) = V(t)∙Id(t)"</w:t>
      </w:r>
      <w:r w:rsidR="006C7281" w:rsidRPr="003A6223">
        <w:rPr>
          <w:kern w:val="0"/>
          <w:sz w:val="20"/>
          <w:lang w:val="en-US"/>
        </w:rPr>
        <w:t>,</w:t>
      </w:r>
      <w:r w:rsidRPr="003A6223">
        <w:rPr>
          <w:kern w:val="0"/>
          <w:sz w:val="20"/>
          <w:lang w:val="en-US"/>
        </w:rPr>
        <w:t xml:space="preserve"> with V(t) and Id(t) representing the instantaneous values of voltage and current, respectively.</w:t>
      </w:r>
    </w:p>
    <w:p w14:paraId="0B62FA64" w14:textId="63B71765" w:rsidR="00176EEB" w:rsidRPr="00B33C45" w:rsidRDefault="00176EEB" w:rsidP="00176EEB">
      <w:pPr>
        <w:pStyle w:val="Didascalia1"/>
        <w:jc w:val="both"/>
        <w:rPr>
          <w:i w:val="0"/>
          <w:lang w:val="en-US"/>
        </w:rPr>
      </w:pPr>
      <w:r>
        <w:rPr>
          <w:noProof/>
          <w:lang w:eastAsia="it-IT" w:bidi="ar-SA"/>
        </w:rPr>
        <mc:AlternateContent>
          <mc:Choice Requires="wps">
            <w:drawing>
              <wp:inline distT="0" distB="0" distL="0" distR="0" wp14:anchorId="010B2795" wp14:editId="5A2DC035">
                <wp:extent cx="2943225" cy="4398818"/>
                <wp:effectExtent l="0" t="0" r="9525" b="190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43988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7A0B8" w14:textId="77777777" w:rsidR="00176EEB" w:rsidRDefault="00176EEB" w:rsidP="00997E2D">
                            <w:pPr>
                              <w:pStyle w:val="Didascalia1"/>
                              <w:spacing w:before="0" w:after="0"/>
                            </w:pPr>
                            <w:r>
                              <w:rPr>
                                <w:noProof/>
                                <w:lang w:eastAsia="it-IT" w:bidi="ar-SA"/>
                              </w:rPr>
                              <w:drawing>
                                <wp:inline distT="0" distB="0" distL="0" distR="0" wp14:anchorId="46762BE9" wp14:editId="27C6B3A6">
                                  <wp:extent cx="2976922" cy="1747157"/>
                                  <wp:effectExtent l="0" t="0" r="0" b="571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45363" cy="1787325"/>
                                          </a:xfrm>
                                          <a:prstGeom prst="rect">
                                            <a:avLst/>
                                          </a:prstGeom>
                                        </pic:spPr>
                                      </pic:pic>
                                    </a:graphicData>
                                  </a:graphic>
                                </wp:inline>
                              </w:drawing>
                            </w:r>
                          </w:p>
                          <w:p w14:paraId="55CD9E11" w14:textId="77777777" w:rsidR="00176EEB" w:rsidRDefault="00176EEB" w:rsidP="00997E2D">
                            <w:pPr>
                              <w:pStyle w:val="Didascalia1"/>
                              <w:spacing w:after="0"/>
                            </w:pPr>
                            <w:r>
                              <w:rPr>
                                <w:noProof/>
                                <w:lang w:eastAsia="it-IT" w:bidi="ar-SA"/>
                              </w:rPr>
                              <w:drawing>
                                <wp:inline distT="0" distB="0" distL="0" distR="0" wp14:anchorId="37E1C02D" wp14:editId="2C1F5D5E">
                                  <wp:extent cx="2921766" cy="1959429"/>
                                  <wp:effectExtent l="0" t="0" r="0" b="317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003" r="1855"/>
                                          <a:stretch/>
                                        </pic:blipFill>
                                        <pic:spPr bwMode="auto">
                                          <a:xfrm>
                                            <a:off x="0" y="0"/>
                                            <a:ext cx="3009876" cy="2018519"/>
                                          </a:xfrm>
                                          <a:prstGeom prst="rect">
                                            <a:avLst/>
                                          </a:prstGeom>
                                          <a:ln>
                                            <a:noFill/>
                                          </a:ln>
                                          <a:extLst>
                                            <a:ext uri="{53640926-AAD7-44D8-BBD7-CCE9431645EC}">
                                              <a14:shadowObscured xmlns:a14="http://schemas.microsoft.com/office/drawing/2010/main"/>
                                            </a:ext>
                                          </a:extLst>
                                        </pic:spPr>
                                      </pic:pic>
                                    </a:graphicData>
                                  </a:graphic>
                                </wp:inline>
                              </w:drawing>
                            </w:r>
                          </w:p>
                          <w:p w14:paraId="4C35C93E" w14:textId="4458D84A" w:rsidR="00176EEB" w:rsidRDefault="00176EEB" w:rsidP="00176EEB">
                            <w:pPr>
                              <w:pStyle w:val="Didascalia1"/>
                              <w:rPr>
                                <w:lang w:val="en-US"/>
                              </w:rPr>
                            </w:pPr>
                            <w:r w:rsidRPr="00B14128">
                              <w:rPr>
                                <w:lang w:val="en-US"/>
                              </w:rPr>
                              <w:t xml:space="preserve">Fig. 2. </w:t>
                            </w:r>
                            <w:r w:rsidRPr="00E8558B">
                              <w:rPr>
                                <w:lang w:val="en-US"/>
                              </w:rPr>
                              <w:t>a) Discharge curves</w:t>
                            </w:r>
                            <w:r>
                              <w:rPr>
                                <w:lang w:val="en-US"/>
                              </w:rPr>
                              <w:t xml:space="preserve"> for extra</w:t>
                            </w:r>
                            <w:r w:rsidRPr="00E8558B">
                              <w:rPr>
                                <w:lang w:val="en-US"/>
                              </w:rPr>
                              <w:t>polation of output variable</w:t>
                            </w:r>
                            <w:r>
                              <w:rPr>
                                <w:lang w:val="en-US"/>
                              </w:rPr>
                              <w:t>s; b) Nyquist plot of the impedance used as input variables of the database.</w:t>
                            </w:r>
                          </w:p>
                        </w:txbxContent>
                      </wps:txbx>
                      <wps:bodyPr rot="0" vert="horz" wrap="square" lIns="0" tIns="0" rIns="0" bIns="0" anchor="t" anchorCtr="0" upright="1">
                        <a:noAutofit/>
                      </wps:bodyPr>
                    </wps:wsp>
                  </a:graphicData>
                </a:graphic>
              </wp:inline>
            </w:drawing>
          </mc:Choice>
          <mc:Fallback>
            <w:pict>
              <v:shape w14:anchorId="010B2795" id="_x0000_s1027" type="#_x0000_t202" style="width:231.75pt;height:3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" stroked="f">
                <v:textbox inset="0,0,0,0">
                  <w:txbxContent>
                    <w:p w14:paraId="4CA7A0B8" w14:textId="77777777" w:rsidR="00176EEB" w:rsidRDefault="00176EEB" w:rsidP="00997E2D">
                      <w:pPr>
                        <w:pStyle w:val="Didascalia1"/>
                        <w:spacing w:before="0" w:after="0"/>
                      </w:pPr>
                      <w:r>
                        <w:rPr>
                          <w:noProof/>
                          <w:lang w:eastAsia="it-IT" w:bidi="ar-SA"/>
                        </w:rPr>
                        <w:drawing>
                          <wp:inline distT="0" distB="0" distL="0" distR="0" wp14:anchorId="46762BE9" wp14:editId="27C6B3A6">
                            <wp:extent cx="2976922" cy="1747157"/>
                            <wp:effectExtent l="0" t="0" r="0" b="571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5363" cy="1787325"/>
                                    </a:xfrm>
                                    <a:prstGeom prst="rect">
                                      <a:avLst/>
                                    </a:prstGeom>
                                  </pic:spPr>
                                </pic:pic>
                              </a:graphicData>
                            </a:graphic>
                          </wp:inline>
                        </w:drawing>
                      </w:r>
                    </w:p>
                    <w:p w14:paraId="55CD9E11" w14:textId="77777777" w:rsidR="00176EEB" w:rsidRDefault="00176EEB" w:rsidP="00997E2D">
                      <w:pPr>
                        <w:pStyle w:val="Didascalia1"/>
                        <w:spacing w:after="0"/>
                      </w:pPr>
                      <w:r>
                        <w:rPr>
                          <w:noProof/>
                          <w:lang w:eastAsia="it-IT" w:bidi="ar-SA"/>
                        </w:rPr>
                        <w:drawing>
                          <wp:inline distT="0" distB="0" distL="0" distR="0" wp14:anchorId="37E1C02D" wp14:editId="2C1F5D5E">
                            <wp:extent cx="2921766" cy="1959429"/>
                            <wp:effectExtent l="0" t="0" r="0" b="317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4003" r="1855"/>
                                    <a:stretch/>
                                  </pic:blipFill>
                                  <pic:spPr bwMode="auto">
                                    <a:xfrm>
                                      <a:off x="0" y="0"/>
                                      <a:ext cx="3009876" cy="2018519"/>
                                    </a:xfrm>
                                    <a:prstGeom prst="rect">
                                      <a:avLst/>
                                    </a:prstGeom>
                                    <a:ln>
                                      <a:noFill/>
                                    </a:ln>
                                    <a:extLst>
                                      <a:ext uri="{53640926-AAD7-44D8-BBD7-CCE9431645EC}">
                                        <a14:shadowObscured xmlns:a14="http://schemas.microsoft.com/office/drawing/2010/main"/>
                                      </a:ext>
                                    </a:extLst>
                                  </pic:spPr>
                                </pic:pic>
                              </a:graphicData>
                            </a:graphic>
                          </wp:inline>
                        </w:drawing>
                      </w:r>
                    </w:p>
                    <w:p w14:paraId="4C35C93E" w14:textId="4458D84A" w:rsidR="00176EEB" w:rsidRDefault="00176EEB" w:rsidP="00176EEB">
                      <w:pPr>
                        <w:pStyle w:val="Didascalia1"/>
                        <w:rPr>
                          <w:lang w:val="en-US"/>
                        </w:rPr>
                      </w:pPr>
                      <w:r w:rsidRPr="00B14128">
                        <w:rPr>
                          <w:lang w:val="en-US"/>
                        </w:rPr>
                        <w:t xml:space="preserve">Fig. 2. </w:t>
                      </w:r>
                      <w:r w:rsidRPr="00E8558B">
                        <w:rPr>
                          <w:lang w:val="en-US"/>
                        </w:rPr>
                        <w:t>a) Discharge curves</w:t>
                      </w:r>
                      <w:r>
                        <w:rPr>
                          <w:lang w:val="en-US"/>
                        </w:rPr>
                        <w:t xml:space="preserve"> for extra</w:t>
                      </w:r>
                      <w:r w:rsidRPr="00E8558B">
                        <w:rPr>
                          <w:lang w:val="en-US"/>
                        </w:rPr>
                        <w:t>polation of output variable</w:t>
                      </w:r>
                      <w:r>
                        <w:rPr>
                          <w:lang w:val="en-US"/>
                        </w:rPr>
                        <w:t>s; b) Nyquist plot of the impedance used as input variables of the database.</w:t>
                      </w:r>
                    </w:p>
                  </w:txbxContent>
                </v:textbox>
                <w10:anchorlock/>
              </v:shape>
            </w:pict>
          </mc:Fallback>
        </mc:AlternateContent>
      </w:r>
    </w:p>
    <w:p w14:paraId="42FCC87B" w14:textId="77777777" w:rsidR="00B904AF" w:rsidRDefault="00B904AF" w:rsidP="003723D5">
      <w:pPr>
        <w:pStyle w:val="Bodytextfirst"/>
      </w:pPr>
      <w:r w:rsidRPr="00D2134C">
        <w:t>The recorded discharge curves at begin of life (</w:t>
      </w:r>
      <w:proofErr w:type="spellStart"/>
      <w:r w:rsidRPr="00D2134C">
        <w:t>BoL</w:t>
      </w:r>
      <w:proofErr w:type="spellEnd"/>
      <w:r w:rsidRPr="00D2134C">
        <w:t xml:space="preserve">) and different </w:t>
      </w:r>
      <w:proofErr w:type="spellStart"/>
      <w:r w:rsidRPr="00D2134C">
        <w:t>SoH</w:t>
      </w:r>
      <w:proofErr w:type="spellEnd"/>
      <w:r w:rsidRPr="00D2134C">
        <w:t xml:space="preserve"> levels are reported in </w:t>
      </w:r>
      <w:r>
        <w:t xml:space="preserve">Figure 2a. </w:t>
      </w:r>
      <w:proofErr w:type="spellStart"/>
      <w:r w:rsidRPr="00F40A08">
        <w:t>SoH</w:t>
      </w:r>
      <w:proofErr w:type="spellEnd"/>
      <w:r w:rsidRPr="00F40A08">
        <w:t xml:space="preserve"> levels were defined as capacity loss of the cell identified during each parametric check-up.</w:t>
      </w:r>
    </w:p>
    <w:p w14:paraId="54FB9721" w14:textId="7E48C507" w:rsidR="00957E1C" w:rsidRPr="00735816" w:rsidRDefault="00177437" w:rsidP="003723D5">
      <w:pPr>
        <w:pStyle w:val="Bodytextfirst"/>
        <w:rPr>
          <w:color w:val="FF0000"/>
        </w:rPr>
      </w:pPr>
      <w:r w:rsidRPr="00D2134C">
        <w:t xml:space="preserve">As input variables of the algorithm, the complex impedance values were collected at different frequencies and </w:t>
      </w:r>
      <w:proofErr w:type="spellStart"/>
      <w:r w:rsidRPr="00D2134C">
        <w:t>SoH</w:t>
      </w:r>
      <w:proofErr w:type="spellEnd"/>
      <w:r w:rsidRPr="00D2134C">
        <w:t xml:space="preserve"> levels of the cell. This information came from EIS analysis carried </w:t>
      </w:r>
      <w:r>
        <w:t xml:space="preserve">out </w:t>
      </w:r>
      <w:r w:rsidRPr="00D2134C">
        <w:t xml:space="preserve">in correspondence of parametric check-ups. </w:t>
      </w:r>
      <w:r w:rsidR="00957E1C" w:rsidRPr="00CB402C">
        <w:t xml:space="preserve">EIS output </w:t>
      </w:r>
      <w:r w:rsidR="00957E1C" w:rsidRPr="00D2134C">
        <w:t xml:space="preserve">is </w:t>
      </w:r>
      <w:r w:rsidR="00957E1C">
        <w:t xml:space="preserve">often shown through </w:t>
      </w:r>
      <w:r w:rsidR="00957E1C" w:rsidRPr="00D2134C">
        <w:t xml:space="preserve">the Nyquist diagram in which, inverse imaginary part of impedance is plotted as a function of the real one. In the case of </w:t>
      </w:r>
      <w:r w:rsidR="00957E1C">
        <w:t>Li-Ion</w:t>
      </w:r>
      <w:r w:rsidR="00957E1C" w:rsidRPr="00D2134C">
        <w:t xml:space="preserve"> batteries, the above diagram consists of four distinct regions typically belonging to the frequency range between 10 </w:t>
      </w:r>
      <w:proofErr w:type="spellStart"/>
      <w:r w:rsidR="00957E1C" w:rsidRPr="00D2134C">
        <w:t>mHz</w:t>
      </w:r>
      <w:proofErr w:type="spellEnd"/>
      <w:r w:rsidR="00957E1C">
        <w:t xml:space="preserve"> to 10 kHz </w:t>
      </w:r>
      <w:r w:rsidR="00957E1C" w:rsidRPr="00140D8B">
        <w:t>[1</w:t>
      </w:r>
      <w:r w:rsidR="007A3078" w:rsidRPr="00140D8B">
        <w:t>9</w:t>
      </w:r>
      <w:r w:rsidR="00957E1C" w:rsidRPr="00140D8B">
        <w:t>].</w:t>
      </w:r>
      <w:r w:rsidR="00735816">
        <w:t xml:space="preserve"> </w:t>
      </w:r>
      <w:r w:rsidR="00735816" w:rsidRPr="00140D8B">
        <w:t xml:space="preserve">In the low frequency region, an almost linear trend in the Nyquist plot is </w:t>
      </w:r>
      <w:r w:rsidR="00735816" w:rsidRPr="00140D8B">
        <w:lastRenderedPageBreak/>
        <w:t>representative of the solid diffusion of lithium ions through the electrodes material. In the medium-high frequencies range</w:t>
      </w:r>
      <w:r w:rsidR="00140D8B" w:rsidRPr="00140D8B">
        <w:t>,</w:t>
      </w:r>
      <w:r w:rsidR="00735816" w:rsidRPr="00140D8B">
        <w:t xml:space="preserve"> one or more semicircles</w:t>
      </w:r>
      <w:r w:rsidR="00140D8B" w:rsidRPr="00140D8B">
        <w:t xml:space="preserve"> are usually present,</w:t>
      </w:r>
      <w:r w:rsidR="00735816" w:rsidRPr="00140D8B">
        <w:t xml:space="preserve"> representative of the impedance of either charge transfer phenomena or passivation layers on the surface of the electrodes (solid electrolyte interphase-SEI). Another interesting point is represented by the intersection of the impedance spectrum with the real axis (pure ohmic impedance), which is related to the internal resistance of the cell. Finally, the high frequency region is representative of inductive phenomena. Since each one of these phenomena are strictly related to temperature, SoC and </w:t>
      </w:r>
      <w:proofErr w:type="spellStart"/>
      <w:r w:rsidR="00735816" w:rsidRPr="00140D8B">
        <w:t>SoH</w:t>
      </w:r>
      <w:proofErr w:type="spellEnd"/>
      <w:r w:rsidR="00735816" w:rsidRPr="00140D8B">
        <w:t xml:space="preserve"> of the cell, the analysis of the impedance data can be used to monitor instantaneous operating conditions and the degradation level induced by use.</w:t>
      </w:r>
    </w:p>
    <w:p w14:paraId="25A9E35E" w14:textId="48BB9D38" w:rsidR="0019578A" w:rsidRDefault="00D2134C" w:rsidP="003723D5">
      <w:pPr>
        <w:pStyle w:val="Bodytextfirst"/>
      </w:pPr>
      <w:r w:rsidRPr="00D2134C">
        <w:t xml:space="preserve">To create the database, the impedance of the cell was recorded at </w:t>
      </w:r>
      <w:r w:rsidR="00D2338F">
        <w:t xml:space="preserve">different SoCs (100%, 75%, 50%, 25%, </w:t>
      </w:r>
      <w:r w:rsidRPr="00D2134C">
        <w:t xml:space="preserve">0%) at </w:t>
      </w:r>
      <w:proofErr w:type="spellStart"/>
      <w:r w:rsidRPr="00D2134C">
        <w:t>BoL</w:t>
      </w:r>
      <w:proofErr w:type="spellEnd"/>
      <w:r w:rsidRPr="00D2134C">
        <w:t xml:space="preserve"> and ev</w:t>
      </w:r>
      <w:r w:rsidR="002E11E6">
        <w:t>ery ten day</w:t>
      </w:r>
      <w:r w:rsidR="00140D8B">
        <w:t>s</w:t>
      </w:r>
      <w:r w:rsidR="002E11E6">
        <w:t xml:space="preserve"> of operation under </w:t>
      </w:r>
      <w:r w:rsidRPr="00D2134C">
        <w:t>F</w:t>
      </w:r>
      <w:r w:rsidR="002E11E6">
        <w:t>R</w:t>
      </w:r>
      <w:r w:rsidRPr="00D2134C">
        <w:t xml:space="preserve"> cycle, until a loss of capacity of about 8% was reached. </w:t>
      </w:r>
      <w:r w:rsidR="0019578A" w:rsidRPr="00D2134C">
        <w:t xml:space="preserve">Nyquist plots of the impedance recorded for different SoCs at </w:t>
      </w:r>
      <w:proofErr w:type="spellStart"/>
      <w:r w:rsidR="0019578A" w:rsidRPr="00D2134C">
        <w:t>BoL</w:t>
      </w:r>
      <w:proofErr w:type="spellEnd"/>
      <w:r w:rsidR="0019578A" w:rsidRPr="00D2134C">
        <w:t xml:space="preserve"> and five different </w:t>
      </w:r>
      <w:proofErr w:type="spellStart"/>
      <w:r w:rsidR="0019578A" w:rsidRPr="00D2134C">
        <w:t>SoH</w:t>
      </w:r>
      <w:proofErr w:type="spellEnd"/>
      <w:r w:rsidR="0019578A" w:rsidRPr="00D2134C">
        <w:t xml:space="preserve"> levels are reported in figure 2b.  </w:t>
      </w:r>
    </w:p>
    <w:p w14:paraId="2FB8E014" w14:textId="4A1AAF33" w:rsidR="00384B34" w:rsidRPr="00EC073B" w:rsidRDefault="00384B34" w:rsidP="003723D5">
      <w:pPr>
        <w:pStyle w:val="Bodytextfirst"/>
      </w:pPr>
      <w:r>
        <w:t xml:space="preserve">The </w:t>
      </w:r>
      <w:r w:rsidR="00D2134C" w:rsidRPr="00D2134C">
        <w:t xml:space="preserve">impedance was recorded in the range of frequency between 10 </w:t>
      </w:r>
      <w:proofErr w:type="spellStart"/>
      <w:r w:rsidR="00D2134C" w:rsidRPr="00D2134C">
        <w:t>mHz</w:t>
      </w:r>
      <w:proofErr w:type="spellEnd"/>
      <w:r w:rsidR="00D2134C" w:rsidRPr="00D2134C">
        <w:t xml:space="preserve"> to 10 kHz with ten points per decade, which leads to 61 values for each </w:t>
      </w:r>
      <w:proofErr w:type="spellStart"/>
      <w:r w:rsidR="00D2134C" w:rsidRPr="00D2134C">
        <w:t>SoC.</w:t>
      </w:r>
      <w:proofErr w:type="spellEnd"/>
      <w:r>
        <w:t xml:space="preserve"> Finally, </w:t>
      </w:r>
      <w:r w:rsidR="009A500B">
        <w:t>t</w:t>
      </w:r>
      <w:r w:rsidRPr="00384B34">
        <w:t>he data set used for the case study consists of 1860 impedance measurements</w:t>
      </w:r>
      <w:r w:rsidR="00A569AD">
        <w:t xml:space="preserve">. </w:t>
      </w:r>
      <w:r>
        <w:t>Table 2</w:t>
      </w:r>
      <w:r w:rsidRPr="00384B34">
        <w:t xml:space="preserve"> contains some statistical information on the dataset used.</w:t>
      </w:r>
    </w:p>
    <w:p w14:paraId="62793043" w14:textId="6F917B00" w:rsidR="00384B34" w:rsidRPr="00DC5116" w:rsidRDefault="00384B34" w:rsidP="00384B34">
      <w:pPr>
        <w:pStyle w:val="Didascalia1"/>
        <w:rPr>
          <w:i w:val="0"/>
          <w:iCs w:val="0"/>
          <w:lang w:val="en-US"/>
        </w:rPr>
      </w:pPr>
      <w:r>
        <w:rPr>
          <w:lang w:val="en-US"/>
        </w:rPr>
        <w:t>Table 2</w:t>
      </w:r>
      <w:r w:rsidRPr="00EC073B">
        <w:rPr>
          <w:lang w:val="en-US"/>
        </w:rPr>
        <w:t xml:space="preserve">. </w:t>
      </w:r>
      <w:r w:rsidR="00DC5116" w:rsidRPr="00DC5116">
        <w:rPr>
          <w:lang w:val="en-US"/>
        </w:rPr>
        <w:t>Statistical data of used dat</w:t>
      </w:r>
      <w:r w:rsidR="00A620FA">
        <w:rPr>
          <w:lang w:val="en-US"/>
        </w:rPr>
        <w:t>a</w:t>
      </w:r>
      <w:r w:rsidR="00DC5116" w:rsidRPr="00DC5116">
        <w:rPr>
          <w:lang w:val="en-US"/>
        </w:rPr>
        <w:t>set</w:t>
      </w:r>
      <w:r w:rsidRPr="00DC5116">
        <w:rPr>
          <w:lang w:val="en-US"/>
        </w:rPr>
        <w:t>.</w:t>
      </w:r>
    </w:p>
    <w:tbl>
      <w:tblPr>
        <w:tblStyle w:val="Grigliatabellachiara"/>
        <w:tblW w:w="0" w:type="auto"/>
        <w:tblLook w:val="0000" w:firstRow="0" w:lastRow="0" w:firstColumn="0" w:lastColumn="0" w:noHBand="0" w:noVBand="0"/>
      </w:tblPr>
      <w:tblGrid>
        <w:gridCol w:w="786"/>
        <w:gridCol w:w="766"/>
        <w:gridCol w:w="808"/>
        <w:gridCol w:w="808"/>
        <w:gridCol w:w="684"/>
        <w:gridCol w:w="787"/>
      </w:tblGrid>
      <w:tr w:rsidR="00384B34" w14:paraId="76028559" w14:textId="701B226D" w:rsidTr="00CB402C">
        <w:tc>
          <w:tcPr>
            <w:tcW w:w="0" w:type="auto"/>
          </w:tcPr>
          <w:p w14:paraId="5E3D61BD" w14:textId="750B6912" w:rsidR="00384B34" w:rsidRPr="00DC5116" w:rsidRDefault="00384B34" w:rsidP="00384B34">
            <w:pPr>
              <w:pStyle w:val="Intestazionetabella"/>
              <w:rPr>
                <w:b w:val="0"/>
                <w:bCs w:val="0"/>
                <w:sz w:val="20"/>
                <w:szCs w:val="20"/>
                <w:lang w:val="en-US"/>
              </w:rPr>
            </w:pPr>
          </w:p>
        </w:tc>
        <w:tc>
          <w:tcPr>
            <w:tcW w:w="0" w:type="auto"/>
          </w:tcPr>
          <w:p w14:paraId="73DB82F9" w14:textId="6B426288" w:rsidR="00384B34" w:rsidRPr="00384B34" w:rsidRDefault="00384B34" w:rsidP="00384B34">
            <w:pPr>
              <w:pStyle w:val="Intestazionetabella"/>
              <w:rPr>
                <w:b w:val="0"/>
                <w:bCs w:val="0"/>
                <w:sz w:val="20"/>
                <w:szCs w:val="20"/>
              </w:rPr>
            </w:pPr>
            <w:r w:rsidRPr="00384B34">
              <w:rPr>
                <w:b w:val="0"/>
                <w:sz w:val="20"/>
                <w:szCs w:val="20"/>
              </w:rPr>
              <w:t>f (Hz)</w:t>
            </w:r>
          </w:p>
        </w:tc>
        <w:tc>
          <w:tcPr>
            <w:tcW w:w="0" w:type="auto"/>
          </w:tcPr>
          <w:p w14:paraId="473C7933" w14:textId="41D0053F" w:rsidR="00384B34" w:rsidRPr="00384B34" w:rsidRDefault="00384B34" w:rsidP="00384B34">
            <w:pPr>
              <w:pStyle w:val="Intestazionetabella"/>
              <w:rPr>
                <w:b w:val="0"/>
                <w:bCs w:val="0"/>
                <w:sz w:val="20"/>
                <w:szCs w:val="20"/>
              </w:rPr>
            </w:pPr>
            <w:r w:rsidRPr="00384B34">
              <w:rPr>
                <w:b w:val="0"/>
                <w:sz w:val="20"/>
                <w:szCs w:val="20"/>
              </w:rPr>
              <w:t>Re{Z} (Ohm)</w:t>
            </w:r>
          </w:p>
        </w:tc>
        <w:tc>
          <w:tcPr>
            <w:tcW w:w="0" w:type="auto"/>
          </w:tcPr>
          <w:p w14:paraId="50B90B1D" w14:textId="40F8A346" w:rsidR="00384B34" w:rsidRPr="00384B34" w:rsidRDefault="00384B34" w:rsidP="00384B34">
            <w:pPr>
              <w:pStyle w:val="Intestazionetabella"/>
              <w:rPr>
                <w:b w:val="0"/>
                <w:bCs w:val="0"/>
                <w:sz w:val="20"/>
                <w:szCs w:val="20"/>
              </w:rPr>
            </w:pPr>
            <w:r w:rsidRPr="00384B34">
              <w:rPr>
                <w:b w:val="0"/>
                <w:sz w:val="20"/>
                <w:szCs w:val="20"/>
              </w:rPr>
              <w:t>Im{Z} (Ohm)</w:t>
            </w:r>
          </w:p>
        </w:tc>
        <w:tc>
          <w:tcPr>
            <w:tcW w:w="0" w:type="auto"/>
          </w:tcPr>
          <w:p w14:paraId="0AF71FFB" w14:textId="3934A36B" w:rsidR="00384B34" w:rsidRPr="00384B34" w:rsidRDefault="00384B34" w:rsidP="00384B34">
            <w:pPr>
              <w:pStyle w:val="Intestazionetabella"/>
              <w:rPr>
                <w:b w:val="0"/>
                <w:bCs w:val="0"/>
                <w:sz w:val="20"/>
                <w:szCs w:val="20"/>
              </w:rPr>
            </w:pPr>
            <w:r w:rsidRPr="00384B34">
              <w:rPr>
                <w:b w:val="0"/>
                <w:sz w:val="20"/>
                <w:szCs w:val="20"/>
              </w:rPr>
              <w:t>SoC (%)</w:t>
            </w:r>
          </w:p>
        </w:tc>
        <w:tc>
          <w:tcPr>
            <w:tcW w:w="0" w:type="auto"/>
          </w:tcPr>
          <w:p w14:paraId="5C04A635" w14:textId="611E9BBF" w:rsidR="00384B34" w:rsidRPr="00384B34" w:rsidRDefault="00384B34" w:rsidP="00384B34">
            <w:pPr>
              <w:pStyle w:val="Intestazionetabella"/>
              <w:rPr>
                <w:b w:val="0"/>
                <w:bCs w:val="0"/>
                <w:sz w:val="20"/>
                <w:szCs w:val="20"/>
              </w:rPr>
            </w:pPr>
            <w:proofErr w:type="spellStart"/>
            <w:r w:rsidRPr="00384B34">
              <w:rPr>
                <w:b w:val="0"/>
                <w:sz w:val="20"/>
                <w:szCs w:val="20"/>
              </w:rPr>
              <w:t>C</w:t>
            </w:r>
            <w:r>
              <w:rPr>
                <w:b w:val="0"/>
                <w:sz w:val="20"/>
                <w:szCs w:val="20"/>
              </w:rPr>
              <w:t>_</w:t>
            </w:r>
            <w:r w:rsidRPr="00384B34">
              <w:rPr>
                <w:b w:val="0"/>
                <w:sz w:val="20"/>
                <w:szCs w:val="20"/>
              </w:rPr>
              <w:t>loss</w:t>
            </w:r>
            <w:proofErr w:type="spellEnd"/>
            <w:r w:rsidRPr="00384B34">
              <w:rPr>
                <w:b w:val="0"/>
                <w:sz w:val="20"/>
                <w:szCs w:val="20"/>
              </w:rPr>
              <w:t xml:space="preserve"> (%)</w:t>
            </w:r>
          </w:p>
        </w:tc>
      </w:tr>
      <w:tr w:rsidR="00384B34" w14:paraId="72D60CC7" w14:textId="39692DC6" w:rsidTr="00CB402C">
        <w:tc>
          <w:tcPr>
            <w:tcW w:w="0" w:type="auto"/>
          </w:tcPr>
          <w:p w14:paraId="59C28FC8" w14:textId="28F065EA" w:rsidR="00384B34" w:rsidRPr="00384B34" w:rsidRDefault="00384B34" w:rsidP="00384B34">
            <w:pPr>
              <w:pStyle w:val="Contenutotabella"/>
              <w:jc w:val="center"/>
              <w:rPr>
                <w:sz w:val="20"/>
                <w:szCs w:val="20"/>
              </w:rPr>
            </w:pPr>
            <w:r>
              <w:rPr>
                <w:sz w:val="20"/>
                <w:szCs w:val="20"/>
              </w:rPr>
              <w:t xml:space="preserve">Range </w:t>
            </w:r>
            <w:proofErr w:type="spellStart"/>
            <w:r>
              <w:rPr>
                <w:sz w:val="20"/>
                <w:szCs w:val="20"/>
              </w:rPr>
              <w:t>min-max</w:t>
            </w:r>
            <w:proofErr w:type="spellEnd"/>
          </w:p>
        </w:tc>
        <w:tc>
          <w:tcPr>
            <w:tcW w:w="0" w:type="auto"/>
          </w:tcPr>
          <w:p w14:paraId="73FCE494" w14:textId="45ABF794" w:rsidR="00384B34" w:rsidRDefault="00384B34" w:rsidP="00384B34">
            <w:pPr>
              <w:pStyle w:val="Contenutotabella"/>
              <w:jc w:val="center"/>
              <w:rPr>
                <w:sz w:val="20"/>
                <w:szCs w:val="20"/>
              </w:rPr>
            </w:pPr>
            <w:r>
              <w:rPr>
                <w:sz w:val="20"/>
                <w:szCs w:val="20"/>
              </w:rPr>
              <w:t>0.01</w:t>
            </w:r>
          </w:p>
          <w:p w14:paraId="4650FC84" w14:textId="110C57BE" w:rsidR="00384B34" w:rsidRDefault="00384B34" w:rsidP="00384B34">
            <w:pPr>
              <w:pStyle w:val="Contenutotabella"/>
              <w:jc w:val="center"/>
              <w:rPr>
                <w:sz w:val="20"/>
                <w:szCs w:val="20"/>
              </w:rPr>
            </w:pPr>
            <w:r>
              <w:rPr>
                <w:sz w:val="20"/>
                <w:szCs w:val="20"/>
              </w:rPr>
              <w:t>-</w:t>
            </w:r>
          </w:p>
          <w:p w14:paraId="1812CD97" w14:textId="1E2D5020" w:rsidR="00384B34" w:rsidRPr="00384B34" w:rsidRDefault="00384B34" w:rsidP="00384B34">
            <w:pPr>
              <w:pStyle w:val="Contenutotabella"/>
              <w:jc w:val="center"/>
              <w:rPr>
                <w:sz w:val="20"/>
                <w:szCs w:val="20"/>
              </w:rPr>
            </w:pPr>
            <w:r>
              <w:rPr>
                <w:sz w:val="20"/>
                <w:szCs w:val="20"/>
              </w:rPr>
              <w:t>10000</w:t>
            </w:r>
          </w:p>
        </w:tc>
        <w:tc>
          <w:tcPr>
            <w:tcW w:w="0" w:type="auto"/>
          </w:tcPr>
          <w:p w14:paraId="0701C7D1" w14:textId="21F66409" w:rsidR="00384B34" w:rsidRDefault="00384B34" w:rsidP="00384B34">
            <w:pPr>
              <w:pStyle w:val="Contenutotabella"/>
              <w:jc w:val="center"/>
              <w:rPr>
                <w:sz w:val="20"/>
                <w:szCs w:val="20"/>
              </w:rPr>
            </w:pPr>
            <w:r>
              <w:rPr>
                <w:sz w:val="20"/>
                <w:szCs w:val="20"/>
              </w:rPr>
              <w:t>0.041</w:t>
            </w:r>
          </w:p>
          <w:p w14:paraId="4FB62BA0" w14:textId="7E4EA23F" w:rsidR="00384B34" w:rsidRDefault="00384B34" w:rsidP="00384B34">
            <w:pPr>
              <w:pStyle w:val="Contenutotabella"/>
              <w:jc w:val="center"/>
              <w:rPr>
                <w:sz w:val="20"/>
                <w:szCs w:val="20"/>
              </w:rPr>
            </w:pPr>
            <w:r>
              <w:rPr>
                <w:sz w:val="20"/>
                <w:szCs w:val="20"/>
              </w:rPr>
              <w:t>-</w:t>
            </w:r>
          </w:p>
          <w:p w14:paraId="2465DCD8" w14:textId="33CD0BA1" w:rsidR="00384B34" w:rsidRPr="00384B34" w:rsidRDefault="00384B34" w:rsidP="00384B34">
            <w:pPr>
              <w:pStyle w:val="Contenutotabella"/>
              <w:jc w:val="center"/>
              <w:rPr>
                <w:sz w:val="20"/>
                <w:szCs w:val="20"/>
              </w:rPr>
            </w:pPr>
            <w:r>
              <w:rPr>
                <w:sz w:val="20"/>
                <w:szCs w:val="20"/>
              </w:rPr>
              <w:t>0.207</w:t>
            </w:r>
          </w:p>
        </w:tc>
        <w:tc>
          <w:tcPr>
            <w:tcW w:w="0" w:type="auto"/>
          </w:tcPr>
          <w:p w14:paraId="336D6CD8" w14:textId="6F0B85E7" w:rsidR="00384B34" w:rsidRDefault="00384B34" w:rsidP="00384B34">
            <w:pPr>
              <w:pStyle w:val="Contenutotabella"/>
              <w:jc w:val="center"/>
              <w:rPr>
                <w:sz w:val="20"/>
                <w:szCs w:val="20"/>
              </w:rPr>
            </w:pPr>
            <w:r>
              <w:rPr>
                <w:sz w:val="20"/>
                <w:szCs w:val="20"/>
              </w:rPr>
              <w:t>-0.072</w:t>
            </w:r>
          </w:p>
          <w:p w14:paraId="29B33AD5" w14:textId="5BE4BF3D" w:rsidR="00384B34" w:rsidRDefault="00384B34" w:rsidP="00384B34">
            <w:pPr>
              <w:pStyle w:val="Contenutotabella"/>
              <w:jc w:val="center"/>
              <w:rPr>
                <w:sz w:val="20"/>
                <w:szCs w:val="20"/>
              </w:rPr>
            </w:pPr>
            <w:r>
              <w:rPr>
                <w:sz w:val="20"/>
                <w:szCs w:val="20"/>
              </w:rPr>
              <w:t>-</w:t>
            </w:r>
          </w:p>
          <w:p w14:paraId="2FE1908D" w14:textId="11423163" w:rsidR="00384B34" w:rsidRPr="00384B34" w:rsidRDefault="00384B34" w:rsidP="00384B34">
            <w:pPr>
              <w:pStyle w:val="Contenutotabella"/>
              <w:jc w:val="center"/>
              <w:rPr>
                <w:sz w:val="20"/>
                <w:szCs w:val="20"/>
              </w:rPr>
            </w:pPr>
            <w:r>
              <w:rPr>
                <w:sz w:val="20"/>
                <w:szCs w:val="20"/>
              </w:rPr>
              <w:t>0.067</w:t>
            </w:r>
          </w:p>
        </w:tc>
        <w:tc>
          <w:tcPr>
            <w:tcW w:w="0" w:type="auto"/>
          </w:tcPr>
          <w:p w14:paraId="32B53536" w14:textId="77777777" w:rsidR="00384B34" w:rsidRDefault="00384B34" w:rsidP="00384B34">
            <w:pPr>
              <w:pStyle w:val="Contenutotabella"/>
              <w:jc w:val="center"/>
              <w:rPr>
                <w:sz w:val="20"/>
                <w:szCs w:val="20"/>
              </w:rPr>
            </w:pPr>
            <w:r>
              <w:rPr>
                <w:sz w:val="20"/>
                <w:szCs w:val="20"/>
              </w:rPr>
              <w:t>0</w:t>
            </w:r>
          </w:p>
          <w:p w14:paraId="2D7DAB7E" w14:textId="77777777" w:rsidR="00384B34" w:rsidRDefault="00384B34" w:rsidP="00384B34">
            <w:pPr>
              <w:pStyle w:val="Contenutotabella"/>
              <w:jc w:val="center"/>
              <w:rPr>
                <w:sz w:val="20"/>
                <w:szCs w:val="20"/>
              </w:rPr>
            </w:pPr>
            <w:r>
              <w:rPr>
                <w:sz w:val="20"/>
                <w:szCs w:val="20"/>
              </w:rPr>
              <w:t>-</w:t>
            </w:r>
          </w:p>
          <w:p w14:paraId="239C278B" w14:textId="4D8CEEE2" w:rsidR="00384B34" w:rsidRPr="00384B34" w:rsidRDefault="00384B34" w:rsidP="00384B34">
            <w:pPr>
              <w:pStyle w:val="Contenutotabella"/>
              <w:jc w:val="center"/>
              <w:rPr>
                <w:sz w:val="20"/>
                <w:szCs w:val="20"/>
              </w:rPr>
            </w:pPr>
            <w:r w:rsidRPr="00384B34">
              <w:rPr>
                <w:sz w:val="20"/>
                <w:szCs w:val="20"/>
              </w:rPr>
              <w:t>100</w:t>
            </w:r>
          </w:p>
        </w:tc>
        <w:tc>
          <w:tcPr>
            <w:tcW w:w="0" w:type="auto"/>
          </w:tcPr>
          <w:p w14:paraId="6882C42B" w14:textId="77777777" w:rsidR="00384B34" w:rsidRDefault="00384B34" w:rsidP="00384B34">
            <w:pPr>
              <w:pStyle w:val="Contenutotabella"/>
              <w:jc w:val="center"/>
              <w:rPr>
                <w:sz w:val="20"/>
                <w:szCs w:val="20"/>
              </w:rPr>
            </w:pPr>
            <w:r>
              <w:rPr>
                <w:sz w:val="20"/>
                <w:szCs w:val="20"/>
              </w:rPr>
              <w:t>0</w:t>
            </w:r>
          </w:p>
          <w:p w14:paraId="24889932" w14:textId="77777777" w:rsidR="00384B34" w:rsidRDefault="00384B34" w:rsidP="00384B34">
            <w:pPr>
              <w:pStyle w:val="Contenutotabella"/>
              <w:jc w:val="center"/>
              <w:rPr>
                <w:sz w:val="20"/>
                <w:szCs w:val="20"/>
              </w:rPr>
            </w:pPr>
            <w:r>
              <w:rPr>
                <w:sz w:val="20"/>
                <w:szCs w:val="20"/>
              </w:rPr>
              <w:t>-</w:t>
            </w:r>
          </w:p>
          <w:p w14:paraId="130DDBB3" w14:textId="2800F956" w:rsidR="00384B34" w:rsidRPr="00384B34" w:rsidRDefault="00384B34" w:rsidP="00384B34">
            <w:pPr>
              <w:pStyle w:val="Contenutotabella"/>
              <w:jc w:val="center"/>
              <w:rPr>
                <w:sz w:val="20"/>
                <w:szCs w:val="20"/>
              </w:rPr>
            </w:pPr>
            <w:r>
              <w:rPr>
                <w:sz w:val="20"/>
                <w:szCs w:val="20"/>
              </w:rPr>
              <w:t>8.27</w:t>
            </w:r>
          </w:p>
        </w:tc>
      </w:tr>
      <w:tr w:rsidR="00384B34" w14:paraId="01DB927C" w14:textId="15B2228B" w:rsidTr="00CB402C">
        <w:tc>
          <w:tcPr>
            <w:tcW w:w="0" w:type="auto"/>
          </w:tcPr>
          <w:p w14:paraId="18B524FB" w14:textId="2769D5ED" w:rsidR="00384B34" w:rsidRPr="00384B34" w:rsidRDefault="00384B34" w:rsidP="00384B34">
            <w:pPr>
              <w:pStyle w:val="Contenutotabella"/>
              <w:jc w:val="center"/>
              <w:rPr>
                <w:sz w:val="20"/>
                <w:szCs w:val="20"/>
              </w:rPr>
            </w:pPr>
            <w:proofErr w:type="spellStart"/>
            <w:r w:rsidRPr="00384B34">
              <w:rPr>
                <w:sz w:val="20"/>
                <w:szCs w:val="20"/>
              </w:rPr>
              <w:t>Mean</w:t>
            </w:r>
            <w:proofErr w:type="spellEnd"/>
          </w:p>
        </w:tc>
        <w:tc>
          <w:tcPr>
            <w:tcW w:w="0" w:type="auto"/>
          </w:tcPr>
          <w:p w14:paraId="7858803B" w14:textId="3B5AFB03" w:rsidR="00384B34" w:rsidRPr="00384B34" w:rsidRDefault="00384B34" w:rsidP="00384B34">
            <w:pPr>
              <w:pStyle w:val="Contenutotabella"/>
              <w:jc w:val="center"/>
              <w:rPr>
                <w:sz w:val="20"/>
                <w:szCs w:val="20"/>
              </w:rPr>
            </w:pPr>
            <w:r w:rsidRPr="00384B34">
              <w:rPr>
                <w:sz w:val="20"/>
                <w:szCs w:val="20"/>
              </w:rPr>
              <w:t>797</w:t>
            </w:r>
          </w:p>
        </w:tc>
        <w:tc>
          <w:tcPr>
            <w:tcW w:w="0" w:type="auto"/>
          </w:tcPr>
          <w:p w14:paraId="763C4979" w14:textId="730E0B00" w:rsidR="00384B34" w:rsidRPr="00384B34" w:rsidRDefault="00384B34" w:rsidP="00384B34">
            <w:pPr>
              <w:pStyle w:val="Contenutotabella"/>
              <w:jc w:val="center"/>
              <w:rPr>
                <w:sz w:val="20"/>
                <w:szCs w:val="20"/>
              </w:rPr>
            </w:pPr>
            <w:r w:rsidRPr="00384B34">
              <w:rPr>
                <w:sz w:val="20"/>
                <w:szCs w:val="20"/>
              </w:rPr>
              <w:t>0.0762</w:t>
            </w:r>
          </w:p>
        </w:tc>
        <w:tc>
          <w:tcPr>
            <w:tcW w:w="0" w:type="auto"/>
          </w:tcPr>
          <w:p w14:paraId="0DE8DAF5" w14:textId="7CC8FAA1" w:rsidR="00384B34" w:rsidRPr="00384B34" w:rsidRDefault="00384B34" w:rsidP="00384B34">
            <w:pPr>
              <w:pStyle w:val="Contenutotabella"/>
              <w:jc w:val="center"/>
              <w:rPr>
                <w:sz w:val="20"/>
                <w:szCs w:val="20"/>
              </w:rPr>
            </w:pPr>
            <w:r w:rsidRPr="00384B34">
              <w:rPr>
                <w:sz w:val="20"/>
                <w:szCs w:val="20"/>
              </w:rPr>
              <w:t>0.0019</w:t>
            </w:r>
          </w:p>
        </w:tc>
        <w:tc>
          <w:tcPr>
            <w:tcW w:w="0" w:type="auto"/>
          </w:tcPr>
          <w:p w14:paraId="49201CFF" w14:textId="4543E79A" w:rsidR="00384B34" w:rsidRPr="00384B34" w:rsidRDefault="00384B34" w:rsidP="00384B34">
            <w:pPr>
              <w:pStyle w:val="Contenutotabella"/>
              <w:jc w:val="center"/>
              <w:rPr>
                <w:sz w:val="20"/>
                <w:szCs w:val="20"/>
              </w:rPr>
            </w:pPr>
            <w:r w:rsidRPr="00384B34">
              <w:rPr>
                <w:sz w:val="20"/>
                <w:szCs w:val="20"/>
              </w:rPr>
              <w:t>50.00</w:t>
            </w:r>
          </w:p>
        </w:tc>
        <w:tc>
          <w:tcPr>
            <w:tcW w:w="0" w:type="auto"/>
          </w:tcPr>
          <w:p w14:paraId="6DE3F108" w14:textId="5918D530" w:rsidR="00384B34" w:rsidRPr="00384B34" w:rsidRDefault="00384B34" w:rsidP="00384B34">
            <w:pPr>
              <w:pStyle w:val="Contenutotabella"/>
              <w:jc w:val="center"/>
              <w:rPr>
                <w:sz w:val="20"/>
                <w:szCs w:val="20"/>
              </w:rPr>
            </w:pPr>
            <w:r w:rsidRPr="00384B34">
              <w:rPr>
                <w:sz w:val="20"/>
                <w:szCs w:val="20"/>
              </w:rPr>
              <w:t>4.54</w:t>
            </w:r>
          </w:p>
        </w:tc>
      </w:tr>
      <w:tr w:rsidR="00384B34" w14:paraId="7CE020A9" w14:textId="77777777" w:rsidTr="00CB402C">
        <w:tc>
          <w:tcPr>
            <w:tcW w:w="0" w:type="auto"/>
          </w:tcPr>
          <w:p w14:paraId="0B1D5681" w14:textId="5AD53B67" w:rsidR="00384B34" w:rsidRPr="00384B34" w:rsidRDefault="00D56DA9" w:rsidP="00384B34">
            <w:pPr>
              <w:pStyle w:val="Contenutotabella"/>
              <w:jc w:val="center"/>
              <w:rPr>
                <w:sz w:val="20"/>
                <w:szCs w:val="20"/>
              </w:rPr>
            </w:pPr>
            <w:r>
              <w:rPr>
                <w:sz w:val="20"/>
                <w:szCs w:val="20"/>
              </w:rPr>
              <w:t>STD</w:t>
            </w:r>
          </w:p>
        </w:tc>
        <w:tc>
          <w:tcPr>
            <w:tcW w:w="0" w:type="auto"/>
          </w:tcPr>
          <w:p w14:paraId="7F8C3D7E" w14:textId="2B4715DD" w:rsidR="00384B34" w:rsidRPr="00384B34" w:rsidRDefault="00384B34" w:rsidP="00384B34">
            <w:pPr>
              <w:pStyle w:val="Contenutotabella"/>
              <w:jc w:val="center"/>
              <w:rPr>
                <w:sz w:val="20"/>
                <w:szCs w:val="20"/>
              </w:rPr>
            </w:pPr>
            <w:r>
              <w:rPr>
                <w:sz w:val="20"/>
                <w:szCs w:val="20"/>
              </w:rPr>
              <w:t>1951.6</w:t>
            </w:r>
          </w:p>
        </w:tc>
        <w:tc>
          <w:tcPr>
            <w:tcW w:w="0" w:type="auto"/>
          </w:tcPr>
          <w:p w14:paraId="4220188A" w14:textId="786275CA" w:rsidR="00384B34" w:rsidRPr="00384B34" w:rsidRDefault="00384B34" w:rsidP="00384B34">
            <w:pPr>
              <w:pStyle w:val="Contenutotabella"/>
              <w:jc w:val="center"/>
              <w:rPr>
                <w:sz w:val="20"/>
                <w:szCs w:val="20"/>
              </w:rPr>
            </w:pPr>
            <w:r w:rsidRPr="00384B34">
              <w:rPr>
                <w:sz w:val="20"/>
                <w:szCs w:val="20"/>
              </w:rPr>
              <w:t>0.0212</w:t>
            </w:r>
          </w:p>
        </w:tc>
        <w:tc>
          <w:tcPr>
            <w:tcW w:w="0" w:type="auto"/>
          </w:tcPr>
          <w:p w14:paraId="645A3315" w14:textId="744DC815" w:rsidR="00384B34" w:rsidRPr="00384B34" w:rsidRDefault="00384B34" w:rsidP="00384B34">
            <w:pPr>
              <w:pStyle w:val="Contenutotabella"/>
              <w:jc w:val="center"/>
              <w:rPr>
                <w:sz w:val="20"/>
                <w:szCs w:val="20"/>
              </w:rPr>
            </w:pPr>
            <w:r w:rsidRPr="00384B34">
              <w:rPr>
                <w:sz w:val="20"/>
                <w:szCs w:val="20"/>
              </w:rPr>
              <w:t>0.0175</w:t>
            </w:r>
          </w:p>
        </w:tc>
        <w:tc>
          <w:tcPr>
            <w:tcW w:w="0" w:type="auto"/>
          </w:tcPr>
          <w:p w14:paraId="73669B5F" w14:textId="6701B7A6" w:rsidR="00384B34" w:rsidRPr="00384B34" w:rsidRDefault="00384B34" w:rsidP="00384B34">
            <w:pPr>
              <w:pStyle w:val="Contenutotabella"/>
              <w:jc w:val="center"/>
              <w:rPr>
                <w:sz w:val="20"/>
                <w:szCs w:val="20"/>
              </w:rPr>
            </w:pPr>
            <w:r w:rsidRPr="00384B34">
              <w:rPr>
                <w:sz w:val="20"/>
                <w:szCs w:val="20"/>
              </w:rPr>
              <w:t>35.36</w:t>
            </w:r>
          </w:p>
        </w:tc>
        <w:tc>
          <w:tcPr>
            <w:tcW w:w="0" w:type="auto"/>
          </w:tcPr>
          <w:p w14:paraId="4263772F" w14:textId="47EF5C68" w:rsidR="00384B34" w:rsidRPr="00384B34" w:rsidRDefault="00384B34" w:rsidP="00384B34">
            <w:pPr>
              <w:pStyle w:val="Contenutotabella"/>
              <w:jc w:val="center"/>
              <w:rPr>
                <w:sz w:val="20"/>
                <w:szCs w:val="20"/>
              </w:rPr>
            </w:pPr>
            <w:r w:rsidRPr="00384B34">
              <w:rPr>
                <w:sz w:val="20"/>
                <w:szCs w:val="20"/>
              </w:rPr>
              <w:t>2.69</w:t>
            </w:r>
          </w:p>
        </w:tc>
      </w:tr>
    </w:tbl>
    <w:p w14:paraId="3F0814D4" w14:textId="50550F98" w:rsidR="00E51DC5" w:rsidRPr="00384B34" w:rsidRDefault="00DC5116" w:rsidP="00DC5116">
      <w:pPr>
        <w:pStyle w:val="Sectionheading"/>
        <w:rPr>
          <w:lang w:val="en-US"/>
        </w:rPr>
      </w:pPr>
      <w:r w:rsidRPr="00DC5116">
        <w:rPr>
          <w:lang w:val="en-US"/>
        </w:rPr>
        <w:t>Methodology</w:t>
      </w:r>
    </w:p>
    <w:p w14:paraId="2335C691" w14:textId="6F165985" w:rsidR="00DC5116" w:rsidRPr="00DC5116" w:rsidRDefault="00DC5116" w:rsidP="003723D5">
      <w:pPr>
        <w:pStyle w:val="Bodytextfirst"/>
      </w:pPr>
      <w:r>
        <w:t>T</w:t>
      </w:r>
      <w:r w:rsidRPr="00DC5116">
        <w:t>he data were partitioned completely randomly into two sets containing respectively 80% and 20% of the impedance measurements. This partitioning was preliminary used for a test with the aim of carrying out a first s</w:t>
      </w:r>
      <w:r>
        <w:t>election</w:t>
      </w:r>
      <w:r w:rsidRPr="00DC5116">
        <w:t xml:space="preserve"> of the machine learning techniques. </w:t>
      </w:r>
      <w:proofErr w:type="gramStart"/>
      <w:r w:rsidRPr="00DC5116">
        <w:t>In particular, through</w:t>
      </w:r>
      <w:proofErr w:type="gramEnd"/>
      <w:r w:rsidRPr="00DC5116">
        <w:t xml:space="preserve"> the </w:t>
      </w:r>
      <w:proofErr w:type="spellStart"/>
      <w:r w:rsidRPr="00DC5116">
        <w:t>Scikit</w:t>
      </w:r>
      <w:proofErr w:type="spellEnd"/>
      <w:r w:rsidRPr="00DC5116">
        <w:t xml:space="preserve">-learn tool </w:t>
      </w:r>
      <w:r w:rsidRPr="00140D8B">
        <w:t>[</w:t>
      </w:r>
      <w:r w:rsidR="007A3078" w:rsidRPr="00140D8B">
        <w:t>20</w:t>
      </w:r>
      <w:r w:rsidRPr="00140D8B">
        <w:t>],</w:t>
      </w:r>
      <w:r w:rsidRPr="00DC5116">
        <w:t xml:space="preserve"> an open-source library for machin</w:t>
      </w:r>
      <w:r>
        <w:t>e learning developed in Python</w:t>
      </w:r>
      <w:r w:rsidRPr="00DC5116">
        <w:t>, various classification and regression techniques were tested</w:t>
      </w:r>
      <w:r>
        <w:t>. Among them</w:t>
      </w:r>
      <w:r w:rsidR="00151AFF">
        <w:t>,</w:t>
      </w:r>
      <w:r w:rsidRPr="00DC5116">
        <w:t xml:space="preserve"> K-nearest Neighbors (KNN), Linear Discriminant </w:t>
      </w:r>
      <w:r w:rsidR="00666E02" w:rsidRPr="00DC5116">
        <w:t>Analysis</w:t>
      </w:r>
      <w:r w:rsidRPr="00DC5116">
        <w:t xml:space="preserve"> (LDA), Gaussian Naive Bayes (GNB), Support Vector Classification (SVC), Decision Tree (DT</w:t>
      </w:r>
      <w:r w:rsidR="00093C25">
        <w:t>)</w:t>
      </w:r>
      <w:r w:rsidRPr="00DC5116">
        <w:t>, Linear Regressor,</w:t>
      </w:r>
      <w:r w:rsidR="00D56DA9">
        <w:t xml:space="preserve"> Lasso, Ridge and Random Forest</w:t>
      </w:r>
      <w:r w:rsidR="00151AFF">
        <w:t xml:space="preserve"> </w:t>
      </w:r>
      <w:r w:rsidR="00151AFF" w:rsidRPr="00F40A08">
        <w:t>were considered.</w:t>
      </w:r>
    </w:p>
    <w:p w14:paraId="610F727A" w14:textId="23CA5563" w:rsidR="00DC5116" w:rsidRPr="00DC5116" w:rsidRDefault="00DC5116" w:rsidP="003723D5">
      <w:pPr>
        <w:pStyle w:val="Bodytextfirst"/>
      </w:pPr>
      <w:proofErr w:type="gramStart"/>
      <w:r w:rsidRPr="00DC5116">
        <w:t>In order to</w:t>
      </w:r>
      <w:proofErr w:type="gramEnd"/>
      <w:r w:rsidRPr="00DC5116">
        <w:t xml:space="preserve"> </w:t>
      </w:r>
      <w:r w:rsidRPr="00BB3C40">
        <w:rPr>
          <w:color w:val="000000" w:themeColor="text1"/>
        </w:rPr>
        <w:t xml:space="preserve">avoid </w:t>
      </w:r>
      <w:r w:rsidR="0095445A" w:rsidRPr="00BB3C40">
        <w:rPr>
          <w:color w:val="000000" w:themeColor="text1"/>
        </w:rPr>
        <w:t xml:space="preserve">an influence </w:t>
      </w:r>
      <w:r w:rsidR="00D103F5" w:rsidRPr="00BB3C40">
        <w:rPr>
          <w:color w:val="000000" w:themeColor="text1"/>
        </w:rPr>
        <w:t xml:space="preserve">on the </w:t>
      </w:r>
      <w:r w:rsidRPr="00BB3C40">
        <w:rPr>
          <w:color w:val="000000" w:themeColor="text1"/>
        </w:rPr>
        <w:t xml:space="preserve">results </w:t>
      </w:r>
      <w:r w:rsidRPr="00DC5116">
        <w:t xml:space="preserve">by the particular </w:t>
      </w:r>
      <w:r>
        <w:t xml:space="preserve">previous </w:t>
      </w:r>
      <w:r w:rsidRPr="00DC5116">
        <w:t>partitioning</w:t>
      </w:r>
      <w:r>
        <w:t>,</w:t>
      </w:r>
      <w:r w:rsidRPr="00DC5116">
        <w:t xml:space="preserve"> </w:t>
      </w:r>
      <w:r>
        <w:t xml:space="preserve">a </w:t>
      </w:r>
      <w:r w:rsidRPr="00DC5116">
        <w:t>cross-validation technique was</w:t>
      </w:r>
      <w:r>
        <w:t xml:space="preserve"> also</w:t>
      </w:r>
      <w:r w:rsidRPr="00DC5116">
        <w:t xml:space="preserve"> used. </w:t>
      </w:r>
      <w:proofErr w:type="gramStart"/>
      <w:r w:rsidRPr="00DC5116">
        <w:t>In particular, in</w:t>
      </w:r>
      <w:proofErr w:type="gramEnd"/>
      <w:r w:rsidRPr="00DC5116">
        <w:t xml:space="preserve"> this phase the original data set was partitioned into 5 subsets (folds) and 5 testing rounds were carried out, using in each round a </w:t>
      </w:r>
      <w:r w:rsidRPr="00DC5116">
        <w:t xml:space="preserve">different fold for tests and the remaining 4 </w:t>
      </w:r>
      <w:r w:rsidR="00151AFF">
        <w:t xml:space="preserve">folds </w:t>
      </w:r>
      <w:r w:rsidRPr="00DC5116">
        <w:t xml:space="preserve">for training. </w:t>
      </w:r>
      <w:r w:rsidR="00D56DA9">
        <w:t>I</w:t>
      </w:r>
      <w:r w:rsidR="00D56DA9" w:rsidRPr="00DC5116">
        <w:t>n the case of regressors</w:t>
      </w:r>
      <w:r w:rsidR="00D56DA9">
        <w:t xml:space="preserve">, </w:t>
      </w:r>
      <w:r w:rsidRPr="00DC5116">
        <w:t xml:space="preserve">the value of the absolute mean error (MAE) and the determination </w:t>
      </w:r>
      <w:r w:rsidR="00D56DA9">
        <w:t>coefficient (R</w:t>
      </w:r>
      <w:r w:rsidR="00D56DA9" w:rsidRPr="00D56DA9">
        <w:rPr>
          <w:vertAlign w:val="superscript"/>
        </w:rPr>
        <w:t>2</w:t>
      </w:r>
      <w:r w:rsidR="00D56DA9">
        <w:t>) was calculated</w:t>
      </w:r>
      <w:r w:rsidR="00D56DA9" w:rsidRPr="00D56DA9">
        <w:t xml:space="preserve"> </w:t>
      </w:r>
      <w:r w:rsidR="00D56DA9">
        <w:t>for each round. Similarly,</w:t>
      </w:r>
      <w:r w:rsidR="00D56DA9" w:rsidRPr="00DC5116">
        <w:t xml:space="preserve"> </w:t>
      </w:r>
      <w:r w:rsidRPr="00DC5116">
        <w:t>the accuracy (ACC) was measured</w:t>
      </w:r>
      <w:r w:rsidR="00D56DA9">
        <w:t xml:space="preserve"> for</w:t>
      </w:r>
      <w:r w:rsidR="00D56DA9" w:rsidRPr="00D56DA9">
        <w:t xml:space="preserve"> </w:t>
      </w:r>
      <w:r w:rsidR="00D56DA9" w:rsidRPr="00DC5116">
        <w:t>the classifiers</w:t>
      </w:r>
      <w:r w:rsidRPr="00DC5116">
        <w:t>.</w:t>
      </w:r>
    </w:p>
    <w:p w14:paraId="3413E81A" w14:textId="0DC1F7B8" w:rsidR="00E51DC5" w:rsidRDefault="00DC5116" w:rsidP="003723D5">
      <w:pPr>
        <w:pStyle w:val="Bodytextfirst"/>
      </w:pPr>
      <w:r w:rsidRPr="00DC5116">
        <w:t xml:space="preserve">The models were then compared </w:t>
      </w:r>
      <w:proofErr w:type="gramStart"/>
      <w:r w:rsidRPr="00DC5116">
        <w:t>on the basis of</w:t>
      </w:r>
      <w:proofErr w:type="gramEnd"/>
      <w:r w:rsidRPr="00DC5116">
        <w:t xml:space="preserve"> the average values of the aforementioned metrics obtained in the 5 validation rou</w:t>
      </w:r>
      <w:r w:rsidR="00D56DA9">
        <w:t>nds. The standard deviation (STD</w:t>
      </w:r>
      <w:r w:rsidRPr="00DC5116">
        <w:t>) was also determined from the same metrics, which provides information on the robustness of the model (</w:t>
      </w:r>
      <w:r w:rsidR="00151AFF">
        <w:t xml:space="preserve">in fact, </w:t>
      </w:r>
      <w:r w:rsidRPr="00DC5116">
        <w:t xml:space="preserve">lower values of </w:t>
      </w:r>
      <w:r w:rsidR="00D56DA9">
        <w:t>STD</w:t>
      </w:r>
      <w:r w:rsidRPr="00DC5116">
        <w:t xml:space="preserve"> generally correspond to more robust models).</w:t>
      </w:r>
    </w:p>
    <w:p w14:paraId="19BFBA00" w14:textId="2181BC04" w:rsidR="00CB2F75" w:rsidRPr="00CB2F75" w:rsidRDefault="00CB2F75" w:rsidP="00CB2F75">
      <w:pPr>
        <w:pStyle w:val="Sectionheading"/>
        <w:rPr>
          <w:lang w:val="en-US"/>
        </w:rPr>
      </w:pPr>
      <w:r w:rsidRPr="00CB2F75">
        <w:rPr>
          <w:lang w:val="en-US"/>
        </w:rPr>
        <w:t>results</w:t>
      </w:r>
    </w:p>
    <w:p w14:paraId="428BFA15" w14:textId="19E0B6B4" w:rsidR="006727FF" w:rsidRPr="00EC073B" w:rsidRDefault="00CB2F75" w:rsidP="003723D5">
      <w:pPr>
        <w:pStyle w:val="Bodytextfirst"/>
      </w:pPr>
      <w:r>
        <w:t xml:space="preserve">Table 3 </w:t>
      </w:r>
      <w:r w:rsidRPr="00CB2F75">
        <w:t xml:space="preserve">shows the average values and the standard deviation of the accuracy obtained for some of the classifiers used for the prediction of the SoC, i.e. K-nearest Neighbors (KNN), Linear Discriminant Analyzes (LDA), Gaussian Naive Bayes (GNB), Support Vector Classification (SVC), Decision Tree (DT). </w:t>
      </w:r>
    </w:p>
    <w:p w14:paraId="0F05BF1D" w14:textId="14F69C88" w:rsidR="006727FF" w:rsidRPr="00DC5116" w:rsidRDefault="00A67470" w:rsidP="006727FF">
      <w:pPr>
        <w:pStyle w:val="Didascalia1"/>
        <w:rPr>
          <w:i w:val="0"/>
          <w:iCs w:val="0"/>
          <w:lang w:val="en-US"/>
        </w:rPr>
      </w:pPr>
      <w:r>
        <w:rPr>
          <w:lang w:val="en-US"/>
        </w:rPr>
        <w:t>Table 3</w:t>
      </w:r>
      <w:r w:rsidR="006727FF" w:rsidRPr="00EC073B">
        <w:rPr>
          <w:lang w:val="en-US"/>
        </w:rPr>
        <w:t xml:space="preserve">. </w:t>
      </w:r>
      <w:r w:rsidR="006727FF" w:rsidRPr="006727FF">
        <w:rPr>
          <w:lang w:val="en-US"/>
        </w:rPr>
        <w:t>Accuracy of some classifiers used for modeling the SoC starting from impedance values in both rectangular and polar form</w:t>
      </w:r>
      <w:r w:rsidR="006727FF" w:rsidRPr="00DC5116">
        <w:rPr>
          <w:lang w:val="en-US"/>
        </w:rPr>
        <w:t>.</w:t>
      </w:r>
    </w:p>
    <w:tbl>
      <w:tblPr>
        <w:tblStyle w:val="Grigliatabellachiara"/>
        <w:tblW w:w="0" w:type="auto"/>
        <w:jc w:val="center"/>
        <w:tblLook w:val="0000" w:firstRow="0" w:lastRow="0" w:firstColumn="0" w:lastColumn="0" w:noHBand="0" w:noVBand="0"/>
      </w:tblPr>
      <w:tblGrid>
        <w:gridCol w:w="1027"/>
        <w:gridCol w:w="1696"/>
        <w:gridCol w:w="705"/>
        <w:gridCol w:w="666"/>
      </w:tblGrid>
      <w:tr w:rsidR="006727FF" w:rsidRPr="006727FF" w14:paraId="7F0DE616" w14:textId="77777777" w:rsidTr="00CB402C">
        <w:trPr>
          <w:jc w:val="center"/>
        </w:trPr>
        <w:tc>
          <w:tcPr>
            <w:tcW w:w="0" w:type="auto"/>
          </w:tcPr>
          <w:p w14:paraId="6A8179F3" w14:textId="4E4E1A0E" w:rsidR="006727FF" w:rsidRPr="006727FF" w:rsidRDefault="006727FF" w:rsidP="006727FF">
            <w:pPr>
              <w:pStyle w:val="Intestazionetabella"/>
              <w:rPr>
                <w:b w:val="0"/>
                <w:bCs w:val="0"/>
                <w:sz w:val="20"/>
                <w:szCs w:val="20"/>
                <w:lang w:val="en-US"/>
              </w:rPr>
            </w:pPr>
            <w:r>
              <w:rPr>
                <w:sz w:val="20"/>
                <w:szCs w:val="20"/>
                <w:lang w:val="en-US"/>
              </w:rPr>
              <w:t>Classifier</w:t>
            </w:r>
          </w:p>
        </w:tc>
        <w:tc>
          <w:tcPr>
            <w:tcW w:w="0" w:type="auto"/>
          </w:tcPr>
          <w:p w14:paraId="043044E2" w14:textId="338D37D3" w:rsidR="006727FF" w:rsidRPr="006727FF" w:rsidRDefault="006727FF" w:rsidP="006727FF">
            <w:pPr>
              <w:pStyle w:val="Intestazionetabella"/>
              <w:rPr>
                <w:b w:val="0"/>
                <w:bCs w:val="0"/>
                <w:sz w:val="20"/>
                <w:szCs w:val="20"/>
                <w:lang w:val="en-US"/>
              </w:rPr>
            </w:pPr>
            <w:r w:rsidRPr="006727FF">
              <w:rPr>
                <w:sz w:val="20"/>
                <w:szCs w:val="20"/>
                <w:lang w:val="en-US"/>
              </w:rPr>
              <w:t>Representa</w:t>
            </w:r>
            <w:r>
              <w:rPr>
                <w:sz w:val="20"/>
                <w:szCs w:val="20"/>
                <w:lang w:val="en-US"/>
              </w:rPr>
              <w:t>tion</w:t>
            </w:r>
            <w:r w:rsidRPr="006727FF">
              <w:rPr>
                <w:sz w:val="20"/>
                <w:szCs w:val="20"/>
                <w:lang w:val="en-US"/>
              </w:rPr>
              <w:t xml:space="preserve"> Z</w:t>
            </w:r>
          </w:p>
        </w:tc>
        <w:tc>
          <w:tcPr>
            <w:tcW w:w="0" w:type="auto"/>
          </w:tcPr>
          <w:p w14:paraId="4ACF5144" w14:textId="343EBC1A" w:rsidR="006727FF" w:rsidRPr="006727FF" w:rsidRDefault="006727FF" w:rsidP="006727FF">
            <w:pPr>
              <w:pStyle w:val="Intestazionetabella"/>
              <w:rPr>
                <w:b w:val="0"/>
                <w:bCs w:val="0"/>
                <w:sz w:val="20"/>
                <w:szCs w:val="20"/>
                <w:lang w:val="en-US"/>
              </w:rPr>
            </w:pPr>
            <w:r w:rsidRPr="006727FF">
              <w:rPr>
                <w:sz w:val="20"/>
                <w:szCs w:val="20"/>
                <w:lang w:val="en-US"/>
              </w:rPr>
              <w:t>Me</w:t>
            </w:r>
            <w:r>
              <w:rPr>
                <w:sz w:val="20"/>
                <w:szCs w:val="20"/>
                <w:lang w:val="en-US"/>
              </w:rPr>
              <w:t>an</w:t>
            </w:r>
          </w:p>
        </w:tc>
        <w:tc>
          <w:tcPr>
            <w:tcW w:w="0" w:type="auto"/>
          </w:tcPr>
          <w:p w14:paraId="0E6D7C44" w14:textId="39D90D1D" w:rsidR="006727FF" w:rsidRPr="006727FF" w:rsidRDefault="006727FF" w:rsidP="006727FF">
            <w:pPr>
              <w:pStyle w:val="Intestazionetabella"/>
              <w:rPr>
                <w:b w:val="0"/>
                <w:bCs w:val="0"/>
                <w:sz w:val="20"/>
                <w:szCs w:val="20"/>
                <w:lang w:val="en-US"/>
              </w:rPr>
            </w:pPr>
            <w:r>
              <w:rPr>
                <w:sz w:val="20"/>
                <w:szCs w:val="20"/>
                <w:lang w:val="en-US"/>
              </w:rPr>
              <w:t>STD</w:t>
            </w:r>
          </w:p>
        </w:tc>
      </w:tr>
      <w:tr w:rsidR="006727FF" w:rsidRPr="006727FF" w14:paraId="5EDEF354" w14:textId="77777777" w:rsidTr="00CB402C">
        <w:trPr>
          <w:jc w:val="center"/>
        </w:trPr>
        <w:tc>
          <w:tcPr>
            <w:tcW w:w="0" w:type="auto"/>
          </w:tcPr>
          <w:p w14:paraId="5340D46D" w14:textId="63179F73" w:rsidR="006727FF" w:rsidRPr="006727FF" w:rsidRDefault="006727FF" w:rsidP="006727FF">
            <w:pPr>
              <w:pStyle w:val="Contenutotabella"/>
              <w:jc w:val="center"/>
              <w:rPr>
                <w:sz w:val="20"/>
                <w:szCs w:val="20"/>
                <w:lang w:val="en-US"/>
              </w:rPr>
            </w:pPr>
            <w:r w:rsidRPr="006727FF">
              <w:rPr>
                <w:sz w:val="20"/>
                <w:szCs w:val="20"/>
                <w:lang w:val="en-US"/>
              </w:rPr>
              <w:t>LDA</w:t>
            </w:r>
          </w:p>
        </w:tc>
        <w:tc>
          <w:tcPr>
            <w:tcW w:w="0" w:type="auto"/>
          </w:tcPr>
          <w:p w14:paraId="2EB742E5" w14:textId="55EB125A" w:rsidR="006727FF" w:rsidRPr="006727FF" w:rsidRDefault="006727FF" w:rsidP="006727FF">
            <w:pPr>
              <w:pStyle w:val="Contenutotabella"/>
              <w:jc w:val="center"/>
              <w:rPr>
                <w:sz w:val="20"/>
                <w:szCs w:val="20"/>
                <w:lang w:val="en-US"/>
              </w:rPr>
            </w:pPr>
            <w:r w:rsidRPr="006727FF">
              <w:rPr>
                <w:sz w:val="20"/>
                <w:szCs w:val="20"/>
                <w:lang w:val="en-US"/>
              </w:rPr>
              <w:t>R</w:t>
            </w:r>
            <w:r>
              <w:rPr>
                <w:sz w:val="20"/>
                <w:szCs w:val="20"/>
                <w:lang w:val="en-US"/>
              </w:rPr>
              <w:t>ectangular</w:t>
            </w:r>
          </w:p>
        </w:tc>
        <w:tc>
          <w:tcPr>
            <w:tcW w:w="0" w:type="auto"/>
          </w:tcPr>
          <w:p w14:paraId="44925174" w14:textId="2D53C252" w:rsidR="006727FF" w:rsidRPr="006727FF" w:rsidRDefault="006727FF" w:rsidP="006727FF">
            <w:pPr>
              <w:pStyle w:val="Contenutotabella"/>
              <w:jc w:val="center"/>
              <w:rPr>
                <w:sz w:val="20"/>
                <w:szCs w:val="20"/>
                <w:lang w:val="en-US"/>
              </w:rPr>
            </w:pPr>
            <w:r w:rsidRPr="006727FF">
              <w:rPr>
                <w:sz w:val="20"/>
                <w:szCs w:val="20"/>
                <w:lang w:val="en-US"/>
              </w:rPr>
              <w:t>0.234</w:t>
            </w:r>
          </w:p>
        </w:tc>
        <w:tc>
          <w:tcPr>
            <w:tcW w:w="0" w:type="auto"/>
          </w:tcPr>
          <w:p w14:paraId="5BC35A63" w14:textId="55F80361" w:rsidR="006727FF" w:rsidRPr="006727FF" w:rsidRDefault="006727FF" w:rsidP="006727FF">
            <w:pPr>
              <w:pStyle w:val="Contenutotabella"/>
              <w:jc w:val="center"/>
              <w:rPr>
                <w:sz w:val="20"/>
                <w:szCs w:val="20"/>
                <w:lang w:val="en-US"/>
              </w:rPr>
            </w:pPr>
            <w:r w:rsidRPr="006727FF">
              <w:rPr>
                <w:sz w:val="20"/>
                <w:szCs w:val="20"/>
                <w:lang w:val="en-US"/>
              </w:rPr>
              <w:t>0.027</w:t>
            </w:r>
          </w:p>
        </w:tc>
      </w:tr>
      <w:tr w:rsidR="006727FF" w:rsidRPr="006727FF" w14:paraId="455C1609" w14:textId="77777777" w:rsidTr="00CB402C">
        <w:trPr>
          <w:jc w:val="center"/>
        </w:trPr>
        <w:tc>
          <w:tcPr>
            <w:tcW w:w="0" w:type="auto"/>
          </w:tcPr>
          <w:p w14:paraId="2A29D16E" w14:textId="5DEDB426" w:rsidR="006727FF" w:rsidRPr="006727FF" w:rsidRDefault="006727FF" w:rsidP="006727FF">
            <w:pPr>
              <w:pStyle w:val="Contenutotabella"/>
              <w:jc w:val="center"/>
              <w:rPr>
                <w:sz w:val="20"/>
                <w:szCs w:val="20"/>
                <w:lang w:val="en-US"/>
              </w:rPr>
            </w:pPr>
            <w:r w:rsidRPr="006727FF">
              <w:rPr>
                <w:sz w:val="20"/>
                <w:szCs w:val="20"/>
                <w:lang w:val="en-US"/>
              </w:rPr>
              <w:t>LDA</w:t>
            </w:r>
          </w:p>
        </w:tc>
        <w:tc>
          <w:tcPr>
            <w:tcW w:w="0" w:type="auto"/>
          </w:tcPr>
          <w:p w14:paraId="215442BA" w14:textId="72571834" w:rsidR="006727FF" w:rsidRPr="006727FF" w:rsidRDefault="006727FF" w:rsidP="006727FF">
            <w:pPr>
              <w:pStyle w:val="Contenutotabella"/>
              <w:jc w:val="center"/>
              <w:rPr>
                <w:sz w:val="20"/>
                <w:szCs w:val="20"/>
                <w:lang w:val="en-US"/>
              </w:rPr>
            </w:pPr>
            <w:r>
              <w:rPr>
                <w:sz w:val="20"/>
                <w:szCs w:val="20"/>
                <w:lang w:val="en-US"/>
              </w:rPr>
              <w:t>Polar</w:t>
            </w:r>
          </w:p>
        </w:tc>
        <w:tc>
          <w:tcPr>
            <w:tcW w:w="0" w:type="auto"/>
          </w:tcPr>
          <w:p w14:paraId="3890A446" w14:textId="53F185FC" w:rsidR="006727FF" w:rsidRPr="006727FF" w:rsidRDefault="006727FF" w:rsidP="006727FF">
            <w:pPr>
              <w:pStyle w:val="Contenutotabella"/>
              <w:jc w:val="center"/>
              <w:rPr>
                <w:sz w:val="20"/>
                <w:szCs w:val="20"/>
                <w:lang w:val="en-US"/>
              </w:rPr>
            </w:pPr>
            <w:r w:rsidRPr="006727FF">
              <w:rPr>
                <w:sz w:val="20"/>
                <w:szCs w:val="20"/>
                <w:lang w:val="en-US"/>
              </w:rPr>
              <w:t>0.333</w:t>
            </w:r>
          </w:p>
        </w:tc>
        <w:tc>
          <w:tcPr>
            <w:tcW w:w="0" w:type="auto"/>
          </w:tcPr>
          <w:p w14:paraId="1FFAEEF1" w14:textId="768A5080" w:rsidR="006727FF" w:rsidRPr="006727FF" w:rsidRDefault="006727FF" w:rsidP="006727FF">
            <w:pPr>
              <w:pStyle w:val="Contenutotabella"/>
              <w:jc w:val="center"/>
              <w:rPr>
                <w:sz w:val="20"/>
                <w:szCs w:val="20"/>
                <w:lang w:val="en-US"/>
              </w:rPr>
            </w:pPr>
            <w:r w:rsidRPr="006727FF">
              <w:rPr>
                <w:sz w:val="20"/>
                <w:szCs w:val="20"/>
                <w:lang w:val="en-US"/>
              </w:rPr>
              <w:t>0.045</w:t>
            </w:r>
          </w:p>
        </w:tc>
      </w:tr>
      <w:tr w:rsidR="006727FF" w:rsidRPr="006727FF" w14:paraId="496C9AA8" w14:textId="77777777" w:rsidTr="00CB402C">
        <w:trPr>
          <w:jc w:val="center"/>
        </w:trPr>
        <w:tc>
          <w:tcPr>
            <w:tcW w:w="0" w:type="auto"/>
          </w:tcPr>
          <w:p w14:paraId="78C61DD9" w14:textId="1975723F" w:rsidR="006727FF" w:rsidRPr="006727FF" w:rsidRDefault="006727FF" w:rsidP="006727FF">
            <w:pPr>
              <w:pStyle w:val="Contenutotabella"/>
              <w:jc w:val="center"/>
              <w:rPr>
                <w:sz w:val="20"/>
                <w:szCs w:val="20"/>
                <w:lang w:val="en-US"/>
              </w:rPr>
            </w:pPr>
            <w:r w:rsidRPr="006727FF">
              <w:rPr>
                <w:sz w:val="20"/>
                <w:szCs w:val="20"/>
                <w:lang w:val="en-US"/>
              </w:rPr>
              <w:t>GNB</w:t>
            </w:r>
          </w:p>
        </w:tc>
        <w:tc>
          <w:tcPr>
            <w:tcW w:w="0" w:type="auto"/>
          </w:tcPr>
          <w:p w14:paraId="63741214" w14:textId="32AB41EF" w:rsidR="006727FF" w:rsidRPr="006727FF" w:rsidRDefault="006727FF" w:rsidP="006727FF">
            <w:pPr>
              <w:pStyle w:val="Contenutotabella"/>
              <w:jc w:val="center"/>
              <w:rPr>
                <w:sz w:val="20"/>
                <w:szCs w:val="20"/>
                <w:lang w:val="en-US"/>
              </w:rPr>
            </w:pPr>
            <w:r w:rsidRPr="006727FF">
              <w:rPr>
                <w:sz w:val="20"/>
                <w:szCs w:val="20"/>
                <w:lang w:val="en-US"/>
              </w:rPr>
              <w:t>R</w:t>
            </w:r>
            <w:r>
              <w:rPr>
                <w:sz w:val="20"/>
                <w:szCs w:val="20"/>
                <w:lang w:val="en-US"/>
              </w:rPr>
              <w:t>ectangular</w:t>
            </w:r>
          </w:p>
        </w:tc>
        <w:tc>
          <w:tcPr>
            <w:tcW w:w="0" w:type="auto"/>
          </w:tcPr>
          <w:p w14:paraId="76E67A08" w14:textId="33AB20F7" w:rsidR="006727FF" w:rsidRPr="006727FF" w:rsidRDefault="006727FF" w:rsidP="006727FF">
            <w:pPr>
              <w:pStyle w:val="Contenutotabella"/>
              <w:jc w:val="center"/>
              <w:rPr>
                <w:sz w:val="20"/>
                <w:szCs w:val="20"/>
                <w:lang w:val="en-US"/>
              </w:rPr>
            </w:pPr>
            <w:r w:rsidRPr="006727FF">
              <w:rPr>
                <w:sz w:val="20"/>
                <w:szCs w:val="20"/>
                <w:lang w:val="en-US"/>
              </w:rPr>
              <w:t>0.196</w:t>
            </w:r>
          </w:p>
        </w:tc>
        <w:tc>
          <w:tcPr>
            <w:tcW w:w="0" w:type="auto"/>
          </w:tcPr>
          <w:p w14:paraId="02E46CE9" w14:textId="2BE1B203" w:rsidR="006727FF" w:rsidRPr="006727FF" w:rsidRDefault="006727FF" w:rsidP="006727FF">
            <w:pPr>
              <w:pStyle w:val="Contenutotabella"/>
              <w:jc w:val="center"/>
              <w:rPr>
                <w:sz w:val="20"/>
                <w:szCs w:val="20"/>
                <w:lang w:val="en-US"/>
              </w:rPr>
            </w:pPr>
            <w:r w:rsidRPr="006727FF">
              <w:rPr>
                <w:sz w:val="20"/>
                <w:szCs w:val="20"/>
                <w:lang w:val="en-US"/>
              </w:rPr>
              <w:t>0.020</w:t>
            </w:r>
          </w:p>
        </w:tc>
      </w:tr>
      <w:tr w:rsidR="006727FF" w:rsidRPr="006727FF" w14:paraId="3F06F883" w14:textId="77777777" w:rsidTr="00CB402C">
        <w:trPr>
          <w:jc w:val="center"/>
        </w:trPr>
        <w:tc>
          <w:tcPr>
            <w:tcW w:w="0" w:type="auto"/>
          </w:tcPr>
          <w:p w14:paraId="45EF2E7B" w14:textId="0C76F44F" w:rsidR="006727FF" w:rsidRPr="006727FF" w:rsidRDefault="006727FF" w:rsidP="006727FF">
            <w:pPr>
              <w:pStyle w:val="Contenutotabella"/>
              <w:jc w:val="center"/>
              <w:rPr>
                <w:sz w:val="20"/>
                <w:szCs w:val="20"/>
                <w:lang w:val="en-US"/>
              </w:rPr>
            </w:pPr>
            <w:r w:rsidRPr="006727FF">
              <w:rPr>
                <w:sz w:val="20"/>
                <w:szCs w:val="20"/>
                <w:lang w:val="en-US"/>
              </w:rPr>
              <w:t>GNB</w:t>
            </w:r>
          </w:p>
        </w:tc>
        <w:tc>
          <w:tcPr>
            <w:tcW w:w="0" w:type="auto"/>
          </w:tcPr>
          <w:p w14:paraId="03D70BF0" w14:textId="67C3019F" w:rsidR="006727FF" w:rsidRPr="006727FF" w:rsidRDefault="006727FF" w:rsidP="006727FF">
            <w:pPr>
              <w:pStyle w:val="Contenutotabella"/>
              <w:jc w:val="center"/>
              <w:rPr>
                <w:sz w:val="20"/>
                <w:szCs w:val="20"/>
                <w:lang w:val="en-US"/>
              </w:rPr>
            </w:pPr>
            <w:r>
              <w:rPr>
                <w:sz w:val="20"/>
                <w:szCs w:val="20"/>
                <w:lang w:val="en-US"/>
              </w:rPr>
              <w:t>Polar</w:t>
            </w:r>
          </w:p>
        </w:tc>
        <w:tc>
          <w:tcPr>
            <w:tcW w:w="0" w:type="auto"/>
          </w:tcPr>
          <w:p w14:paraId="6BF1B533" w14:textId="417BA991" w:rsidR="006727FF" w:rsidRPr="006727FF" w:rsidRDefault="006727FF" w:rsidP="006727FF">
            <w:pPr>
              <w:pStyle w:val="Contenutotabella"/>
              <w:jc w:val="center"/>
              <w:rPr>
                <w:sz w:val="20"/>
                <w:szCs w:val="20"/>
                <w:lang w:val="en-US"/>
              </w:rPr>
            </w:pPr>
            <w:r w:rsidRPr="006727FF">
              <w:rPr>
                <w:sz w:val="20"/>
                <w:szCs w:val="20"/>
                <w:lang w:val="en-US"/>
              </w:rPr>
              <w:t>0.370</w:t>
            </w:r>
          </w:p>
        </w:tc>
        <w:tc>
          <w:tcPr>
            <w:tcW w:w="0" w:type="auto"/>
          </w:tcPr>
          <w:p w14:paraId="32C15C84" w14:textId="40250727" w:rsidR="006727FF" w:rsidRPr="006727FF" w:rsidRDefault="006727FF" w:rsidP="006727FF">
            <w:pPr>
              <w:pStyle w:val="Contenutotabella"/>
              <w:jc w:val="center"/>
              <w:rPr>
                <w:sz w:val="20"/>
                <w:szCs w:val="20"/>
                <w:lang w:val="en-US"/>
              </w:rPr>
            </w:pPr>
            <w:r w:rsidRPr="006727FF">
              <w:rPr>
                <w:sz w:val="20"/>
                <w:szCs w:val="20"/>
                <w:lang w:val="en-US"/>
              </w:rPr>
              <w:t>0.053</w:t>
            </w:r>
          </w:p>
        </w:tc>
      </w:tr>
      <w:tr w:rsidR="006727FF" w:rsidRPr="006727FF" w14:paraId="4F1486C8" w14:textId="77777777" w:rsidTr="00CB402C">
        <w:trPr>
          <w:jc w:val="center"/>
        </w:trPr>
        <w:tc>
          <w:tcPr>
            <w:tcW w:w="0" w:type="auto"/>
          </w:tcPr>
          <w:p w14:paraId="08736E00" w14:textId="67903716" w:rsidR="006727FF" w:rsidRPr="006727FF" w:rsidRDefault="006727FF" w:rsidP="006727FF">
            <w:pPr>
              <w:pStyle w:val="Contenutotabella"/>
              <w:jc w:val="center"/>
              <w:rPr>
                <w:sz w:val="20"/>
                <w:szCs w:val="20"/>
                <w:lang w:val="en-US"/>
              </w:rPr>
            </w:pPr>
            <w:r w:rsidRPr="006727FF">
              <w:rPr>
                <w:sz w:val="20"/>
                <w:szCs w:val="20"/>
                <w:lang w:val="en-US"/>
              </w:rPr>
              <w:t>SVC</w:t>
            </w:r>
          </w:p>
        </w:tc>
        <w:tc>
          <w:tcPr>
            <w:tcW w:w="0" w:type="auto"/>
          </w:tcPr>
          <w:p w14:paraId="4F4FB9A9" w14:textId="2FB0E809" w:rsidR="006727FF" w:rsidRPr="006727FF" w:rsidRDefault="006727FF" w:rsidP="006727FF">
            <w:pPr>
              <w:pStyle w:val="Contenutotabella"/>
              <w:jc w:val="center"/>
              <w:rPr>
                <w:sz w:val="20"/>
                <w:szCs w:val="20"/>
                <w:lang w:val="en-US"/>
              </w:rPr>
            </w:pPr>
            <w:r w:rsidRPr="006727FF">
              <w:rPr>
                <w:sz w:val="20"/>
                <w:szCs w:val="20"/>
                <w:lang w:val="en-US"/>
              </w:rPr>
              <w:t>R</w:t>
            </w:r>
            <w:r>
              <w:rPr>
                <w:sz w:val="20"/>
                <w:szCs w:val="20"/>
                <w:lang w:val="en-US"/>
              </w:rPr>
              <w:t>ectangular</w:t>
            </w:r>
          </w:p>
        </w:tc>
        <w:tc>
          <w:tcPr>
            <w:tcW w:w="0" w:type="auto"/>
          </w:tcPr>
          <w:p w14:paraId="4092630F" w14:textId="29E24015" w:rsidR="006727FF" w:rsidRPr="006727FF" w:rsidRDefault="006727FF" w:rsidP="006727FF">
            <w:pPr>
              <w:pStyle w:val="Contenutotabella"/>
              <w:jc w:val="center"/>
              <w:rPr>
                <w:sz w:val="20"/>
                <w:szCs w:val="20"/>
                <w:lang w:val="en-US"/>
              </w:rPr>
            </w:pPr>
            <w:r w:rsidRPr="006727FF">
              <w:rPr>
                <w:sz w:val="20"/>
                <w:szCs w:val="20"/>
                <w:lang w:val="en-US"/>
              </w:rPr>
              <w:t>0.192</w:t>
            </w:r>
          </w:p>
        </w:tc>
        <w:tc>
          <w:tcPr>
            <w:tcW w:w="0" w:type="auto"/>
          </w:tcPr>
          <w:p w14:paraId="4AEF080C" w14:textId="67C13C9E" w:rsidR="006727FF" w:rsidRPr="006727FF" w:rsidRDefault="006727FF" w:rsidP="006727FF">
            <w:pPr>
              <w:pStyle w:val="Contenutotabella"/>
              <w:jc w:val="center"/>
              <w:rPr>
                <w:sz w:val="20"/>
                <w:szCs w:val="20"/>
                <w:lang w:val="en-US"/>
              </w:rPr>
            </w:pPr>
            <w:r w:rsidRPr="006727FF">
              <w:rPr>
                <w:sz w:val="20"/>
                <w:szCs w:val="20"/>
                <w:lang w:val="en-US"/>
              </w:rPr>
              <w:t>0.014</w:t>
            </w:r>
          </w:p>
        </w:tc>
      </w:tr>
      <w:tr w:rsidR="006727FF" w:rsidRPr="006727FF" w14:paraId="01E3E9B5" w14:textId="77777777" w:rsidTr="00CB402C">
        <w:trPr>
          <w:jc w:val="center"/>
        </w:trPr>
        <w:tc>
          <w:tcPr>
            <w:tcW w:w="0" w:type="auto"/>
          </w:tcPr>
          <w:p w14:paraId="17DD08E2" w14:textId="7B3F752D" w:rsidR="006727FF" w:rsidRPr="006727FF" w:rsidRDefault="006727FF" w:rsidP="006727FF">
            <w:pPr>
              <w:pStyle w:val="Contenutotabella"/>
              <w:jc w:val="center"/>
              <w:rPr>
                <w:sz w:val="20"/>
                <w:szCs w:val="20"/>
                <w:lang w:val="en-US"/>
              </w:rPr>
            </w:pPr>
            <w:r w:rsidRPr="006727FF">
              <w:rPr>
                <w:sz w:val="20"/>
                <w:szCs w:val="20"/>
                <w:lang w:val="en-US"/>
              </w:rPr>
              <w:t>SVC</w:t>
            </w:r>
          </w:p>
        </w:tc>
        <w:tc>
          <w:tcPr>
            <w:tcW w:w="0" w:type="auto"/>
          </w:tcPr>
          <w:p w14:paraId="15AA84BF" w14:textId="2F363BA4" w:rsidR="006727FF" w:rsidRPr="006727FF" w:rsidRDefault="006727FF" w:rsidP="006727FF">
            <w:pPr>
              <w:pStyle w:val="Contenutotabella"/>
              <w:jc w:val="center"/>
              <w:rPr>
                <w:sz w:val="20"/>
                <w:szCs w:val="20"/>
                <w:lang w:val="en-US"/>
              </w:rPr>
            </w:pPr>
            <w:r>
              <w:rPr>
                <w:sz w:val="20"/>
                <w:szCs w:val="20"/>
                <w:lang w:val="en-US"/>
              </w:rPr>
              <w:t>Polar</w:t>
            </w:r>
          </w:p>
        </w:tc>
        <w:tc>
          <w:tcPr>
            <w:tcW w:w="0" w:type="auto"/>
          </w:tcPr>
          <w:p w14:paraId="49B3412B" w14:textId="491D5150" w:rsidR="006727FF" w:rsidRPr="006727FF" w:rsidRDefault="006727FF" w:rsidP="006727FF">
            <w:pPr>
              <w:pStyle w:val="Contenutotabella"/>
              <w:jc w:val="center"/>
              <w:rPr>
                <w:sz w:val="20"/>
                <w:szCs w:val="20"/>
                <w:lang w:val="en-US"/>
              </w:rPr>
            </w:pPr>
            <w:r w:rsidRPr="006727FF">
              <w:rPr>
                <w:sz w:val="20"/>
                <w:szCs w:val="20"/>
                <w:lang w:val="en-US"/>
              </w:rPr>
              <w:t>0.380</w:t>
            </w:r>
          </w:p>
        </w:tc>
        <w:tc>
          <w:tcPr>
            <w:tcW w:w="0" w:type="auto"/>
          </w:tcPr>
          <w:p w14:paraId="7CD7E7C8" w14:textId="04C54F85" w:rsidR="006727FF" w:rsidRPr="006727FF" w:rsidRDefault="006727FF" w:rsidP="006727FF">
            <w:pPr>
              <w:pStyle w:val="Contenutotabella"/>
              <w:jc w:val="center"/>
              <w:rPr>
                <w:sz w:val="20"/>
                <w:szCs w:val="20"/>
                <w:lang w:val="en-US"/>
              </w:rPr>
            </w:pPr>
            <w:r w:rsidRPr="006727FF">
              <w:rPr>
                <w:sz w:val="20"/>
                <w:szCs w:val="20"/>
                <w:lang w:val="en-US"/>
              </w:rPr>
              <w:t>0.068</w:t>
            </w:r>
          </w:p>
        </w:tc>
      </w:tr>
      <w:tr w:rsidR="006727FF" w:rsidRPr="006727FF" w14:paraId="3485E8F9" w14:textId="77777777" w:rsidTr="00CB402C">
        <w:trPr>
          <w:jc w:val="center"/>
        </w:trPr>
        <w:tc>
          <w:tcPr>
            <w:tcW w:w="0" w:type="auto"/>
          </w:tcPr>
          <w:p w14:paraId="5EFBC9FA" w14:textId="2088528C" w:rsidR="006727FF" w:rsidRPr="006727FF" w:rsidRDefault="006727FF" w:rsidP="006727FF">
            <w:pPr>
              <w:pStyle w:val="Contenutotabella"/>
              <w:jc w:val="center"/>
              <w:rPr>
                <w:sz w:val="20"/>
                <w:szCs w:val="20"/>
                <w:lang w:val="en-US"/>
              </w:rPr>
            </w:pPr>
            <w:r w:rsidRPr="006727FF">
              <w:rPr>
                <w:sz w:val="20"/>
                <w:szCs w:val="20"/>
                <w:lang w:val="en-US"/>
              </w:rPr>
              <w:t>KNN</w:t>
            </w:r>
          </w:p>
        </w:tc>
        <w:tc>
          <w:tcPr>
            <w:tcW w:w="0" w:type="auto"/>
          </w:tcPr>
          <w:p w14:paraId="7C8070B4" w14:textId="77BDBBAC" w:rsidR="006727FF" w:rsidRPr="006727FF" w:rsidRDefault="006727FF" w:rsidP="006727FF">
            <w:pPr>
              <w:pStyle w:val="Contenutotabella"/>
              <w:jc w:val="center"/>
              <w:rPr>
                <w:sz w:val="20"/>
                <w:szCs w:val="20"/>
                <w:lang w:val="en-US"/>
              </w:rPr>
            </w:pPr>
            <w:r w:rsidRPr="006727FF">
              <w:rPr>
                <w:sz w:val="20"/>
                <w:szCs w:val="20"/>
                <w:lang w:val="en-US"/>
              </w:rPr>
              <w:t>R</w:t>
            </w:r>
            <w:r>
              <w:rPr>
                <w:sz w:val="20"/>
                <w:szCs w:val="20"/>
                <w:lang w:val="en-US"/>
              </w:rPr>
              <w:t>ectangular</w:t>
            </w:r>
          </w:p>
        </w:tc>
        <w:tc>
          <w:tcPr>
            <w:tcW w:w="0" w:type="auto"/>
          </w:tcPr>
          <w:p w14:paraId="6670B761" w14:textId="55AD968A" w:rsidR="006727FF" w:rsidRPr="006727FF" w:rsidRDefault="006727FF" w:rsidP="006727FF">
            <w:pPr>
              <w:pStyle w:val="Contenutotabella"/>
              <w:jc w:val="center"/>
              <w:rPr>
                <w:sz w:val="20"/>
                <w:szCs w:val="20"/>
                <w:lang w:val="en-US"/>
              </w:rPr>
            </w:pPr>
            <w:r w:rsidRPr="006727FF">
              <w:rPr>
                <w:sz w:val="20"/>
                <w:szCs w:val="20"/>
                <w:lang w:val="en-US"/>
              </w:rPr>
              <w:t>0.222</w:t>
            </w:r>
          </w:p>
        </w:tc>
        <w:tc>
          <w:tcPr>
            <w:tcW w:w="0" w:type="auto"/>
          </w:tcPr>
          <w:p w14:paraId="0D37E62C" w14:textId="7F75157A" w:rsidR="006727FF" w:rsidRPr="006727FF" w:rsidRDefault="006727FF" w:rsidP="006727FF">
            <w:pPr>
              <w:pStyle w:val="Contenutotabella"/>
              <w:jc w:val="center"/>
              <w:rPr>
                <w:sz w:val="20"/>
                <w:szCs w:val="20"/>
                <w:lang w:val="en-US"/>
              </w:rPr>
            </w:pPr>
            <w:r w:rsidRPr="006727FF">
              <w:rPr>
                <w:sz w:val="20"/>
                <w:szCs w:val="20"/>
                <w:lang w:val="en-US"/>
              </w:rPr>
              <w:t>0.072</w:t>
            </w:r>
          </w:p>
        </w:tc>
      </w:tr>
      <w:tr w:rsidR="006727FF" w:rsidRPr="006727FF" w14:paraId="4A40550C" w14:textId="77777777" w:rsidTr="00CB402C">
        <w:trPr>
          <w:jc w:val="center"/>
        </w:trPr>
        <w:tc>
          <w:tcPr>
            <w:tcW w:w="0" w:type="auto"/>
          </w:tcPr>
          <w:p w14:paraId="6ADF66F2" w14:textId="49C5F85C" w:rsidR="006727FF" w:rsidRPr="006727FF" w:rsidRDefault="006727FF" w:rsidP="006727FF">
            <w:pPr>
              <w:pStyle w:val="Contenutotabella"/>
              <w:jc w:val="center"/>
              <w:rPr>
                <w:sz w:val="20"/>
                <w:szCs w:val="20"/>
                <w:lang w:val="en-US"/>
              </w:rPr>
            </w:pPr>
            <w:r w:rsidRPr="006727FF">
              <w:rPr>
                <w:sz w:val="20"/>
                <w:szCs w:val="20"/>
                <w:lang w:val="en-US"/>
              </w:rPr>
              <w:t>KNN</w:t>
            </w:r>
          </w:p>
        </w:tc>
        <w:tc>
          <w:tcPr>
            <w:tcW w:w="0" w:type="auto"/>
          </w:tcPr>
          <w:p w14:paraId="177D3E90" w14:textId="51976180" w:rsidR="006727FF" w:rsidRPr="006727FF" w:rsidRDefault="006727FF" w:rsidP="006727FF">
            <w:pPr>
              <w:pStyle w:val="Contenutotabella"/>
              <w:jc w:val="center"/>
              <w:rPr>
                <w:sz w:val="20"/>
                <w:szCs w:val="20"/>
                <w:lang w:val="en-US"/>
              </w:rPr>
            </w:pPr>
            <w:r>
              <w:rPr>
                <w:sz w:val="20"/>
                <w:szCs w:val="20"/>
                <w:lang w:val="en-US"/>
              </w:rPr>
              <w:t>Polar</w:t>
            </w:r>
          </w:p>
        </w:tc>
        <w:tc>
          <w:tcPr>
            <w:tcW w:w="0" w:type="auto"/>
          </w:tcPr>
          <w:p w14:paraId="3AD5DC7A" w14:textId="03139B50" w:rsidR="006727FF" w:rsidRPr="006727FF" w:rsidRDefault="006727FF" w:rsidP="006727FF">
            <w:pPr>
              <w:pStyle w:val="Contenutotabella"/>
              <w:jc w:val="center"/>
              <w:rPr>
                <w:sz w:val="20"/>
                <w:szCs w:val="20"/>
                <w:lang w:val="en-US"/>
              </w:rPr>
            </w:pPr>
            <w:r w:rsidRPr="006727FF">
              <w:rPr>
                <w:sz w:val="20"/>
                <w:szCs w:val="20"/>
                <w:lang w:val="en-US"/>
              </w:rPr>
              <w:t>0.383</w:t>
            </w:r>
          </w:p>
        </w:tc>
        <w:tc>
          <w:tcPr>
            <w:tcW w:w="0" w:type="auto"/>
          </w:tcPr>
          <w:p w14:paraId="3977F6B5" w14:textId="2239ED42" w:rsidR="006727FF" w:rsidRPr="006727FF" w:rsidRDefault="006727FF" w:rsidP="006727FF">
            <w:pPr>
              <w:pStyle w:val="Contenutotabella"/>
              <w:jc w:val="center"/>
              <w:rPr>
                <w:sz w:val="20"/>
                <w:szCs w:val="20"/>
                <w:lang w:val="en-US"/>
              </w:rPr>
            </w:pPr>
            <w:r w:rsidRPr="006727FF">
              <w:rPr>
                <w:sz w:val="20"/>
                <w:szCs w:val="20"/>
                <w:lang w:val="en-US"/>
              </w:rPr>
              <w:t>0.088</w:t>
            </w:r>
          </w:p>
        </w:tc>
      </w:tr>
      <w:tr w:rsidR="006727FF" w:rsidRPr="006727FF" w14:paraId="4C55FD5B" w14:textId="77777777" w:rsidTr="00CB402C">
        <w:trPr>
          <w:jc w:val="center"/>
        </w:trPr>
        <w:tc>
          <w:tcPr>
            <w:tcW w:w="0" w:type="auto"/>
          </w:tcPr>
          <w:p w14:paraId="436D4FA0" w14:textId="234FC25D" w:rsidR="006727FF" w:rsidRPr="006727FF" w:rsidRDefault="006727FF" w:rsidP="006727FF">
            <w:pPr>
              <w:pStyle w:val="Contenutotabella"/>
              <w:jc w:val="center"/>
              <w:rPr>
                <w:sz w:val="20"/>
                <w:szCs w:val="20"/>
                <w:lang w:val="en-US"/>
              </w:rPr>
            </w:pPr>
            <w:r w:rsidRPr="006727FF">
              <w:rPr>
                <w:sz w:val="20"/>
                <w:szCs w:val="20"/>
                <w:lang w:val="en-US"/>
              </w:rPr>
              <w:t>DT</w:t>
            </w:r>
          </w:p>
        </w:tc>
        <w:tc>
          <w:tcPr>
            <w:tcW w:w="0" w:type="auto"/>
          </w:tcPr>
          <w:p w14:paraId="53949559" w14:textId="5173AA4C" w:rsidR="006727FF" w:rsidRPr="006727FF" w:rsidRDefault="006727FF" w:rsidP="006727FF">
            <w:pPr>
              <w:pStyle w:val="Contenutotabella"/>
              <w:jc w:val="center"/>
              <w:rPr>
                <w:sz w:val="20"/>
                <w:szCs w:val="20"/>
                <w:lang w:val="en-US"/>
              </w:rPr>
            </w:pPr>
            <w:r w:rsidRPr="006727FF">
              <w:rPr>
                <w:sz w:val="20"/>
                <w:szCs w:val="20"/>
                <w:lang w:val="en-US"/>
              </w:rPr>
              <w:t>R</w:t>
            </w:r>
            <w:r>
              <w:rPr>
                <w:sz w:val="20"/>
                <w:szCs w:val="20"/>
                <w:lang w:val="en-US"/>
              </w:rPr>
              <w:t>ectangular</w:t>
            </w:r>
          </w:p>
        </w:tc>
        <w:tc>
          <w:tcPr>
            <w:tcW w:w="0" w:type="auto"/>
          </w:tcPr>
          <w:p w14:paraId="06326A93" w14:textId="4667101E" w:rsidR="006727FF" w:rsidRPr="006727FF" w:rsidRDefault="006727FF" w:rsidP="006727FF">
            <w:pPr>
              <w:pStyle w:val="Contenutotabella"/>
              <w:jc w:val="center"/>
              <w:rPr>
                <w:sz w:val="20"/>
                <w:szCs w:val="20"/>
                <w:lang w:val="en-US"/>
              </w:rPr>
            </w:pPr>
            <w:r w:rsidRPr="006727FF">
              <w:rPr>
                <w:sz w:val="20"/>
                <w:szCs w:val="20"/>
                <w:lang w:val="en-US"/>
              </w:rPr>
              <w:t>0.329</w:t>
            </w:r>
          </w:p>
        </w:tc>
        <w:tc>
          <w:tcPr>
            <w:tcW w:w="0" w:type="auto"/>
          </w:tcPr>
          <w:p w14:paraId="572F4AD0" w14:textId="7AE22AC2" w:rsidR="006727FF" w:rsidRPr="006727FF" w:rsidRDefault="006727FF" w:rsidP="006727FF">
            <w:pPr>
              <w:pStyle w:val="Contenutotabella"/>
              <w:jc w:val="center"/>
              <w:rPr>
                <w:sz w:val="20"/>
                <w:szCs w:val="20"/>
                <w:lang w:val="en-US"/>
              </w:rPr>
            </w:pPr>
            <w:r w:rsidRPr="006727FF">
              <w:rPr>
                <w:sz w:val="20"/>
                <w:szCs w:val="20"/>
                <w:lang w:val="en-US"/>
              </w:rPr>
              <w:t>0.020</w:t>
            </w:r>
          </w:p>
        </w:tc>
      </w:tr>
      <w:tr w:rsidR="006727FF" w:rsidRPr="006727FF" w14:paraId="6EE17388" w14:textId="77777777" w:rsidTr="00CB402C">
        <w:trPr>
          <w:jc w:val="center"/>
        </w:trPr>
        <w:tc>
          <w:tcPr>
            <w:tcW w:w="0" w:type="auto"/>
          </w:tcPr>
          <w:p w14:paraId="0C33D6DE" w14:textId="518F48D7" w:rsidR="006727FF" w:rsidRPr="006727FF" w:rsidRDefault="006727FF" w:rsidP="006727FF">
            <w:pPr>
              <w:pStyle w:val="Contenutotabella"/>
              <w:jc w:val="center"/>
              <w:rPr>
                <w:sz w:val="20"/>
                <w:szCs w:val="20"/>
                <w:lang w:val="en-US"/>
              </w:rPr>
            </w:pPr>
            <w:r w:rsidRPr="006727FF">
              <w:rPr>
                <w:sz w:val="20"/>
                <w:szCs w:val="20"/>
                <w:lang w:val="en-US"/>
              </w:rPr>
              <w:t>DT</w:t>
            </w:r>
          </w:p>
        </w:tc>
        <w:tc>
          <w:tcPr>
            <w:tcW w:w="0" w:type="auto"/>
          </w:tcPr>
          <w:p w14:paraId="3BC6B3A7" w14:textId="3C8B9696" w:rsidR="006727FF" w:rsidRPr="006727FF" w:rsidRDefault="006727FF" w:rsidP="006727FF">
            <w:pPr>
              <w:pStyle w:val="Contenutotabella"/>
              <w:jc w:val="center"/>
              <w:rPr>
                <w:sz w:val="20"/>
                <w:szCs w:val="20"/>
                <w:lang w:val="en-US"/>
              </w:rPr>
            </w:pPr>
            <w:r>
              <w:rPr>
                <w:sz w:val="20"/>
                <w:szCs w:val="20"/>
                <w:lang w:val="en-US"/>
              </w:rPr>
              <w:t>Polar</w:t>
            </w:r>
          </w:p>
        </w:tc>
        <w:tc>
          <w:tcPr>
            <w:tcW w:w="0" w:type="auto"/>
          </w:tcPr>
          <w:p w14:paraId="50E6DF90" w14:textId="354204A3" w:rsidR="006727FF" w:rsidRPr="006727FF" w:rsidRDefault="006727FF" w:rsidP="006727FF">
            <w:pPr>
              <w:pStyle w:val="Contenutotabella"/>
              <w:jc w:val="center"/>
              <w:rPr>
                <w:sz w:val="20"/>
                <w:szCs w:val="20"/>
                <w:lang w:val="en-US"/>
              </w:rPr>
            </w:pPr>
            <w:r w:rsidRPr="006727FF">
              <w:rPr>
                <w:sz w:val="20"/>
                <w:szCs w:val="20"/>
                <w:lang w:val="en-US"/>
              </w:rPr>
              <w:t>0.915</w:t>
            </w:r>
          </w:p>
        </w:tc>
        <w:tc>
          <w:tcPr>
            <w:tcW w:w="0" w:type="auto"/>
          </w:tcPr>
          <w:p w14:paraId="441B859B" w14:textId="40B8BCDB" w:rsidR="006727FF" w:rsidRPr="006727FF" w:rsidRDefault="006727FF" w:rsidP="006727FF">
            <w:pPr>
              <w:pStyle w:val="Contenutotabella"/>
              <w:jc w:val="center"/>
              <w:rPr>
                <w:sz w:val="20"/>
                <w:szCs w:val="20"/>
                <w:lang w:val="en-US"/>
              </w:rPr>
            </w:pPr>
            <w:r w:rsidRPr="006727FF">
              <w:rPr>
                <w:sz w:val="20"/>
                <w:szCs w:val="20"/>
                <w:lang w:val="en-US"/>
              </w:rPr>
              <w:t>0.047</w:t>
            </w:r>
          </w:p>
        </w:tc>
      </w:tr>
    </w:tbl>
    <w:p w14:paraId="6675FAAB" w14:textId="77777777" w:rsidR="006727FF" w:rsidRDefault="006727FF" w:rsidP="003723D5">
      <w:pPr>
        <w:pStyle w:val="Bodytextfirst"/>
      </w:pPr>
    </w:p>
    <w:p w14:paraId="1B74607F" w14:textId="60435F7D" w:rsidR="00177437" w:rsidRDefault="005054C1" w:rsidP="003723D5">
      <w:pPr>
        <w:pStyle w:val="Bodytextfirst"/>
      </w:pPr>
      <w:r w:rsidRPr="00CB2F75">
        <w:t xml:space="preserve">Each classifier was trained both with the original data, </w:t>
      </w:r>
      <w:r w:rsidR="0018265D">
        <w:t>constituted by</w:t>
      </w:r>
      <w:r w:rsidRPr="00CB2F75">
        <w:t xml:space="preserve"> impedance expressed in rectangular coordinates (real part and imaginary part), and with pre-processed data</w:t>
      </w:r>
      <w:r w:rsidR="0018265D">
        <w:t>,</w:t>
      </w:r>
      <w:r w:rsidRPr="00CB2F75">
        <w:t xml:space="preserve"> </w:t>
      </w:r>
      <w:proofErr w:type="gramStart"/>
      <w:r w:rsidRPr="00CB2F75">
        <w:t>in order to</w:t>
      </w:r>
      <w:proofErr w:type="gramEnd"/>
      <w:r w:rsidRPr="00CB2F75">
        <w:t xml:space="preserve"> use impedance values expressed in </w:t>
      </w:r>
      <w:r w:rsidR="00F156AF">
        <w:t xml:space="preserve">polar </w:t>
      </w:r>
      <w:r w:rsidRPr="00CB2F75">
        <w:t xml:space="preserve">coordinates (module and phase). </w:t>
      </w:r>
    </w:p>
    <w:p w14:paraId="0A50D7EC" w14:textId="05D7C6B9" w:rsidR="003F56F4" w:rsidRPr="00CB2F75" w:rsidRDefault="003F56F4" w:rsidP="003723D5">
      <w:pPr>
        <w:pStyle w:val="Bodytextfirst"/>
      </w:pPr>
      <w:r w:rsidRPr="00CB2F75">
        <w:t>It is possible to observe how the use of polar representation leads to an improvement in accuracy for all classifiers with an increase between 40% and 270% depending on the classifier. For both representations (rectangular/polar)</w:t>
      </w:r>
      <w:r>
        <w:t xml:space="preserve">, </w:t>
      </w:r>
      <w:r w:rsidRPr="00CB2F75">
        <w:t>the Decision Tree has better performances, obtaining an average accuracy equal to 0.915 with the polar representation</w:t>
      </w:r>
      <w:r>
        <w:t xml:space="preserve">. </w:t>
      </w:r>
      <w:r w:rsidRPr="00CB2F75">
        <w:t xml:space="preserve">It </w:t>
      </w:r>
      <w:r>
        <w:t>is worth noting</w:t>
      </w:r>
      <w:r w:rsidRPr="00CB2F75">
        <w:t xml:space="preserve"> that </w:t>
      </w:r>
      <w:r>
        <w:t xml:space="preserve">the default values preset by </w:t>
      </w:r>
      <w:proofErr w:type="spellStart"/>
      <w:r>
        <w:t>S</w:t>
      </w:r>
      <w:r w:rsidRPr="00CB2F75">
        <w:t>cikit</w:t>
      </w:r>
      <w:proofErr w:type="spellEnd"/>
      <w:r w:rsidRPr="00CB2F75">
        <w:t>-learn have been used for all classifiers and no optimization has been made.</w:t>
      </w:r>
    </w:p>
    <w:p w14:paraId="449103F0" w14:textId="257D95A4" w:rsidR="003F56F4" w:rsidRDefault="003F56F4" w:rsidP="003723D5">
      <w:pPr>
        <w:pStyle w:val="Bodytextfirst"/>
      </w:pPr>
      <w:r w:rsidRPr="00CB2F75">
        <w:t xml:space="preserve">In addition, several regressors were tested for modeling the SoC, i.e. Linear Regressor, Lasso, Ridge and Random Forest. </w:t>
      </w:r>
      <w:r>
        <w:t>By the analysis carried out</w:t>
      </w:r>
      <w:r w:rsidRPr="00CB2F75">
        <w:t>, the regressor</w:t>
      </w:r>
      <w:r>
        <w:t xml:space="preserve"> with the best performance</w:t>
      </w:r>
      <w:r w:rsidRPr="00CB2F75">
        <w:t xml:space="preserve"> in terms of R</w:t>
      </w:r>
      <w:r w:rsidRPr="000E4E83">
        <w:rPr>
          <w:vertAlign w:val="superscript"/>
        </w:rPr>
        <w:t>2</w:t>
      </w:r>
      <w:r w:rsidRPr="00CB2F75">
        <w:t xml:space="preserve"> and MAE was the Random Forest</w:t>
      </w:r>
      <w:r>
        <w:t xml:space="preserve">. </w:t>
      </w:r>
      <w:proofErr w:type="gramStart"/>
      <w:r w:rsidRPr="00F40A08">
        <w:t>In particular, average</w:t>
      </w:r>
      <w:proofErr w:type="gramEnd"/>
      <w:r w:rsidRPr="00F40A08">
        <w:t xml:space="preserve"> </w:t>
      </w:r>
      <w:r w:rsidR="003C7006">
        <w:t>value of</w:t>
      </w:r>
      <w:r w:rsidR="003C7006" w:rsidRPr="003C7006">
        <w:t xml:space="preserve"> </w:t>
      </w:r>
      <w:r w:rsidR="003C7006" w:rsidRPr="00F40A08">
        <w:t>R</w:t>
      </w:r>
      <w:r w:rsidR="003C7006" w:rsidRPr="00F40A08">
        <w:rPr>
          <w:vertAlign w:val="superscript"/>
        </w:rPr>
        <w:t>2</w:t>
      </w:r>
      <w:r w:rsidR="003C7006">
        <w:t xml:space="preserve"> </w:t>
      </w:r>
      <w:r w:rsidRPr="00F40A08">
        <w:t>and standard deviation are of 0.97 and 0.01</w:t>
      </w:r>
      <w:r w:rsidR="003C7006">
        <w:t>,</w:t>
      </w:r>
      <w:r w:rsidRPr="00F40A08">
        <w:t xml:space="preserve"> respectively (see Fig. 3a).</w:t>
      </w:r>
    </w:p>
    <w:p w14:paraId="040AEBD2" w14:textId="77777777" w:rsidR="005054C1" w:rsidRDefault="005054C1" w:rsidP="005054C1">
      <w:pPr>
        <w:pStyle w:val="Didascalia1"/>
        <w:jc w:val="both"/>
        <w:rPr>
          <w:i w:val="0"/>
          <w:lang w:val="en-US"/>
        </w:rPr>
      </w:pPr>
      <w:r>
        <w:rPr>
          <w:noProof/>
          <w:lang w:eastAsia="it-IT" w:bidi="ar-SA"/>
        </w:rPr>
        <w:lastRenderedPageBreak/>
        <mc:AlternateContent>
          <mc:Choice Requires="wps">
            <w:drawing>
              <wp:inline distT="0" distB="0" distL="0" distR="0" wp14:anchorId="32058BF7" wp14:editId="3C70A5FD">
                <wp:extent cx="2977243" cy="34290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243"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A296D" w14:textId="2FFD7431" w:rsidR="000D39CC" w:rsidRDefault="003F56F4" w:rsidP="000D39CC">
                            <w:pPr>
                              <w:pStyle w:val="Didascalia1"/>
                              <w:spacing w:before="0" w:after="0"/>
                              <w:rPr>
                                <w:lang w:val="en-US"/>
                              </w:rPr>
                            </w:pPr>
                            <w:r w:rsidRPr="003F56F4">
                              <w:rPr>
                                <w:noProof/>
                              </w:rPr>
                              <w:drawing>
                                <wp:inline distT="0" distB="0" distL="0" distR="0" wp14:anchorId="66AA05A2" wp14:editId="42C605D5">
                                  <wp:extent cx="3054287" cy="30003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5259" cy="3020977"/>
                                          </a:xfrm>
                                          <a:prstGeom prst="rect">
                                            <a:avLst/>
                                          </a:prstGeom>
                                          <a:noFill/>
                                          <a:ln>
                                            <a:noFill/>
                                          </a:ln>
                                        </pic:spPr>
                                      </pic:pic>
                                    </a:graphicData>
                                  </a:graphic>
                                </wp:inline>
                              </w:drawing>
                            </w:r>
                          </w:p>
                          <w:p w14:paraId="09D95F2A" w14:textId="67E0626B" w:rsidR="005054C1" w:rsidRDefault="005054C1" w:rsidP="005054C1">
                            <w:pPr>
                              <w:pStyle w:val="Didascalia1"/>
                              <w:rPr>
                                <w:lang w:val="en-US"/>
                              </w:rPr>
                            </w:pPr>
                            <w:r w:rsidRPr="00B14128">
                              <w:rPr>
                                <w:lang w:val="en-US"/>
                              </w:rPr>
                              <w:t xml:space="preserve">Fig. </w:t>
                            </w:r>
                            <w:r>
                              <w:rPr>
                                <w:lang w:val="en-US"/>
                              </w:rPr>
                              <w:t>3</w:t>
                            </w:r>
                            <w:r w:rsidRPr="00B14128">
                              <w:rPr>
                                <w:lang w:val="en-US"/>
                              </w:rPr>
                              <w:t>.</w:t>
                            </w:r>
                            <w:r w:rsidR="001A7149">
                              <w:rPr>
                                <w:lang w:val="en-US"/>
                              </w:rPr>
                              <w:t xml:space="preserve"> Random forest distribution for</w:t>
                            </w:r>
                            <w:r w:rsidRPr="00B14128">
                              <w:rPr>
                                <w:lang w:val="en-US"/>
                              </w:rPr>
                              <w:t xml:space="preserve"> </w:t>
                            </w:r>
                            <w:r w:rsidRPr="00E8558B">
                              <w:rPr>
                                <w:lang w:val="en-US"/>
                              </w:rPr>
                              <w:t xml:space="preserve">a) </w:t>
                            </w:r>
                            <w:r w:rsidR="00443A64">
                              <w:rPr>
                                <w:lang w:val="en-US"/>
                              </w:rPr>
                              <w:t xml:space="preserve">SoC </w:t>
                            </w:r>
                            <w:r>
                              <w:rPr>
                                <w:lang w:val="en-US"/>
                              </w:rPr>
                              <w:t>b)</w:t>
                            </w:r>
                            <w:r w:rsidR="00A364AD">
                              <w:rPr>
                                <w:lang w:val="en-US"/>
                              </w:rPr>
                              <w:t xml:space="preserve"> </w:t>
                            </w:r>
                            <w:r w:rsidR="00443A64">
                              <w:rPr>
                                <w:lang w:val="en-US"/>
                              </w:rPr>
                              <w:t>Capacity losses</w:t>
                            </w:r>
                            <w:r>
                              <w:rPr>
                                <w:lang w:val="en-US"/>
                              </w:rPr>
                              <w:t>.</w:t>
                            </w:r>
                          </w:p>
                        </w:txbxContent>
                      </wps:txbx>
                      <wps:bodyPr rot="0" vert="horz" wrap="square" lIns="0" tIns="0" rIns="0" bIns="0" anchor="t" anchorCtr="0" upright="1">
                        <a:noAutofit/>
                      </wps:bodyPr>
                    </wps:wsp>
                  </a:graphicData>
                </a:graphic>
              </wp:inline>
            </w:drawing>
          </mc:Choice>
          <mc:Fallback>
            <w:pict>
              <v:shape w14:anchorId="32058BF7" id="_x0000_s1028" type="#_x0000_t202" style="width:234.4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" stroked="f">
                <v:textbox inset="0,0,0,0">
                  <w:txbxContent>
                    <w:p w14:paraId="4DAA296D" w14:textId="2FFD7431" w:rsidR="000D39CC" w:rsidRDefault="003F56F4" w:rsidP="000D39CC">
                      <w:pPr>
                        <w:pStyle w:val="Didascalia1"/>
                        <w:spacing w:before="0" w:after="0"/>
                        <w:rPr>
                          <w:lang w:val="en-US"/>
                        </w:rPr>
                      </w:pPr>
                      <w:r w:rsidRPr="003F56F4">
                        <w:rPr>
                          <w:noProof/>
                        </w:rPr>
                        <w:drawing>
                          <wp:inline distT="0" distB="0" distL="0" distR="0" wp14:anchorId="66AA05A2" wp14:editId="42C605D5">
                            <wp:extent cx="3054287" cy="30003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5259" cy="3020977"/>
                                    </a:xfrm>
                                    <a:prstGeom prst="rect">
                                      <a:avLst/>
                                    </a:prstGeom>
                                    <a:noFill/>
                                    <a:ln>
                                      <a:noFill/>
                                    </a:ln>
                                  </pic:spPr>
                                </pic:pic>
                              </a:graphicData>
                            </a:graphic>
                          </wp:inline>
                        </w:drawing>
                      </w:r>
                    </w:p>
                    <w:p w14:paraId="09D95F2A" w14:textId="67E0626B" w:rsidR="005054C1" w:rsidRDefault="005054C1" w:rsidP="005054C1">
                      <w:pPr>
                        <w:pStyle w:val="Didascalia1"/>
                        <w:rPr>
                          <w:lang w:val="en-US"/>
                        </w:rPr>
                      </w:pPr>
                      <w:r w:rsidRPr="00B14128">
                        <w:rPr>
                          <w:lang w:val="en-US"/>
                        </w:rPr>
                        <w:t xml:space="preserve">Fig. </w:t>
                      </w:r>
                      <w:r>
                        <w:rPr>
                          <w:lang w:val="en-US"/>
                        </w:rPr>
                        <w:t>3</w:t>
                      </w:r>
                      <w:r w:rsidRPr="00B14128">
                        <w:rPr>
                          <w:lang w:val="en-US"/>
                        </w:rPr>
                        <w:t>.</w:t>
                      </w:r>
                      <w:r w:rsidR="001A7149">
                        <w:rPr>
                          <w:lang w:val="en-US"/>
                        </w:rPr>
                        <w:t xml:space="preserve"> Random forest distribution for</w:t>
                      </w:r>
                      <w:r w:rsidRPr="00B14128">
                        <w:rPr>
                          <w:lang w:val="en-US"/>
                        </w:rPr>
                        <w:t xml:space="preserve"> </w:t>
                      </w:r>
                      <w:r w:rsidRPr="00E8558B">
                        <w:rPr>
                          <w:lang w:val="en-US"/>
                        </w:rPr>
                        <w:t xml:space="preserve">a) </w:t>
                      </w:r>
                      <w:r w:rsidR="00443A64">
                        <w:rPr>
                          <w:lang w:val="en-US"/>
                        </w:rPr>
                        <w:t xml:space="preserve">SoC </w:t>
                      </w:r>
                      <w:r>
                        <w:rPr>
                          <w:lang w:val="en-US"/>
                        </w:rPr>
                        <w:t>b)</w:t>
                      </w:r>
                      <w:r w:rsidR="00A364AD">
                        <w:rPr>
                          <w:lang w:val="en-US"/>
                        </w:rPr>
                        <w:t xml:space="preserve"> </w:t>
                      </w:r>
                      <w:r w:rsidR="00443A64">
                        <w:rPr>
                          <w:lang w:val="en-US"/>
                        </w:rPr>
                        <w:t>Capacity losses</w:t>
                      </w:r>
                      <w:r>
                        <w:rPr>
                          <w:lang w:val="en-US"/>
                        </w:rPr>
                        <w:t>.</w:t>
                      </w:r>
                    </w:p>
                  </w:txbxContent>
                </v:textbox>
                <w10:anchorlock/>
              </v:shape>
            </w:pict>
          </mc:Fallback>
        </mc:AlternateContent>
      </w:r>
    </w:p>
    <w:p w14:paraId="3ED191A9" w14:textId="76061127" w:rsidR="00847848" w:rsidRDefault="00847848" w:rsidP="003723D5">
      <w:pPr>
        <w:pStyle w:val="Bodytextfirst"/>
      </w:pPr>
      <w:r w:rsidRPr="00CB2F75">
        <w:t xml:space="preserve">The same regressors have been </w:t>
      </w:r>
      <w:r>
        <w:t>also used for the modeling of capacity loss</w:t>
      </w:r>
      <w:r w:rsidRPr="00F40A08">
        <w:t>, which</w:t>
      </w:r>
      <w:r w:rsidR="0063009D" w:rsidRPr="00F40A08">
        <w:t xml:space="preserve"> </w:t>
      </w:r>
      <w:r w:rsidR="009C76F7" w:rsidRPr="00F40A08">
        <w:t xml:space="preserve">is </w:t>
      </w:r>
      <w:r w:rsidRPr="00F40A08">
        <w:t xml:space="preserve">an indication of </w:t>
      </w:r>
      <w:proofErr w:type="spellStart"/>
      <w:r w:rsidRPr="00F40A08">
        <w:t>SoH</w:t>
      </w:r>
      <w:proofErr w:type="spellEnd"/>
      <w:r w:rsidRPr="00CB2F75">
        <w:t xml:space="preserve">. </w:t>
      </w:r>
      <w:r w:rsidR="00405A4D">
        <w:t>Similarly,</w:t>
      </w:r>
      <w:r>
        <w:t xml:space="preserve"> </w:t>
      </w:r>
      <w:r w:rsidR="00405A4D">
        <w:t>in</w:t>
      </w:r>
      <w:r>
        <w:t xml:space="preserve"> the case of SoC</w:t>
      </w:r>
      <w:r w:rsidRPr="00CB2F75">
        <w:t xml:space="preserve">, </w:t>
      </w:r>
      <w:r>
        <w:t>the regressor with the best performance</w:t>
      </w:r>
      <w:r w:rsidRPr="00CB2F75">
        <w:t xml:space="preserve"> in terms of R</w:t>
      </w:r>
      <w:r w:rsidRPr="000E4E83">
        <w:rPr>
          <w:vertAlign w:val="superscript"/>
        </w:rPr>
        <w:t>2</w:t>
      </w:r>
      <w:r w:rsidRPr="00CB2F75">
        <w:t xml:space="preserve"> and MAE was </w:t>
      </w:r>
      <w:r>
        <w:t>the Random Forest</w:t>
      </w:r>
      <w:r w:rsidR="009C76F7">
        <w:t>.</w:t>
      </w:r>
      <w:r>
        <w:t xml:space="preserve"> </w:t>
      </w:r>
      <w:proofErr w:type="gramStart"/>
      <w:r w:rsidR="009C76F7" w:rsidRPr="00F40A08">
        <w:t>In particular</w:t>
      </w:r>
      <w:r w:rsidR="003C7006">
        <w:t>,</w:t>
      </w:r>
      <w:r w:rsidR="009C76F7" w:rsidRPr="00F40A08">
        <w:t xml:space="preserve"> </w:t>
      </w:r>
      <w:r w:rsidRPr="00F40A08">
        <w:t>average</w:t>
      </w:r>
      <w:proofErr w:type="gramEnd"/>
      <w:r w:rsidRPr="00F40A08">
        <w:t xml:space="preserve"> value </w:t>
      </w:r>
      <w:r w:rsidR="003C7006" w:rsidRPr="00F40A08">
        <w:t>of R</w:t>
      </w:r>
      <w:r w:rsidR="003C7006" w:rsidRPr="00F40A08">
        <w:rPr>
          <w:vertAlign w:val="superscript"/>
        </w:rPr>
        <w:t>2</w:t>
      </w:r>
      <w:r w:rsidR="003C7006" w:rsidRPr="00F40A08">
        <w:t xml:space="preserve"> </w:t>
      </w:r>
      <w:r w:rsidR="009C76F7" w:rsidRPr="00F40A08">
        <w:t xml:space="preserve">and standard deviation are </w:t>
      </w:r>
      <w:r w:rsidRPr="00F40A08">
        <w:t>0.93 and 0.01</w:t>
      </w:r>
      <w:r w:rsidR="003C7006">
        <w:t>,</w:t>
      </w:r>
      <w:r w:rsidRPr="00F40A08">
        <w:t xml:space="preserve"> respectively</w:t>
      </w:r>
      <w:r w:rsidR="009C76F7" w:rsidRPr="00F40A08">
        <w:t xml:space="preserve"> (see Fig 3b)</w:t>
      </w:r>
      <w:r w:rsidRPr="00F40A08">
        <w:t xml:space="preserve">. </w:t>
      </w:r>
      <w:r>
        <w:t xml:space="preserve">The </w:t>
      </w:r>
      <w:r w:rsidRPr="00876E6A">
        <w:t>distribution</w:t>
      </w:r>
      <w:r>
        <w:t>s</w:t>
      </w:r>
      <w:r w:rsidRPr="00876E6A">
        <w:t xml:space="preserve"> of the predicted values </w:t>
      </w:r>
      <w:r>
        <w:t>by Random forest regressor</w:t>
      </w:r>
      <w:r w:rsidRPr="00876E6A">
        <w:t xml:space="preserve"> in relation to the </w:t>
      </w:r>
      <w:r>
        <w:t>measured data are reported in figures 3a and 3b for the modeling of SoC an</w:t>
      </w:r>
      <w:r w:rsidRPr="00F40A08">
        <w:t xml:space="preserve">d </w:t>
      </w:r>
      <w:r w:rsidR="009C76F7" w:rsidRPr="00F40A08">
        <w:t>C</w:t>
      </w:r>
      <w:r w:rsidRPr="00F40A08">
        <w:t>apacity losses</w:t>
      </w:r>
      <w:r w:rsidR="003C7006">
        <w:t>,</w:t>
      </w:r>
      <w:r>
        <w:t xml:space="preserve"> respectively.</w:t>
      </w:r>
    </w:p>
    <w:p w14:paraId="45B46431" w14:textId="7BEA17FB" w:rsidR="00E51DC5" w:rsidRDefault="000E4E83">
      <w:pPr>
        <w:pStyle w:val="Sectionheading"/>
      </w:pPr>
      <w:r>
        <w:t>conclusions</w:t>
      </w:r>
    </w:p>
    <w:p w14:paraId="12D3CED4" w14:textId="5AD6E372" w:rsidR="003C7006" w:rsidRDefault="00313EF4" w:rsidP="003C7006">
      <w:pPr>
        <w:pStyle w:val="Bodytextfirst"/>
      </w:pPr>
      <w:r w:rsidRPr="00455AD6">
        <w:t>Different m</w:t>
      </w:r>
      <w:r w:rsidR="003D6935">
        <w:t xml:space="preserve">achine learning techniques have </w:t>
      </w:r>
      <w:r w:rsidRPr="00455AD6">
        <w:t xml:space="preserve">been analyzed as predictors of the state of charge and the loss of capacity of a lithium battery, subjected to a frequency regulation profile for grid applications, starting from impedance measurements. </w:t>
      </w:r>
      <w:r w:rsidR="006727FF" w:rsidRPr="00455AD6">
        <w:t xml:space="preserve">According to </w:t>
      </w:r>
      <w:r w:rsidRPr="00455AD6">
        <w:t>the r</w:t>
      </w:r>
      <w:r w:rsidR="006727FF" w:rsidRPr="00455AD6">
        <w:t xml:space="preserve">esults, </w:t>
      </w:r>
      <w:r w:rsidRPr="00455AD6">
        <w:t xml:space="preserve">the following conclusions </w:t>
      </w:r>
      <w:r w:rsidR="003C7006">
        <w:t>were drawn</w:t>
      </w:r>
      <w:r w:rsidRPr="00455AD6">
        <w:t>:</w:t>
      </w:r>
    </w:p>
    <w:p w14:paraId="3F73E9BC" w14:textId="77777777" w:rsidR="003C7006" w:rsidRDefault="006727FF" w:rsidP="003C7006">
      <w:pPr>
        <w:pStyle w:val="Bodytextfirst"/>
        <w:numPr>
          <w:ilvl w:val="0"/>
          <w:numId w:val="16"/>
        </w:numPr>
      </w:pPr>
      <w:r w:rsidRPr="00455AD6">
        <w:t xml:space="preserve">for the </w:t>
      </w:r>
      <w:r w:rsidR="00313EF4" w:rsidRPr="00455AD6">
        <w:t>training</w:t>
      </w:r>
      <w:r w:rsidRPr="00455AD6">
        <w:t xml:space="preserve"> of machine learning techniques, the use of impedance values expressed in module and phase is preferable</w:t>
      </w:r>
      <w:r w:rsidR="00313EF4" w:rsidRPr="00455AD6">
        <w:t>;</w:t>
      </w:r>
    </w:p>
    <w:p w14:paraId="7B53AA13" w14:textId="77777777" w:rsidR="003C7006" w:rsidRDefault="00313EF4" w:rsidP="003C7006">
      <w:pPr>
        <w:pStyle w:val="Bodytextfirst"/>
        <w:numPr>
          <w:ilvl w:val="0"/>
          <w:numId w:val="16"/>
        </w:numPr>
      </w:pPr>
      <w:r w:rsidRPr="00455AD6">
        <w:t>both for classification and regression models, techniques based on decision trees provided superior performance compared to the other machine learning techniques analyzed</w:t>
      </w:r>
      <w:r w:rsidR="000D39CC">
        <w:t>;</w:t>
      </w:r>
    </w:p>
    <w:p w14:paraId="4DE86430" w14:textId="620F2D8F" w:rsidR="00313EF4" w:rsidRDefault="00313EF4" w:rsidP="003C7006">
      <w:pPr>
        <w:pStyle w:val="Bodytextfirst"/>
        <w:numPr>
          <w:ilvl w:val="0"/>
          <w:numId w:val="16"/>
        </w:numPr>
      </w:pPr>
      <w:r w:rsidRPr="00455AD6">
        <w:t>Random forest regressor showed the best performance in terms of R</w:t>
      </w:r>
      <w:r w:rsidRPr="003C7006">
        <w:rPr>
          <w:vertAlign w:val="superscript"/>
        </w:rPr>
        <w:t>2</w:t>
      </w:r>
      <w:r w:rsidRPr="00455AD6">
        <w:t xml:space="preserve"> and MAE for both state of charge and capacity loss prediction.</w:t>
      </w:r>
    </w:p>
    <w:p w14:paraId="6BA16261" w14:textId="77777777" w:rsidR="007A3078" w:rsidRDefault="007A3078" w:rsidP="00CC2D93">
      <w:pPr>
        <w:pStyle w:val="Sectionheading"/>
        <w:numPr>
          <w:ilvl w:val="0"/>
          <w:numId w:val="0"/>
        </w:numPr>
        <w:rPr>
          <w:lang w:val="en-US"/>
        </w:rPr>
      </w:pPr>
    </w:p>
    <w:p w14:paraId="3B043811" w14:textId="77777777" w:rsidR="003C7006" w:rsidRDefault="003C7006" w:rsidP="00CC2D93">
      <w:pPr>
        <w:pStyle w:val="Sectionheading"/>
        <w:numPr>
          <w:ilvl w:val="0"/>
          <w:numId w:val="0"/>
        </w:numPr>
        <w:rPr>
          <w:lang w:val="en-US"/>
        </w:rPr>
      </w:pPr>
    </w:p>
    <w:p w14:paraId="392502EB" w14:textId="53B0A704" w:rsidR="00CC2D93" w:rsidRPr="00313EF4" w:rsidRDefault="00CC2D93" w:rsidP="00CC2D93">
      <w:pPr>
        <w:pStyle w:val="Sectionheading"/>
        <w:numPr>
          <w:ilvl w:val="0"/>
          <w:numId w:val="0"/>
        </w:numPr>
        <w:rPr>
          <w:lang w:val="en-US"/>
        </w:rPr>
      </w:pPr>
      <w:r w:rsidRPr="00CC2D93">
        <w:rPr>
          <w:lang w:val="en-US"/>
        </w:rPr>
        <w:t>acknowledgments</w:t>
      </w:r>
    </w:p>
    <w:p w14:paraId="0C6AA2F9" w14:textId="04DA3934" w:rsidR="00CC2D93" w:rsidRDefault="00CC2D93" w:rsidP="003723D5">
      <w:pPr>
        <w:pStyle w:val="Bodytextfirst"/>
      </w:pPr>
      <w:r w:rsidRPr="00CC2D93">
        <w:t>This research was funded by the Italian Ministry of Economic Development</w:t>
      </w:r>
      <w:r>
        <w:t xml:space="preserve"> </w:t>
      </w:r>
      <w:r w:rsidRPr="00CC2D93">
        <w:t xml:space="preserve">under the </w:t>
      </w:r>
      <w:proofErr w:type="spellStart"/>
      <w:r w:rsidRPr="00CC2D93">
        <w:t>programme</w:t>
      </w:r>
      <w:proofErr w:type="spellEnd"/>
      <w:r w:rsidRPr="00CC2D93">
        <w:t xml:space="preserve"> </w:t>
      </w:r>
      <w:r w:rsidR="003F56F4">
        <w:t>“</w:t>
      </w:r>
      <w:proofErr w:type="spellStart"/>
      <w:r w:rsidRPr="00CC2D93">
        <w:t>Ricerca</w:t>
      </w:r>
      <w:proofErr w:type="spellEnd"/>
      <w:r w:rsidRPr="00CC2D93">
        <w:t xml:space="preserve"> di Sistema</w:t>
      </w:r>
      <w:r w:rsidR="003F56F4">
        <w:t>”</w:t>
      </w:r>
      <w:r w:rsidRPr="00CC2D93">
        <w:t>, project electrochemical storage</w:t>
      </w:r>
      <w:r>
        <w:t>.</w:t>
      </w:r>
    </w:p>
    <w:p w14:paraId="7E5EFBAA" w14:textId="77777777" w:rsidR="00E51DC5" w:rsidRPr="00313EF4" w:rsidRDefault="00E51DC5">
      <w:pPr>
        <w:pStyle w:val="Sectionheading"/>
        <w:numPr>
          <w:ilvl w:val="0"/>
          <w:numId w:val="0"/>
        </w:numPr>
        <w:rPr>
          <w:lang w:val="en-US"/>
        </w:rPr>
      </w:pPr>
      <w:r w:rsidRPr="00313EF4">
        <w:rPr>
          <w:lang w:val="en-US"/>
        </w:rPr>
        <w:t>References</w:t>
      </w:r>
    </w:p>
    <w:p w14:paraId="09906023" w14:textId="314BC8DC" w:rsidR="00CC3D2B" w:rsidRPr="00755D79" w:rsidRDefault="0053469B" w:rsidP="00755D79">
      <w:pPr>
        <w:pStyle w:val="References"/>
        <w:rPr>
          <w:lang w:val="en-US"/>
        </w:rPr>
      </w:pPr>
      <w:r w:rsidRPr="00F40A08">
        <w:rPr>
          <w:lang w:val="en-US"/>
        </w:rPr>
        <w:t xml:space="preserve"> </w:t>
      </w:r>
      <w:r w:rsidR="00761153" w:rsidRPr="00F40A08">
        <w:rPr>
          <w:lang w:val="en-US"/>
        </w:rPr>
        <w:t xml:space="preserve">G. </w:t>
      </w:r>
      <w:proofErr w:type="spellStart"/>
      <w:r w:rsidR="00761153" w:rsidRPr="00F40A08">
        <w:rPr>
          <w:lang w:val="en-US"/>
        </w:rPr>
        <w:t>Hackeling</w:t>
      </w:r>
      <w:proofErr w:type="spellEnd"/>
      <w:r w:rsidR="00761153" w:rsidRPr="00F40A08">
        <w:rPr>
          <w:lang w:val="en-US"/>
        </w:rPr>
        <w:t xml:space="preserve">, Mastering Machine Learning With </w:t>
      </w:r>
      <w:proofErr w:type="spellStart"/>
      <w:r w:rsidR="00761153" w:rsidRPr="00F40A08">
        <w:rPr>
          <w:lang w:val="en-US"/>
        </w:rPr>
        <w:t>scikit</w:t>
      </w:r>
      <w:proofErr w:type="spellEnd"/>
      <w:r w:rsidR="00761153" w:rsidRPr="00F40A08">
        <w:rPr>
          <w:lang w:val="en-US"/>
        </w:rPr>
        <w:t xml:space="preserve">-learn: </w:t>
      </w:r>
      <w:proofErr w:type="spellStart"/>
      <w:r w:rsidR="00761153" w:rsidRPr="00F40A08">
        <w:rPr>
          <w:lang w:val="en-US"/>
        </w:rPr>
        <w:t>Packt</w:t>
      </w:r>
      <w:proofErr w:type="spellEnd"/>
      <w:r w:rsidR="00761153" w:rsidRPr="00F40A08">
        <w:rPr>
          <w:lang w:val="en-US"/>
        </w:rPr>
        <w:t xml:space="preserve"> Publishing, 2014.</w:t>
      </w:r>
    </w:p>
    <w:p w14:paraId="3125A512" w14:textId="0450213A" w:rsidR="00755D79" w:rsidRPr="003C7006" w:rsidRDefault="00755D79" w:rsidP="00755D79">
      <w:pPr>
        <w:pStyle w:val="References"/>
        <w:rPr>
          <w:lang w:val="en-US"/>
        </w:rPr>
      </w:pPr>
      <w:r w:rsidRPr="003C7006">
        <w:rPr>
          <w:lang w:val="en-US"/>
        </w:rPr>
        <w:t>L. Ren, L. Zhao, S. Hong, S. Zhao, H. Wang, and L. Zhang, "Remaining useful life prediction for lithium-ion battery: A deep learning approach," IEEE Access, vol. 6, pp. 50587-50598, 2018.</w:t>
      </w:r>
    </w:p>
    <w:p w14:paraId="737C7E47" w14:textId="61BE3545" w:rsidR="0053469B" w:rsidRDefault="00F40A08" w:rsidP="0053469B">
      <w:pPr>
        <w:pStyle w:val="References"/>
        <w:rPr>
          <w:lang w:val="en-US"/>
        </w:rPr>
      </w:pPr>
      <w:r w:rsidRPr="00F40A08">
        <w:rPr>
          <w:lang w:val="en-US"/>
        </w:rPr>
        <w:t xml:space="preserve"> </w:t>
      </w:r>
      <w:r w:rsidR="0053469B" w:rsidRPr="00F40A08">
        <w:rPr>
          <w:lang w:val="en-US"/>
        </w:rPr>
        <w:t xml:space="preserve">P. Venugopal, "State-of-Health Estimation of Li-ion Batteries in Electric Vehicle Using </w:t>
      </w:r>
      <w:proofErr w:type="spellStart"/>
      <w:r w:rsidR="0053469B" w:rsidRPr="00F40A08">
        <w:rPr>
          <w:lang w:val="en-US"/>
        </w:rPr>
        <w:t>IndRNN</w:t>
      </w:r>
      <w:proofErr w:type="spellEnd"/>
      <w:r w:rsidR="0053469B" w:rsidRPr="00F40A08">
        <w:rPr>
          <w:lang w:val="en-US"/>
        </w:rPr>
        <w:t xml:space="preserve"> under Variable Load Condition," Energies, vol. 12, p. 4338, 2019.</w:t>
      </w:r>
    </w:p>
    <w:p w14:paraId="590E767A" w14:textId="650B342A" w:rsidR="004A4500" w:rsidRPr="003C7006" w:rsidRDefault="004A4500" w:rsidP="004A4500">
      <w:pPr>
        <w:pStyle w:val="References"/>
        <w:rPr>
          <w:lang w:val="en-US"/>
        </w:rPr>
      </w:pPr>
      <w:r w:rsidRPr="003C7006">
        <w:rPr>
          <w:lang w:val="en-US"/>
        </w:rPr>
        <w:t xml:space="preserve">P. </w:t>
      </w:r>
      <w:proofErr w:type="spellStart"/>
      <w:r w:rsidRPr="003C7006">
        <w:rPr>
          <w:lang w:val="en-US"/>
        </w:rPr>
        <w:t>Khumprom</w:t>
      </w:r>
      <w:proofErr w:type="spellEnd"/>
      <w:r w:rsidRPr="003C7006">
        <w:rPr>
          <w:lang w:val="en-US"/>
        </w:rPr>
        <w:t xml:space="preserve"> and N. </w:t>
      </w:r>
      <w:proofErr w:type="spellStart"/>
      <w:r w:rsidRPr="003C7006">
        <w:rPr>
          <w:lang w:val="en-US"/>
        </w:rPr>
        <w:t>Yodo</w:t>
      </w:r>
      <w:proofErr w:type="spellEnd"/>
      <w:r w:rsidRPr="003C7006">
        <w:rPr>
          <w:lang w:val="en-US"/>
        </w:rPr>
        <w:t>, "A data-driven predictive prognostic model for lithium-ion batteries based on a deep learning algorithm," Energies, vol. 12, p. 660, 2019.</w:t>
      </w:r>
    </w:p>
    <w:p w14:paraId="2D5E083B" w14:textId="0D0ECE55" w:rsidR="004A4500" w:rsidRPr="003C7006" w:rsidRDefault="004A4500" w:rsidP="004A4500">
      <w:pPr>
        <w:pStyle w:val="References"/>
        <w:rPr>
          <w:lang w:val="en-US"/>
        </w:rPr>
      </w:pPr>
      <w:r w:rsidRPr="003C7006">
        <w:rPr>
          <w:lang w:val="en-US"/>
        </w:rPr>
        <w:t xml:space="preserve">F. Liu, X. Liu, W. </w:t>
      </w:r>
      <w:proofErr w:type="spellStart"/>
      <w:r w:rsidRPr="003C7006">
        <w:rPr>
          <w:lang w:val="en-US"/>
        </w:rPr>
        <w:t>Su</w:t>
      </w:r>
      <w:proofErr w:type="spellEnd"/>
      <w:r w:rsidRPr="003C7006">
        <w:rPr>
          <w:lang w:val="en-US"/>
        </w:rPr>
        <w:t>, H. Lin, H. Chen, and M. He, "An online state of health estimation method based on battery management system monitoring data," International Journal of Energy Research, 2020, in press.</w:t>
      </w:r>
    </w:p>
    <w:p w14:paraId="0DA8FC0D" w14:textId="0FCE1315" w:rsidR="00CC3D2B" w:rsidRPr="00F40A08" w:rsidRDefault="00F40A08" w:rsidP="0053469B">
      <w:pPr>
        <w:pStyle w:val="References"/>
        <w:rPr>
          <w:lang w:val="en-US"/>
        </w:rPr>
      </w:pPr>
      <w:r w:rsidRPr="00F40A08">
        <w:rPr>
          <w:lang w:val="en-US"/>
        </w:rPr>
        <w:t xml:space="preserve"> </w:t>
      </w:r>
      <w:r w:rsidR="00CC3D2B" w:rsidRPr="00F40A08">
        <w:rPr>
          <w:lang w:val="en-US"/>
        </w:rPr>
        <w:t xml:space="preserve">P.  Singha, </w:t>
      </w:r>
      <w:proofErr w:type="spellStart"/>
      <w:r w:rsidR="00CC3D2B" w:rsidRPr="00F40A08">
        <w:rPr>
          <w:lang w:val="en-US"/>
        </w:rPr>
        <w:t>R.Vinjamuria</w:t>
      </w:r>
      <w:proofErr w:type="spellEnd"/>
      <w:r w:rsidR="00CC3D2B" w:rsidRPr="00F40A08">
        <w:rPr>
          <w:lang w:val="en-US"/>
        </w:rPr>
        <w:t xml:space="preserve">, X. </w:t>
      </w:r>
      <w:proofErr w:type="spellStart"/>
      <w:r w:rsidR="00CC3D2B" w:rsidRPr="00F40A08">
        <w:rPr>
          <w:lang w:val="en-US"/>
        </w:rPr>
        <w:t>Wangb</w:t>
      </w:r>
      <w:proofErr w:type="spellEnd"/>
      <w:r w:rsidR="00CC3D2B" w:rsidRPr="00F40A08">
        <w:rPr>
          <w:lang w:val="en-US"/>
        </w:rPr>
        <w:t>, D. Reisner “Design and implementation of a fuzzy logic-based state-of-charge meter for Li-ion batteries used in portable defibrillators”, Journal of Power Sources, vol. 162, pp. 829-836, 2006.</w:t>
      </w:r>
    </w:p>
    <w:p w14:paraId="28B680A3" w14:textId="75491596" w:rsidR="00CC3D2B" w:rsidRPr="00F40A08" w:rsidRDefault="00F40A08" w:rsidP="0053469B">
      <w:pPr>
        <w:pStyle w:val="References"/>
        <w:rPr>
          <w:lang w:val="en-US"/>
        </w:rPr>
      </w:pPr>
      <w:r w:rsidRPr="00F40A08">
        <w:rPr>
          <w:lang w:val="en-US"/>
        </w:rPr>
        <w:t xml:space="preserve"> </w:t>
      </w:r>
      <w:r w:rsidR="00CC3D2B" w:rsidRPr="00F40A08">
        <w:rPr>
          <w:lang w:val="en-US"/>
        </w:rPr>
        <w:t xml:space="preserve">S. B. </w:t>
      </w:r>
      <w:proofErr w:type="spellStart"/>
      <w:r w:rsidR="00CC3D2B" w:rsidRPr="00F40A08">
        <w:rPr>
          <w:lang w:val="en-US"/>
        </w:rPr>
        <w:t>Sarmah</w:t>
      </w:r>
      <w:proofErr w:type="spellEnd"/>
      <w:r w:rsidR="00CC3D2B" w:rsidRPr="00F40A08">
        <w:rPr>
          <w:lang w:val="en-US"/>
        </w:rPr>
        <w:t xml:space="preserve">, P. </w:t>
      </w:r>
      <w:proofErr w:type="spellStart"/>
      <w:r w:rsidR="00CC3D2B" w:rsidRPr="00F40A08">
        <w:rPr>
          <w:lang w:val="en-US"/>
        </w:rPr>
        <w:t>Kalita</w:t>
      </w:r>
      <w:proofErr w:type="spellEnd"/>
      <w:r w:rsidR="00CC3D2B" w:rsidRPr="00F40A08">
        <w:rPr>
          <w:lang w:val="en-US"/>
        </w:rPr>
        <w:t xml:space="preserve">, A. Garg, X.-d. </w:t>
      </w:r>
      <w:proofErr w:type="spellStart"/>
      <w:r w:rsidR="00CC3D2B" w:rsidRPr="00F40A08">
        <w:rPr>
          <w:lang w:val="en-US"/>
        </w:rPr>
        <w:t>Niu</w:t>
      </w:r>
      <w:proofErr w:type="spellEnd"/>
      <w:r w:rsidR="00CC3D2B" w:rsidRPr="00F40A08">
        <w:rPr>
          <w:lang w:val="en-US"/>
        </w:rPr>
        <w:t>, X.-W. Zhang, X. Peng, and D. Bhattacharjee, "A Review of State of Health Estimation of Energy Storage Systems: Challenges and Possible Solutions for Futuristic Applications of Li-Ion Battery Packs in Electric Vehicles," Journal of Electrochemical Energy Conversion and Storage, vol. 16, 2019.</w:t>
      </w:r>
    </w:p>
    <w:p w14:paraId="08762C6D" w14:textId="4BFE4926" w:rsidR="00884105" w:rsidRPr="00F40A08" w:rsidRDefault="00F40A08" w:rsidP="0053469B">
      <w:pPr>
        <w:pStyle w:val="References"/>
        <w:rPr>
          <w:lang w:val="en-US"/>
        </w:rPr>
      </w:pPr>
      <w:r w:rsidRPr="00F40A08">
        <w:rPr>
          <w:lang w:val="en-US"/>
        </w:rPr>
        <w:t xml:space="preserve"> </w:t>
      </w:r>
      <w:r w:rsidR="00884105" w:rsidRPr="00F40A08">
        <w:rPr>
          <w:lang w:val="en-US"/>
        </w:rPr>
        <w:t xml:space="preserve">A. </w:t>
      </w:r>
      <w:proofErr w:type="spellStart"/>
      <w:r w:rsidR="00884105" w:rsidRPr="00F40A08">
        <w:rPr>
          <w:lang w:val="en-US"/>
        </w:rPr>
        <w:t>Nuhic</w:t>
      </w:r>
      <w:proofErr w:type="spellEnd"/>
      <w:r w:rsidR="00884105" w:rsidRPr="00F40A08">
        <w:rPr>
          <w:lang w:val="en-US"/>
        </w:rPr>
        <w:t xml:space="preserve">, T. </w:t>
      </w:r>
      <w:proofErr w:type="spellStart"/>
      <w:r w:rsidR="00884105" w:rsidRPr="00F40A08">
        <w:rPr>
          <w:lang w:val="en-US"/>
        </w:rPr>
        <w:t>Terzimehic</w:t>
      </w:r>
      <w:proofErr w:type="spellEnd"/>
      <w:r w:rsidR="00884105" w:rsidRPr="00F40A08">
        <w:rPr>
          <w:lang w:val="en-US"/>
        </w:rPr>
        <w:t xml:space="preserve">, T. </w:t>
      </w:r>
      <w:proofErr w:type="spellStart"/>
      <w:r w:rsidR="00884105" w:rsidRPr="00F40A08">
        <w:rPr>
          <w:lang w:val="en-US"/>
        </w:rPr>
        <w:t>Soczka-Guth</w:t>
      </w:r>
      <w:proofErr w:type="spellEnd"/>
      <w:r w:rsidR="00884105" w:rsidRPr="00F40A08">
        <w:rPr>
          <w:lang w:val="en-US"/>
        </w:rPr>
        <w:t xml:space="preserve">, M. Buchholz, and K. </w:t>
      </w:r>
      <w:proofErr w:type="spellStart"/>
      <w:r w:rsidR="00884105" w:rsidRPr="00F40A08">
        <w:rPr>
          <w:lang w:val="en-US"/>
        </w:rPr>
        <w:t>Dietmayer</w:t>
      </w:r>
      <w:proofErr w:type="spellEnd"/>
      <w:r w:rsidR="00884105" w:rsidRPr="00F40A08">
        <w:rPr>
          <w:lang w:val="en-US"/>
        </w:rPr>
        <w:t>, "Health diagnosis and remaining useful life prognostics of lithium-ion batteries using data-driven methods," Journal of Power Sources, vol. 239, pp. 680-688, 2013.</w:t>
      </w:r>
    </w:p>
    <w:p w14:paraId="2A3B0F33" w14:textId="3F416CF8" w:rsidR="00884105" w:rsidRPr="00F40A08" w:rsidRDefault="00F40A08" w:rsidP="0053469B">
      <w:pPr>
        <w:pStyle w:val="References"/>
        <w:rPr>
          <w:lang w:val="en-US"/>
        </w:rPr>
      </w:pPr>
      <w:r w:rsidRPr="00F40A08">
        <w:rPr>
          <w:lang w:val="en-US"/>
        </w:rPr>
        <w:t xml:space="preserve"> </w:t>
      </w:r>
      <w:r w:rsidR="00884105" w:rsidRPr="00F40A08">
        <w:rPr>
          <w:lang w:val="en-US"/>
        </w:rPr>
        <w:t>Z. Chen, M. Sun, X. Shu, R. Xiao, and J. Shen, "Online State of Health Estimation for Lithium-Ion Batteries Based on Support Vector Machine," Applied Sciences, vol. 8, p. 925, 2018.</w:t>
      </w:r>
    </w:p>
    <w:p w14:paraId="187D65A8" w14:textId="6A57A427" w:rsidR="00884105" w:rsidRPr="00F40A08" w:rsidRDefault="00F40A08" w:rsidP="00884105">
      <w:pPr>
        <w:pStyle w:val="References"/>
        <w:rPr>
          <w:lang w:val="en-US"/>
        </w:rPr>
      </w:pPr>
      <w:r w:rsidRPr="00F40A08">
        <w:rPr>
          <w:lang w:val="en-US"/>
        </w:rPr>
        <w:t xml:space="preserve"> </w:t>
      </w:r>
      <w:r w:rsidR="00884105" w:rsidRPr="00F40A08">
        <w:rPr>
          <w:lang w:val="en-US"/>
        </w:rPr>
        <w:t xml:space="preserve">V. </w:t>
      </w:r>
      <w:proofErr w:type="spellStart"/>
      <w:r w:rsidR="00884105" w:rsidRPr="00F40A08">
        <w:rPr>
          <w:lang w:val="en-US"/>
        </w:rPr>
        <w:t>Klass</w:t>
      </w:r>
      <w:proofErr w:type="spellEnd"/>
      <w:r w:rsidR="00884105" w:rsidRPr="00F40A08">
        <w:rPr>
          <w:lang w:val="en-US"/>
        </w:rPr>
        <w:t xml:space="preserve">, M. </w:t>
      </w:r>
      <w:proofErr w:type="spellStart"/>
      <w:r w:rsidR="00884105" w:rsidRPr="00F40A08">
        <w:rPr>
          <w:lang w:val="en-US"/>
        </w:rPr>
        <w:t>Behm</w:t>
      </w:r>
      <w:proofErr w:type="spellEnd"/>
      <w:r w:rsidR="00884105" w:rsidRPr="00F40A08">
        <w:rPr>
          <w:lang w:val="en-US"/>
        </w:rPr>
        <w:t>, and G. Lindbergh, "A support vector machine-based state-of-health estimation method for lithium-ion batteries under electric vehicle operation," Journal of Power Sources, vol. 270, pp. 262-272, 2014.</w:t>
      </w:r>
    </w:p>
    <w:p w14:paraId="5FD1E5F9" w14:textId="1997A9BE" w:rsidR="00884105" w:rsidRPr="00F40A08" w:rsidRDefault="00F40A08" w:rsidP="00884105">
      <w:pPr>
        <w:pStyle w:val="References"/>
        <w:rPr>
          <w:lang w:val="en-US"/>
        </w:rPr>
      </w:pPr>
      <w:r w:rsidRPr="00F40A08">
        <w:rPr>
          <w:lang w:val="en-US"/>
        </w:rPr>
        <w:t xml:space="preserve"> </w:t>
      </w:r>
      <w:r w:rsidR="00884105" w:rsidRPr="00F40A08">
        <w:rPr>
          <w:lang w:val="en-US"/>
        </w:rPr>
        <w:t xml:space="preserve">J. Meng, L. Cai, G. Luo, D.-I. </w:t>
      </w:r>
      <w:proofErr w:type="spellStart"/>
      <w:r w:rsidR="00884105" w:rsidRPr="00F40A08">
        <w:rPr>
          <w:lang w:val="en-US"/>
        </w:rPr>
        <w:t>Stroe</w:t>
      </w:r>
      <w:proofErr w:type="spellEnd"/>
      <w:r w:rsidR="00884105" w:rsidRPr="00F40A08">
        <w:rPr>
          <w:lang w:val="en-US"/>
        </w:rPr>
        <w:t>, and R. Teodorescu, "Lithium-ion battery state of health estimation with short-term current pulse test and support vector machine," Microelectronics Reliability, vol. 88-90, pp. 1216-1220, 2018.</w:t>
      </w:r>
    </w:p>
    <w:p w14:paraId="51A47312" w14:textId="681F7350" w:rsidR="0053469B" w:rsidRPr="00F40A08" w:rsidRDefault="00F40A08" w:rsidP="00384995">
      <w:pPr>
        <w:pStyle w:val="References"/>
        <w:rPr>
          <w:lang w:val="en-US"/>
        </w:rPr>
      </w:pPr>
      <w:r w:rsidRPr="00F40A08">
        <w:rPr>
          <w:lang w:val="en-US"/>
        </w:rPr>
        <w:lastRenderedPageBreak/>
        <w:t xml:space="preserve"> </w:t>
      </w:r>
      <w:r w:rsidR="00884105" w:rsidRPr="00F40A08">
        <w:rPr>
          <w:lang w:val="en-US"/>
        </w:rPr>
        <w:t>X. Feng, C. Weng, X. He, X. Han, L. Lu, D. Ren, and M. Ouyang, "Online State-of-Health Estimation for Li-Ion Battery Using Partial Charging Segment Based on Support Vector Machine," IEEE Transactions on Vehicular Technology, vol. 68, pp. 8583-8592, 2019.</w:t>
      </w:r>
    </w:p>
    <w:p w14:paraId="2CDF5AB9" w14:textId="7937AE1C" w:rsidR="0053469B" w:rsidRPr="00F40A08" w:rsidRDefault="00F40A08" w:rsidP="0053469B">
      <w:pPr>
        <w:pStyle w:val="References"/>
        <w:rPr>
          <w:lang w:val="en-US"/>
        </w:rPr>
      </w:pPr>
      <w:r w:rsidRPr="00F40A08">
        <w:rPr>
          <w:lang w:val="en-US"/>
        </w:rPr>
        <w:t xml:space="preserve"> </w:t>
      </w:r>
      <w:r w:rsidR="0053469B" w:rsidRPr="00F40A08">
        <w:rPr>
          <w:lang w:val="en-US"/>
        </w:rPr>
        <w:t xml:space="preserve">M. </w:t>
      </w:r>
      <w:proofErr w:type="spellStart"/>
      <w:r w:rsidR="0053469B" w:rsidRPr="00F40A08">
        <w:rPr>
          <w:lang w:val="en-US"/>
        </w:rPr>
        <w:t>Berecibar</w:t>
      </w:r>
      <w:proofErr w:type="spellEnd"/>
      <w:r w:rsidR="0053469B" w:rsidRPr="00F40A08">
        <w:rPr>
          <w:lang w:val="en-US"/>
        </w:rPr>
        <w:t xml:space="preserve">, I. </w:t>
      </w:r>
      <w:proofErr w:type="spellStart"/>
      <w:r w:rsidR="0053469B" w:rsidRPr="00F40A08">
        <w:rPr>
          <w:lang w:val="en-US"/>
        </w:rPr>
        <w:t>Gandiaga</w:t>
      </w:r>
      <w:proofErr w:type="spellEnd"/>
      <w:r w:rsidR="0053469B" w:rsidRPr="00F40A08">
        <w:rPr>
          <w:lang w:val="en-US"/>
        </w:rPr>
        <w:t xml:space="preserve">, I. Villarreal, N. Omar, J. Van </w:t>
      </w:r>
      <w:proofErr w:type="spellStart"/>
      <w:r w:rsidR="0053469B" w:rsidRPr="00F40A08">
        <w:rPr>
          <w:lang w:val="en-US"/>
        </w:rPr>
        <w:t>Mierlo</w:t>
      </w:r>
      <w:proofErr w:type="spellEnd"/>
      <w:r w:rsidR="0053469B" w:rsidRPr="00F40A08">
        <w:rPr>
          <w:lang w:val="en-US"/>
        </w:rPr>
        <w:t xml:space="preserve">, and P. Van den </w:t>
      </w:r>
      <w:proofErr w:type="spellStart"/>
      <w:r w:rsidR="0053469B" w:rsidRPr="00F40A08">
        <w:rPr>
          <w:lang w:val="en-US"/>
        </w:rPr>
        <w:t>Bossche</w:t>
      </w:r>
      <w:proofErr w:type="spellEnd"/>
      <w:r w:rsidR="0053469B" w:rsidRPr="00F40A08">
        <w:rPr>
          <w:lang w:val="en-US"/>
        </w:rPr>
        <w:t>, "Critical review of state of health estimation methods of Li-ion batteries for real applications," Renewable and Sustainable Energy Reviews, vol. 56, pp. 572-587, 2016.</w:t>
      </w:r>
    </w:p>
    <w:p w14:paraId="0FA8353D" w14:textId="077F7555" w:rsidR="0053469B" w:rsidRDefault="00F40A08" w:rsidP="0053469B">
      <w:pPr>
        <w:pStyle w:val="References"/>
        <w:rPr>
          <w:lang w:val="en-US"/>
        </w:rPr>
      </w:pPr>
      <w:r w:rsidRPr="00F40A08">
        <w:rPr>
          <w:lang w:val="en-US"/>
        </w:rPr>
        <w:t xml:space="preserve"> </w:t>
      </w:r>
      <w:r w:rsidR="0053469B" w:rsidRPr="00F40A08">
        <w:rPr>
          <w:lang w:val="en-US"/>
        </w:rPr>
        <w:t>J. Qu, F. Liu, Y. Ma, and J. Fan, "A Neural-Network-Based Method for RUL Prediction and SOH Monitoring of Lithium-Ion Battery," IEEE Access, vol. 7, pp. 87178-87191, 2019.</w:t>
      </w:r>
    </w:p>
    <w:p w14:paraId="3FC4E178" w14:textId="02B0BF56" w:rsidR="00457B56" w:rsidRPr="003C7006" w:rsidRDefault="00457B56" w:rsidP="00457B56">
      <w:pPr>
        <w:pStyle w:val="References"/>
        <w:rPr>
          <w:lang w:val="en-US"/>
        </w:rPr>
      </w:pPr>
      <w:r w:rsidRPr="003C7006">
        <w:rPr>
          <w:lang w:val="en-US"/>
        </w:rPr>
        <w:t>G. Ma, Y. Zhang, C. Cheng, B. Zhou, P. Hu, and Y. Yuan, "Remaining useful life prediction of lithium-ion batteries based on false nearest neighbors and a hybrid neural network," Applied Energy, vol. 253, p. 113626, 2019.</w:t>
      </w:r>
    </w:p>
    <w:p w14:paraId="12F41C65" w14:textId="7D7EE6F4" w:rsidR="00532FB9" w:rsidRPr="003C7006" w:rsidRDefault="00532FB9" w:rsidP="00532FB9">
      <w:pPr>
        <w:pStyle w:val="References"/>
        <w:rPr>
          <w:lang w:val="en-US"/>
        </w:rPr>
      </w:pPr>
      <w:r w:rsidRPr="003C7006">
        <w:rPr>
          <w:lang w:val="en-US"/>
        </w:rPr>
        <w:t xml:space="preserve">G. Campobello, D. </w:t>
      </w:r>
      <w:proofErr w:type="spellStart"/>
      <w:r w:rsidRPr="003C7006">
        <w:rPr>
          <w:lang w:val="en-US"/>
        </w:rPr>
        <w:t>Dell’Aquila</w:t>
      </w:r>
      <w:proofErr w:type="spellEnd"/>
      <w:r w:rsidRPr="003C7006">
        <w:rPr>
          <w:lang w:val="en-US"/>
        </w:rPr>
        <w:t xml:space="preserve">, M. Russo, A. </w:t>
      </w:r>
      <w:proofErr w:type="spellStart"/>
      <w:r w:rsidRPr="003C7006">
        <w:rPr>
          <w:lang w:val="en-US"/>
        </w:rPr>
        <w:t>Segreto</w:t>
      </w:r>
      <w:proofErr w:type="spellEnd"/>
      <w:r w:rsidRPr="003C7006">
        <w:rPr>
          <w:lang w:val="en-US"/>
        </w:rPr>
        <w:t xml:space="preserve">, “Neuro-genetic programming for </w:t>
      </w:r>
      <w:proofErr w:type="spellStart"/>
      <w:r w:rsidRPr="003C7006">
        <w:rPr>
          <w:lang w:val="en-US"/>
        </w:rPr>
        <w:t>multigenre</w:t>
      </w:r>
      <w:proofErr w:type="spellEnd"/>
      <w:r w:rsidRPr="003C7006">
        <w:rPr>
          <w:lang w:val="en-US"/>
        </w:rPr>
        <w:t xml:space="preserve"> classification of music content”, Applied Soft Computing, vol. 94, 2020.</w:t>
      </w:r>
    </w:p>
    <w:p w14:paraId="163E7077" w14:textId="77E6F6B4" w:rsidR="0053469B" w:rsidRPr="003C7006" w:rsidRDefault="0053469B" w:rsidP="00AE154C">
      <w:pPr>
        <w:pStyle w:val="References"/>
        <w:rPr>
          <w:lang w:val="en-US"/>
        </w:rPr>
      </w:pPr>
      <w:r w:rsidRPr="003C7006">
        <w:rPr>
          <w:lang w:val="en-US"/>
        </w:rPr>
        <w:t>"International Standard IEC 61427-2: Secondary cells and batteries for renewable energy storage- General requirements and methods of test - Part 2: on-grid applications," ed, 2015.</w:t>
      </w:r>
    </w:p>
    <w:p w14:paraId="729354F8" w14:textId="10CC30B4" w:rsidR="007A3078" w:rsidRPr="003C7006" w:rsidRDefault="007A3078" w:rsidP="007A3078">
      <w:pPr>
        <w:pStyle w:val="References"/>
        <w:rPr>
          <w:lang w:val="en-US"/>
        </w:rPr>
      </w:pPr>
      <w:r w:rsidRPr="003C7006">
        <w:rPr>
          <w:lang w:val="en-US"/>
        </w:rPr>
        <w:t>S. Ma, M. Jiang, P. Tao, C. Song, J. Wu, J. Wang, T. Deng, and W. Shang, "Temperature effect and thermal impact in lithium-ion batteries: A review," Progress in Natural Science: Materials International, vol. 28, pp. 653-666, 2018.</w:t>
      </w:r>
    </w:p>
    <w:p w14:paraId="536354F2" w14:textId="6E4DF483" w:rsidR="00957E1C" w:rsidRPr="00F40A08" w:rsidRDefault="00F40A08" w:rsidP="00AE154C">
      <w:pPr>
        <w:pStyle w:val="References"/>
        <w:rPr>
          <w:lang w:val="en-US"/>
        </w:rPr>
      </w:pPr>
      <w:r w:rsidRPr="00F40A08">
        <w:rPr>
          <w:lang w:val="en-US"/>
        </w:rPr>
        <w:t xml:space="preserve"> </w:t>
      </w:r>
      <w:r w:rsidR="00957E1C" w:rsidRPr="00F40A08">
        <w:rPr>
          <w:lang w:val="en-US"/>
        </w:rPr>
        <w:t xml:space="preserve">D. Andre, M. </w:t>
      </w:r>
      <w:proofErr w:type="spellStart"/>
      <w:r w:rsidR="00957E1C" w:rsidRPr="00F40A08">
        <w:rPr>
          <w:lang w:val="en-US"/>
        </w:rPr>
        <w:t>Meiler</w:t>
      </w:r>
      <w:proofErr w:type="spellEnd"/>
      <w:r w:rsidR="00957E1C" w:rsidRPr="00F40A08">
        <w:rPr>
          <w:lang w:val="en-US"/>
        </w:rPr>
        <w:t xml:space="preserve">, K. Steiner, C. </w:t>
      </w:r>
      <w:proofErr w:type="spellStart"/>
      <w:r w:rsidR="00957E1C" w:rsidRPr="00F40A08">
        <w:rPr>
          <w:lang w:val="en-US"/>
        </w:rPr>
        <w:t>Wimmer</w:t>
      </w:r>
      <w:proofErr w:type="spellEnd"/>
      <w:r w:rsidR="00957E1C" w:rsidRPr="00F40A08">
        <w:rPr>
          <w:lang w:val="en-US"/>
        </w:rPr>
        <w:t xml:space="preserve">, T. </w:t>
      </w:r>
      <w:proofErr w:type="spellStart"/>
      <w:r w:rsidR="00957E1C" w:rsidRPr="00F40A08">
        <w:rPr>
          <w:lang w:val="en-US"/>
        </w:rPr>
        <w:t>Soczka-Guth</w:t>
      </w:r>
      <w:proofErr w:type="spellEnd"/>
      <w:r w:rsidR="00957E1C" w:rsidRPr="00F40A08">
        <w:rPr>
          <w:lang w:val="en-US"/>
        </w:rPr>
        <w:t>, and D. U. Sauer, "Characterization of high-power lithium-ion batteries by electrochemical impedance spectroscopy. I. Experimental investigation," Journal of Power Sources, vol. 196, pp. 5334-5341, 2011.</w:t>
      </w:r>
    </w:p>
    <w:p w14:paraId="062517B8" w14:textId="0B7BC9AE" w:rsidR="00957E1C" w:rsidRDefault="00F40A08" w:rsidP="008E595E">
      <w:pPr>
        <w:pStyle w:val="References"/>
        <w:rPr>
          <w:lang w:val="en-US"/>
        </w:rPr>
      </w:pPr>
      <w:r w:rsidRPr="00F40A08">
        <w:rPr>
          <w:lang w:val="en-US"/>
        </w:rPr>
        <w:t xml:space="preserve"> </w:t>
      </w:r>
      <w:r w:rsidR="008E595E" w:rsidRPr="00F40A08">
        <w:rPr>
          <w:lang w:val="en-US"/>
        </w:rPr>
        <w:t xml:space="preserve">F. </w:t>
      </w:r>
      <w:proofErr w:type="spellStart"/>
      <w:r w:rsidR="008E595E" w:rsidRPr="00F40A08">
        <w:rPr>
          <w:lang w:val="en-US"/>
        </w:rPr>
        <w:t>Pedregosa</w:t>
      </w:r>
      <w:proofErr w:type="spellEnd"/>
      <w:r w:rsidR="008E595E" w:rsidRPr="00F40A08">
        <w:rPr>
          <w:lang w:val="en-US"/>
        </w:rPr>
        <w:t xml:space="preserve">, G. </w:t>
      </w:r>
      <w:proofErr w:type="spellStart"/>
      <w:r w:rsidR="008E595E" w:rsidRPr="00F40A08">
        <w:rPr>
          <w:lang w:val="en-US"/>
        </w:rPr>
        <w:t>Varoquaux</w:t>
      </w:r>
      <w:proofErr w:type="spellEnd"/>
      <w:r w:rsidR="008E595E" w:rsidRPr="00F40A08">
        <w:rPr>
          <w:lang w:val="en-US"/>
        </w:rPr>
        <w:t xml:space="preserve">, A. </w:t>
      </w:r>
      <w:proofErr w:type="spellStart"/>
      <w:r w:rsidR="008E595E" w:rsidRPr="00F40A08">
        <w:rPr>
          <w:lang w:val="en-US"/>
        </w:rPr>
        <w:t>Gramfort</w:t>
      </w:r>
      <w:proofErr w:type="spellEnd"/>
      <w:r w:rsidR="008E595E" w:rsidRPr="00F40A08">
        <w:rPr>
          <w:lang w:val="en-US"/>
        </w:rPr>
        <w:t xml:space="preserve">, V. Michel, B. </w:t>
      </w:r>
      <w:proofErr w:type="spellStart"/>
      <w:r w:rsidR="008E595E" w:rsidRPr="00F40A08">
        <w:rPr>
          <w:lang w:val="en-US"/>
        </w:rPr>
        <w:t>Thirion</w:t>
      </w:r>
      <w:proofErr w:type="spellEnd"/>
      <w:r w:rsidR="008E595E" w:rsidRPr="00F40A08">
        <w:rPr>
          <w:lang w:val="en-US"/>
        </w:rPr>
        <w:t xml:space="preserve">, O. Grisel, M. Blondel, P. </w:t>
      </w:r>
      <w:proofErr w:type="spellStart"/>
      <w:r w:rsidR="008E595E" w:rsidRPr="00F40A08">
        <w:rPr>
          <w:lang w:val="en-US"/>
        </w:rPr>
        <w:t>Prettenhofer</w:t>
      </w:r>
      <w:proofErr w:type="spellEnd"/>
      <w:r w:rsidR="008E595E" w:rsidRPr="00F40A08">
        <w:rPr>
          <w:lang w:val="en-US"/>
        </w:rPr>
        <w:t xml:space="preserve">, R. Weiss, and V. </w:t>
      </w:r>
      <w:proofErr w:type="spellStart"/>
      <w:r w:rsidR="008E595E" w:rsidRPr="00F40A08">
        <w:rPr>
          <w:lang w:val="en-US"/>
        </w:rPr>
        <w:t>Dubourg</w:t>
      </w:r>
      <w:proofErr w:type="spellEnd"/>
      <w:r w:rsidR="008E595E" w:rsidRPr="00F40A08">
        <w:rPr>
          <w:lang w:val="en-US"/>
        </w:rPr>
        <w:t>, "</w:t>
      </w:r>
      <w:proofErr w:type="spellStart"/>
      <w:r w:rsidR="008E595E" w:rsidRPr="00F40A08">
        <w:rPr>
          <w:lang w:val="en-US"/>
        </w:rPr>
        <w:t>Scikit</w:t>
      </w:r>
      <w:proofErr w:type="spellEnd"/>
      <w:r w:rsidR="008E595E" w:rsidRPr="00F40A08">
        <w:rPr>
          <w:lang w:val="en-US"/>
        </w:rPr>
        <w:t>-learn: Machine learning in Python," the Journal of machine Learning research, vol. 12, pp. 2825-2830, 2011.</w:t>
      </w:r>
    </w:p>
    <w:p w14:paraId="26F4E012" w14:textId="1B44CD6F" w:rsidR="00755D79" w:rsidRDefault="00755D79" w:rsidP="00755D79">
      <w:pPr>
        <w:pStyle w:val="References"/>
        <w:numPr>
          <w:ilvl w:val="0"/>
          <w:numId w:val="0"/>
        </w:numPr>
        <w:ind w:left="397" w:hanging="170"/>
        <w:rPr>
          <w:lang w:val="en-US"/>
        </w:rPr>
      </w:pPr>
    </w:p>
    <w:p w14:paraId="3989EC53" w14:textId="77777777" w:rsidR="00755D79" w:rsidRPr="00F40A08" w:rsidRDefault="00755D79" w:rsidP="00755D79">
      <w:pPr>
        <w:pStyle w:val="References"/>
        <w:numPr>
          <w:ilvl w:val="0"/>
          <w:numId w:val="0"/>
        </w:numPr>
        <w:ind w:left="397" w:hanging="170"/>
        <w:rPr>
          <w:lang w:val="en-US"/>
        </w:rPr>
      </w:pPr>
    </w:p>
    <w:sectPr w:rsidR="00755D79" w:rsidRPr="00F40A08" w:rsidSect="0053469B">
      <w:type w:val="continuous"/>
      <w:pgSz w:w="11906" w:h="16838"/>
      <w:pgMar w:top="2324" w:right="1134" w:bottom="1417" w:left="1134" w:header="993" w:footer="720" w:gutter="0"/>
      <w:cols w:num="2"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9231D" w14:textId="77777777" w:rsidR="005545D8" w:rsidRDefault="005545D8">
      <w:r>
        <w:separator/>
      </w:r>
    </w:p>
  </w:endnote>
  <w:endnote w:type="continuationSeparator" w:id="0">
    <w:p w14:paraId="4971B650" w14:textId="77777777" w:rsidR="005545D8" w:rsidRDefault="0055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2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8E97" w14:textId="77777777" w:rsidR="005545D8" w:rsidRDefault="005545D8">
      <w:r>
        <w:separator/>
      </w:r>
    </w:p>
  </w:footnote>
  <w:footnote w:type="continuationSeparator" w:id="0">
    <w:p w14:paraId="1AECB5F8" w14:textId="77777777" w:rsidR="005545D8" w:rsidRDefault="0055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8375" w14:textId="77777777" w:rsidR="00155090" w:rsidRPr="00EC073B" w:rsidRDefault="00155090" w:rsidP="00155090">
    <w:pPr>
      <w:pStyle w:val="Intestazione"/>
      <w:rPr>
        <w:sz w:val="16"/>
        <w:szCs w:val="16"/>
        <w:lang w:val="en-US"/>
      </w:rPr>
    </w:pPr>
    <w:r w:rsidRPr="00EC073B">
      <w:rPr>
        <w:sz w:val="16"/>
        <w:szCs w:val="16"/>
        <w:lang w:val="en-US"/>
      </w:rPr>
      <w:t>24th IMEKO TC4 International Symposium</w:t>
    </w:r>
  </w:p>
  <w:p w14:paraId="6828DDEB" w14:textId="77777777" w:rsidR="00155090" w:rsidRPr="00EC073B" w:rsidRDefault="00155090" w:rsidP="00155090">
    <w:pPr>
      <w:pStyle w:val="Intestazione"/>
      <w:rPr>
        <w:sz w:val="16"/>
        <w:szCs w:val="16"/>
        <w:lang w:val="en-US"/>
      </w:rPr>
    </w:pPr>
    <w:r w:rsidRPr="00EC073B">
      <w:rPr>
        <w:sz w:val="16"/>
        <w:szCs w:val="16"/>
        <w:lang w:val="en-US"/>
      </w:rPr>
      <w:t>22nd International Workshop on ADC and DAC Modelling and Testing</w:t>
    </w:r>
  </w:p>
  <w:p w14:paraId="02D665FA" w14:textId="77777777" w:rsidR="00155090" w:rsidRPr="00EC073B" w:rsidRDefault="00155090" w:rsidP="00155090">
    <w:pPr>
      <w:pStyle w:val="Intestazione"/>
      <w:rPr>
        <w:sz w:val="16"/>
        <w:szCs w:val="16"/>
        <w:lang w:val="en-US"/>
      </w:rPr>
    </w:pPr>
    <w:r w:rsidRPr="00EC073B">
      <w:rPr>
        <w:sz w:val="16"/>
        <w:szCs w:val="16"/>
        <w:lang w:val="en-US"/>
      </w:rPr>
      <w:t xml:space="preserve">IMEKO TC-4 2020 </w:t>
    </w:r>
  </w:p>
  <w:p w14:paraId="7612E6FB" w14:textId="77777777" w:rsidR="00155090" w:rsidRPr="00EC073B" w:rsidRDefault="00155090" w:rsidP="00155090">
    <w:pPr>
      <w:pStyle w:val="Intestazione"/>
      <w:rPr>
        <w:sz w:val="16"/>
        <w:szCs w:val="16"/>
        <w:lang w:val="en-US"/>
      </w:rPr>
    </w:pPr>
    <w:r w:rsidRPr="00EC073B">
      <w:rPr>
        <w:sz w:val="16"/>
        <w:szCs w:val="16"/>
        <w:lang w:val="en-US"/>
      </w:rPr>
      <w:t>Palermo, Italy, September 14-16, 2020</w:t>
    </w:r>
  </w:p>
  <w:p w14:paraId="3E61279E" w14:textId="77777777" w:rsidR="004B41A1" w:rsidRPr="00155090" w:rsidRDefault="004B41A1">
    <w:pPr>
      <w:pStyle w:val="Intestazio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CDDB" w14:textId="77777777" w:rsidR="00344ED1" w:rsidRPr="00EC073B" w:rsidRDefault="00344ED1" w:rsidP="00344ED1">
    <w:pPr>
      <w:pStyle w:val="Intestazione"/>
      <w:rPr>
        <w:sz w:val="16"/>
        <w:szCs w:val="16"/>
        <w:lang w:val="en-US"/>
      </w:rPr>
    </w:pPr>
    <w:r w:rsidRPr="00EC073B">
      <w:rPr>
        <w:sz w:val="16"/>
        <w:szCs w:val="16"/>
        <w:lang w:val="en-US"/>
      </w:rPr>
      <w:t>24th IMEKO TC4 International Symposium</w:t>
    </w:r>
  </w:p>
  <w:p w14:paraId="78AE231F" w14:textId="77777777" w:rsidR="00344ED1" w:rsidRPr="00EC073B" w:rsidRDefault="00344ED1" w:rsidP="00344ED1">
    <w:pPr>
      <w:pStyle w:val="Intestazione"/>
      <w:rPr>
        <w:sz w:val="16"/>
        <w:szCs w:val="16"/>
        <w:lang w:val="en-US"/>
      </w:rPr>
    </w:pPr>
    <w:r w:rsidRPr="00EC073B">
      <w:rPr>
        <w:sz w:val="16"/>
        <w:szCs w:val="16"/>
        <w:lang w:val="en-US"/>
      </w:rPr>
      <w:t>22nd International Workshop on ADC and DAC Modelling and Testing</w:t>
    </w:r>
  </w:p>
  <w:p w14:paraId="2B4650E6" w14:textId="77777777" w:rsidR="00344ED1" w:rsidRPr="00EC073B" w:rsidRDefault="00344ED1" w:rsidP="00344ED1">
    <w:pPr>
      <w:pStyle w:val="Intestazione"/>
      <w:rPr>
        <w:sz w:val="16"/>
        <w:szCs w:val="16"/>
        <w:lang w:val="en-US"/>
      </w:rPr>
    </w:pPr>
    <w:r w:rsidRPr="00EC073B">
      <w:rPr>
        <w:sz w:val="16"/>
        <w:szCs w:val="16"/>
        <w:lang w:val="en-US"/>
      </w:rPr>
      <w:t xml:space="preserve">IMEKO TC-4 2020 </w:t>
    </w:r>
  </w:p>
  <w:p w14:paraId="4E072E04" w14:textId="041B93BE" w:rsidR="00344ED1" w:rsidRPr="00EC073B" w:rsidRDefault="004B41A1" w:rsidP="004B41A1">
    <w:pPr>
      <w:pStyle w:val="Intestazione"/>
      <w:rPr>
        <w:sz w:val="16"/>
        <w:szCs w:val="16"/>
        <w:lang w:val="en-US"/>
      </w:rPr>
    </w:pPr>
    <w:r w:rsidRPr="00EC073B">
      <w:rPr>
        <w:sz w:val="16"/>
        <w:szCs w:val="16"/>
        <w:lang w:val="en-US"/>
      </w:rPr>
      <w:t>Palermo, Italy, September 14-16,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Titolo1"/>
      <w:lvlText w:val="%1"/>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lvl>
    <w:lvl w:ilvl="1">
      <w:start w:val="1"/>
      <w:numFmt w:val="upperLetter"/>
      <w:lvlText w:val=" %2."/>
      <w:lvlJc w:val="left"/>
      <w:pPr>
        <w:tabs>
          <w:tab w:val="num" w:pos="567"/>
        </w:tabs>
        <w:ind w:left="567" w:hanging="283"/>
      </w:pPr>
    </w:lvl>
    <w:lvl w:ilvl="2">
      <w:start w:val="1"/>
      <w:numFmt w:val="lowerRoman"/>
      <w:lvlText w:val=" %3."/>
      <w:lvlJc w:val="left"/>
      <w:pPr>
        <w:tabs>
          <w:tab w:val="num" w:pos="850"/>
        </w:tabs>
        <w:ind w:left="850" w:hanging="283"/>
      </w:pPr>
    </w:lvl>
    <w:lvl w:ilvl="3">
      <w:start w:val="1"/>
      <w:numFmt w:val="lowerLetter"/>
      <w:lvlText w:val=" %4)"/>
      <w:lvlJc w:val="left"/>
      <w:pPr>
        <w:tabs>
          <w:tab w:val="num" w:pos="1134"/>
        </w:tabs>
        <w:ind w:left="1134" w:hanging="283"/>
      </w:pPr>
    </w:lvl>
    <w:lvl w:ilvl="4">
      <w:start w:val="1"/>
      <w:numFmt w:val="bullet"/>
      <w:lvlText w:val=""/>
      <w:lvlJc w:val="left"/>
      <w:pPr>
        <w:tabs>
          <w:tab w:val="num" w:pos="1417"/>
        </w:tabs>
        <w:ind w:left="1417" w:hanging="283"/>
      </w:pPr>
      <w:rPr>
        <w:rFonts w:ascii="Symbol" w:hAnsi="Symbol" w:cs="OpenSymbol"/>
      </w:rPr>
    </w:lvl>
    <w:lvl w:ilvl="5">
      <w:start w:val="1"/>
      <w:numFmt w:val="bullet"/>
      <w:lvlText w:val=""/>
      <w:lvlJc w:val="left"/>
      <w:pPr>
        <w:tabs>
          <w:tab w:val="num" w:pos="1701"/>
        </w:tabs>
        <w:ind w:left="1701" w:hanging="283"/>
      </w:pPr>
      <w:rPr>
        <w:rFonts w:ascii="Symbol" w:hAnsi="Symbol" w:cs="OpenSymbol"/>
      </w:rPr>
    </w:lvl>
    <w:lvl w:ilvl="6">
      <w:start w:val="1"/>
      <w:numFmt w:val="bullet"/>
      <w:lvlText w:val=""/>
      <w:lvlJc w:val="left"/>
      <w:pPr>
        <w:tabs>
          <w:tab w:val="num" w:pos="1984"/>
        </w:tabs>
        <w:ind w:left="1984" w:hanging="283"/>
      </w:pPr>
      <w:rPr>
        <w:rFonts w:ascii="Symbol" w:hAnsi="Symbol" w:cs="OpenSymbol"/>
      </w:rPr>
    </w:lvl>
    <w:lvl w:ilvl="7">
      <w:start w:val="1"/>
      <w:numFmt w:val="bullet"/>
      <w:lvlText w:val=""/>
      <w:lvlJc w:val="left"/>
      <w:pPr>
        <w:tabs>
          <w:tab w:val="num" w:pos="2268"/>
        </w:tabs>
        <w:ind w:left="2268" w:hanging="283"/>
      </w:pPr>
      <w:rPr>
        <w:rFonts w:ascii="Symbol" w:hAnsi="Symbol" w:cs="OpenSymbol"/>
      </w:rPr>
    </w:lvl>
    <w:lvl w:ilvl="8">
      <w:start w:val="1"/>
      <w:numFmt w:val="bullet"/>
      <w:lvlText w:val=""/>
      <w:lvlJc w:val="left"/>
      <w:pPr>
        <w:tabs>
          <w:tab w:val="num" w:pos="2551"/>
        </w:tabs>
        <w:ind w:left="2551" w:hanging="283"/>
      </w:pPr>
      <w:rPr>
        <w:rFonts w:ascii="Symbol" w:hAnsi="Symbol" w:cs="OpenSymbol"/>
      </w:rPr>
    </w:lvl>
  </w:abstractNum>
  <w:abstractNum w:abstractNumId="2" w15:restartNumberingAfterBreak="0">
    <w:nsid w:val="00000003"/>
    <w:multiLevelType w:val="multilevel"/>
    <w:tmpl w:val="00000003"/>
    <w:name w:val="Numerazione 2"/>
    <w:lvl w:ilvl="0">
      <w:start w:val="1"/>
      <w:numFmt w:val="upperLetter"/>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3" w15:restartNumberingAfterBreak="0">
    <w:nsid w:val="00000004"/>
    <w:multiLevelType w:val="multilevel"/>
    <w:tmpl w:val="F90CDC8E"/>
    <w:name w:val="Numerazione 3"/>
    <w:lvl w:ilvl="0">
      <w:start w:val="1"/>
      <w:numFmt w:val="decimal"/>
      <w:pStyle w:val="References"/>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5" w15:restartNumberingAfterBreak="0">
    <w:nsid w:val="06261DD4"/>
    <w:multiLevelType w:val="multilevel"/>
    <w:tmpl w:val="036A6C74"/>
    <w:lvl w:ilvl="0">
      <w:start w:val="1"/>
      <w:numFmt w:val="upperLetter"/>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Symbol" w:hint="default"/>
      </w:rPr>
    </w:lvl>
    <w:lvl w:ilvl="5">
      <w:start w:val="6"/>
      <w:numFmt w:val="bullet"/>
      <w:lvlText w:val=""/>
      <w:lvlJc w:val="left"/>
      <w:pPr>
        <w:tabs>
          <w:tab w:val="num" w:pos="3713"/>
        </w:tabs>
        <w:ind w:left="3713" w:hanging="1021"/>
      </w:pPr>
      <w:rPr>
        <w:rFonts w:ascii="Symbol" w:hAnsi="Symbol" w:cs="Symbol" w:hint="default"/>
      </w:rPr>
    </w:lvl>
    <w:lvl w:ilvl="6">
      <w:start w:val="7"/>
      <w:numFmt w:val="bullet"/>
      <w:lvlText w:val=""/>
      <w:lvlJc w:val="left"/>
      <w:pPr>
        <w:tabs>
          <w:tab w:val="num" w:pos="5017"/>
        </w:tabs>
        <w:ind w:left="5017" w:hanging="1304"/>
      </w:pPr>
      <w:rPr>
        <w:rFonts w:ascii="Symbol" w:hAnsi="Symbol" w:cs="Symbol" w:hint="default"/>
      </w:rPr>
    </w:lvl>
    <w:lvl w:ilvl="7">
      <w:start w:val="8"/>
      <w:numFmt w:val="bullet"/>
      <w:lvlText w:val=""/>
      <w:lvlJc w:val="left"/>
      <w:pPr>
        <w:tabs>
          <w:tab w:val="num" w:pos="6491"/>
        </w:tabs>
        <w:ind w:left="6491" w:hanging="1474"/>
      </w:pPr>
      <w:rPr>
        <w:rFonts w:ascii="Symbol" w:hAnsi="Symbol" w:cs="Symbol" w:hint="default"/>
      </w:rPr>
    </w:lvl>
    <w:lvl w:ilvl="8">
      <w:start w:val="9"/>
      <w:numFmt w:val="bullet"/>
      <w:lvlText w:val=""/>
      <w:lvlJc w:val="left"/>
      <w:pPr>
        <w:tabs>
          <w:tab w:val="num" w:pos="8079"/>
        </w:tabs>
        <w:ind w:left="8079" w:hanging="1588"/>
      </w:pPr>
      <w:rPr>
        <w:rFonts w:ascii="Symbol" w:hAnsi="Symbol" w:cs="Symbol" w:hint="default"/>
      </w:rPr>
    </w:lvl>
  </w:abstractNum>
  <w:abstractNum w:abstractNumId="6" w15:restartNumberingAfterBreak="0">
    <w:nsid w:val="1C3979D9"/>
    <w:multiLevelType w:val="multilevel"/>
    <w:tmpl w:val="A4FCE9C8"/>
    <w:lvl w:ilvl="0">
      <w:start w:val="1"/>
      <w:numFmt w:val="decimal"/>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7" w15:restartNumberingAfterBreak="0">
    <w:nsid w:val="2AB63EEB"/>
    <w:multiLevelType w:val="multilevel"/>
    <w:tmpl w:val="202EC55C"/>
    <w:lvl w:ilvl="0">
      <w:start w:val="1"/>
      <w:numFmt w:val="decimal"/>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8" w15:restartNumberingAfterBreak="0">
    <w:nsid w:val="4C5F11C6"/>
    <w:multiLevelType w:val="hybridMultilevel"/>
    <w:tmpl w:val="0AFA680A"/>
    <w:lvl w:ilvl="0" w:tplc="BB72B17A">
      <w:numFmt w:val="bullet"/>
      <w:lvlText w:val="-"/>
      <w:lvlJc w:val="left"/>
      <w:pPr>
        <w:ind w:left="530" w:hanging="360"/>
      </w:pPr>
      <w:rPr>
        <w:rFonts w:ascii="Times New Roman" w:eastAsia="SimSun" w:hAnsi="Times New Roman" w:cs="Times New Roman"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abstractNum w:abstractNumId="9" w15:restartNumberingAfterBreak="0">
    <w:nsid w:val="520010AC"/>
    <w:multiLevelType w:val="hybridMultilevel"/>
    <w:tmpl w:val="B5B2EBD4"/>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0" w15:restartNumberingAfterBreak="0">
    <w:nsid w:val="57937625"/>
    <w:multiLevelType w:val="hybridMultilevel"/>
    <w:tmpl w:val="91E470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191563"/>
    <w:multiLevelType w:val="hybridMultilevel"/>
    <w:tmpl w:val="04382572"/>
    <w:lvl w:ilvl="0" w:tplc="A8B26436">
      <w:start w:val="2"/>
      <w:numFmt w:val="bullet"/>
      <w:lvlText w:val=""/>
      <w:lvlJc w:val="left"/>
      <w:pPr>
        <w:ind w:left="720" w:hanging="360"/>
      </w:pPr>
      <w:rPr>
        <w:rFonts w:ascii="Symbol" w:eastAsia="SimSun" w:hAnsi="Symbol" w:cs="Mang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
  </w:num>
  <w:num w:numId="7">
    <w:abstractNumId w:val="10"/>
  </w:num>
  <w:num w:numId="8">
    <w:abstractNumId w:val="3"/>
  </w:num>
  <w:num w:numId="9">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0">
    <w:abstractNumId w:val="5"/>
  </w:num>
  <w:num w:numId="11">
    <w:abstractNumId w:val="11"/>
  </w:num>
  <w:num w:numId="12">
    <w:abstractNumId w:val="7"/>
  </w:num>
  <w:num w:numId="13">
    <w:abstractNumId w:val="6"/>
  </w:num>
  <w:num w:numId="14">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22B44"/>
    <w:rsid w:val="00022C9D"/>
    <w:rsid w:val="0003187F"/>
    <w:rsid w:val="00033037"/>
    <w:rsid w:val="00080160"/>
    <w:rsid w:val="0008674B"/>
    <w:rsid w:val="00093C25"/>
    <w:rsid w:val="000B6DDC"/>
    <w:rsid w:val="000C2A70"/>
    <w:rsid w:val="000D39CC"/>
    <w:rsid w:val="000E1794"/>
    <w:rsid w:val="000E4E83"/>
    <w:rsid w:val="000E7F3E"/>
    <w:rsid w:val="001022D0"/>
    <w:rsid w:val="00140D8B"/>
    <w:rsid w:val="0014631B"/>
    <w:rsid w:val="00147F17"/>
    <w:rsid w:val="0015094C"/>
    <w:rsid w:val="00151AFF"/>
    <w:rsid w:val="00155090"/>
    <w:rsid w:val="0015741A"/>
    <w:rsid w:val="00176EEB"/>
    <w:rsid w:val="00177437"/>
    <w:rsid w:val="001778E8"/>
    <w:rsid w:val="0018265D"/>
    <w:rsid w:val="0019578A"/>
    <w:rsid w:val="001A1431"/>
    <w:rsid w:val="001A7149"/>
    <w:rsid w:val="001A7E72"/>
    <w:rsid w:val="001B56C4"/>
    <w:rsid w:val="001C02A8"/>
    <w:rsid w:val="001C03E2"/>
    <w:rsid w:val="001C58B4"/>
    <w:rsid w:val="001C77AA"/>
    <w:rsid w:val="001D7F11"/>
    <w:rsid w:val="00211656"/>
    <w:rsid w:val="002212FD"/>
    <w:rsid w:val="00226D05"/>
    <w:rsid w:val="00234C24"/>
    <w:rsid w:val="00274727"/>
    <w:rsid w:val="002A6C3F"/>
    <w:rsid w:val="002B4EB9"/>
    <w:rsid w:val="002D273D"/>
    <w:rsid w:val="002E11E6"/>
    <w:rsid w:val="0030238B"/>
    <w:rsid w:val="00313EF4"/>
    <w:rsid w:val="003151B3"/>
    <w:rsid w:val="00316944"/>
    <w:rsid w:val="003227E2"/>
    <w:rsid w:val="0032663E"/>
    <w:rsid w:val="00344ED1"/>
    <w:rsid w:val="00362C9D"/>
    <w:rsid w:val="003723D5"/>
    <w:rsid w:val="0037352B"/>
    <w:rsid w:val="00384995"/>
    <w:rsid w:val="00384B34"/>
    <w:rsid w:val="00387C46"/>
    <w:rsid w:val="003A6223"/>
    <w:rsid w:val="003A7CFE"/>
    <w:rsid w:val="003B307B"/>
    <w:rsid w:val="003C7006"/>
    <w:rsid w:val="003D6935"/>
    <w:rsid w:val="003E6B2B"/>
    <w:rsid w:val="003F56F4"/>
    <w:rsid w:val="00405A4D"/>
    <w:rsid w:val="0041658F"/>
    <w:rsid w:val="0042177A"/>
    <w:rsid w:val="00443A64"/>
    <w:rsid w:val="004467D1"/>
    <w:rsid w:val="00450E6B"/>
    <w:rsid w:val="00455AD6"/>
    <w:rsid w:val="00456879"/>
    <w:rsid w:val="00457B56"/>
    <w:rsid w:val="0048170D"/>
    <w:rsid w:val="00483035"/>
    <w:rsid w:val="004A316E"/>
    <w:rsid w:val="004A4500"/>
    <w:rsid w:val="004B41A1"/>
    <w:rsid w:val="004D5F78"/>
    <w:rsid w:val="004E6E59"/>
    <w:rsid w:val="004F237A"/>
    <w:rsid w:val="004F3E94"/>
    <w:rsid w:val="004F67EA"/>
    <w:rsid w:val="005054C1"/>
    <w:rsid w:val="00506BDD"/>
    <w:rsid w:val="00525A45"/>
    <w:rsid w:val="005261CF"/>
    <w:rsid w:val="00532FB9"/>
    <w:rsid w:val="0053469B"/>
    <w:rsid w:val="0054466F"/>
    <w:rsid w:val="005540E8"/>
    <w:rsid w:val="005545D8"/>
    <w:rsid w:val="0055630C"/>
    <w:rsid w:val="00564F07"/>
    <w:rsid w:val="00575E30"/>
    <w:rsid w:val="005A5652"/>
    <w:rsid w:val="005C7103"/>
    <w:rsid w:val="005F2374"/>
    <w:rsid w:val="0063009D"/>
    <w:rsid w:val="006363EF"/>
    <w:rsid w:val="00636D7C"/>
    <w:rsid w:val="00643F4C"/>
    <w:rsid w:val="00647C87"/>
    <w:rsid w:val="00655F87"/>
    <w:rsid w:val="006623EF"/>
    <w:rsid w:val="00666E02"/>
    <w:rsid w:val="006727FF"/>
    <w:rsid w:val="006C558A"/>
    <w:rsid w:val="006C7281"/>
    <w:rsid w:val="006E6D17"/>
    <w:rsid w:val="006F2155"/>
    <w:rsid w:val="00706713"/>
    <w:rsid w:val="0072113D"/>
    <w:rsid w:val="00731E2D"/>
    <w:rsid w:val="00735816"/>
    <w:rsid w:val="007524B4"/>
    <w:rsid w:val="00755D79"/>
    <w:rsid w:val="00761153"/>
    <w:rsid w:val="00772F25"/>
    <w:rsid w:val="007927F5"/>
    <w:rsid w:val="007A3078"/>
    <w:rsid w:val="007B793F"/>
    <w:rsid w:val="007D162A"/>
    <w:rsid w:val="007D5557"/>
    <w:rsid w:val="007E02EF"/>
    <w:rsid w:val="007E20FD"/>
    <w:rsid w:val="007F08E8"/>
    <w:rsid w:val="008311E0"/>
    <w:rsid w:val="00836386"/>
    <w:rsid w:val="00847848"/>
    <w:rsid w:val="00856B14"/>
    <w:rsid w:val="00874D32"/>
    <w:rsid w:val="00876E6A"/>
    <w:rsid w:val="00881415"/>
    <w:rsid w:val="00884105"/>
    <w:rsid w:val="00893218"/>
    <w:rsid w:val="008B7C89"/>
    <w:rsid w:val="008E595E"/>
    <w:rsid w:val="00904B22"/>
    <w:rsid w:val="00914D02"/>
    <w:rsid w:val="00920535"/>
    <w:rsid w:val="0095445A"/>
    <w:rsid w:val="00957E1C"/>
    <w:rsid w:val="00961EE8"/>
    <w:rsid w:val="00971E78"/>
    <w:rsid w:val="00992C96"/>
    <w:rsid w:val="00997E2D"/>
    <w:rsid w:val="009A500B"/>
    <w:rsid w:val="009C49C4"/>
    <w:rsid w:val="009C76F7"/>
    <w:rsid w:val="009D168A"/>
    <w:rsid w:val="009F7A6E"/>
    <w:rsid w:val="00A24961"/>
    <w:rsid w:val="00A364AD"/>
    <w:rsid w:val="00A569AD"/>
    <w:rsid w:val="00A620FA"/>
    <w:rsid w:val="00A67470"/>
    <w:rsid w:val="00AC0132"/>
    <w:rsid w:val="00AC2BFE"/>
    <w:rsid w:val="00AC6561"/>
    <w:rsid w:val="00AD1FBD"/>
    <w:rsid w:val="00AE1395"/>
    <w:rsid w:val="00AE154C"/>
    <w:rsid w:val="00AF35F4"/>
    <w:rsid w:val="00B0748C"/>
    <w:rsid w:val="00B14128"/>
    <w:rsid w:val="00B17027"/>
    <w:rsid w:val="00B305C9"/>
    <w:rsid w:val="00B33C45"/>
    <w:rsid w:val="00B5706A"/>
    <w:rsid w:val="00B60DE2"/>
    <w:rsid w:val="00B62565"/>
    <w:rsid w:val="00B62D5B"/>
    <w:rsid w:val="00B904AF"/>
    <w:rsid w:val="00BB3C40"/>
    <w:rsid w:val="00BB71BA"/>
    <w:rsid w:val="00C1528D"/>
    <w:rsid w:val="00C23638"/>
    <w:rsid w:val="00C57D90"/>
    <w:rsid w:val="00CB2F75"/>
    <w:rsid w:val="00CB402C"/>
    <w:rsid w:val="00CC2D93"/>
    <w:rsid w:val="00CC3D2B"/>
    <w:rsid w:val="00CD74D7"/>
    <w:rsid w:val="00D103F5"/>
    <w:rsid w:val="00D2134C"/>
    <w:rsid w:val="00D2338F"/>
    <w:rsid w:val="00D31F18"/>
    <w:rsid w:val="00D56DA9"/>
    <w:rsid w:val="00D8584D"/>
    <w:rsid w:val="00D8773D"/>
    <w:rsid w:val="00D97FE5"/>
    <w:rsid w:val="00DC3FAF"/>
    <w:rsid w:val="00DC5116"/>
    <w:rsid w:val="00DF0A08"/>
    <w:rsid w:val="00E04534"/>
    <w:rsid w:val="00E211E4"/>
    <w:rsid w:val="00E34AE9"/>
    <w:rsid w:val="00E46C89"/>
    <w:rsid w:val="00E51DC5"/>
    <w:rsid w:val="00E6506D"/>
    <w:rsid w:val="00E73585"/>
    <w:rsid w:val="00E777BB"/>
    <w:rsid w:val="00E97AD5"/>
    <w:rsid w:val="00EB079D"/>
    <w:rsid w:val="00EC073B"/>
    <w:rsid w:val="00EF11E6"/>
    <w:rsid w:val="00EF522B"/>
    <w:rsid w:val="00F10BFF"/>
    <w:rsid w:val="00F136A7"/>
    <w:rsid w:val="00F156AF"/>
    <w:rsid w:val="00F40A08"/>
    <w:rsid w:val="00F65C72"/>
    <w:rsid w:val="00F962AD"/>
    <w:rsid w:val="00FA26D8"/>
    <w:rsid w:val="00FB5150"/>
    <w:rsid w:val="00FE4B72"/>
    <w:rsid w:val="00FE6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53170B"/>
  <w15:chartTrackingRefBased/>
  <w15:docId w15:val="{292AAD3E-4A70-4373-B38A-8A67F2BB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eastAsia="SimSun" w:cs="Mangal"/>
      <w:kern w:val="1"/>
      <w:sz w:val="24"/>
      <w:szCs w:val="24"/>
      <w:lang w:eastAsia="zh-CN" w:bidi="hi-IN"/>
    </w:rPr>
  </w:style>
  <w:style w:type="paragraph" w:styleId="Titolo1">
    <w:name w:val="heading 1"/>
    <w:basedOn w:val="Intestazione1"/>
    <w:next w:val="Corpodeltesto"/>
    <w:qFormat/>
    <w:pPr>
      <w:numPr>
        <w:numId w:val="1"/>
      </w:numPr>
      <w:outlineLvl w:val="0"/>
    </w:pPr>
    <w:rPr>
      <w:b/>
      <w:bCs/>
      <w:sz w:val="32"/>
      <w:szCs w:val="32"/>
    </w:rPr>
  </w:style>
  <w:style w:type="paragraph" w:styleId="Titolo2">
    <w:name w:val="heading 2"/>
    <w:basedOn w:val="Intestazione1"/>
    <w:next w:val="Corpodeltesto"/>
    <w:qFormat/>
    <w:pPr>
      <w:numPr>
        <w:ilvl w:val="1"/>
        <w:numId w:val="1"/>
      </w:numPr>
      <w:outlineLvl w:val="1"/>
    </w:pPr>
    <w:rPr>
      <w:b/>
      <w:bCs/>
      <w:i/>
      <w:iCs/>
    </w:rPr>
  </w:style>
  <w:style w:type="paragraph" w:styleId="Titolo3">
    <w:name w:val="heading 3"/>
    <w:basedOn w:val="Intestazione1"/>
    <w:next w:val="Corpodeltesto"/>
    <w:qFormat/>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Papertitle">
    <w:name w:val="Paper title"/>
    <w:basedOn w:val="Normale"/>
    <w:next w:val="Authors"/>
    <w:pPr>
      <w:spacing w:after="227"/>
      <w:jc w:val="center"/>
    </w:pPr>
    <w:rPr>
      <w:sz w:val="48"/>
    </w:rPr>
  </w:style>
  <w:style w:type="paragraph" w:customStyle="1" w:styleId="Authors">
    <w:name w:val="Authors"/>
    <w:next w:val="Affiliation"/>
    <w:pPr>
      <w:widowControl w:val="0"/>
      <w:suppressAutoHyphens/>
      <w:spacing w:after="227"/>
      <w:jc w:val="center"/>
    </w:pPr>
    <w:rPr>
      <w:rFonts w:eastAsia="SimSun" w:cs="Mangal"/>
      <w:kern w:val="1"/>
      <w:sz w:val="24"/>
      <w:szCs w:val="24"/>
      <w:lang w:eastAsia="zh-CN" w:bidi="hi-IN"/>
    </w:rPr>
  </w:style>
  <w:style w:type="paragraph" w:customStyle="1" w:styleId="Affiliation">
    <w:name w:val="Affiliation"/>
    <w:pPr>
      <w:widowControl w:val="0"/>
      <w:suppressAutoHyphens/>
      <w:jc w:val="center"/>
    </w:pPr>
    <w:rPr>
      <w:rFonts w:eastAsia="SimSun" w:cs="Mangal"/>
      <w:i/>
      <w:kern w:val="1"/>
      <w:sz w:val="24"/>
      <w:szCs w:val="24"/>
      <w:lang w:eastAsia="zh-CN" w:bidi="hi-IN"/>
    </w:rPr>
  </w:style>
  <w:style w:type="paragraph" w:customStyle="1" w:styleId="Abstract">
    <w:name w:val="Abstract"/>
    <w:pPr>
      <w:widowControl w:val="0"/>
      <w:suppressAutoHyphens/>
      <w:jc w:val="both"/>
    </w:pPr>
    <w:rPr>
      <w:rFonts w:eastAsia="SimSun" w:cs="Mangal"/>
      <w:b/>
      <w:kern w:val="1"/>
      <w:szCs w:val="24"/>
      <w:lang w:eastAsia="zh-CN" w:bidi="hi-IN"/>
    </w:rPr>
  </w:style>
  <w:style w:type="paragraph" w:customStyle="1" w:styleId="Sectionheading">
    <w:name w:val="Section heading"/>
    <w:next w:val="Bodytextfirst"/>
    <w:pPr>
      <w:widowControl w:val="0"/>
      <w:numPr>
        <w:numId w:val="2"/>
      </w:numPr>
      <w:suppressAutoHyphens/>
      <w:spacing w:before="227" w:after="57"/>
      <w:jc w:val="center"/>
    </w:pPr>
    <w:rPr>
      <w:rFonts w:eastAsia="SimSun" w:cs="Mangal"/>
      <w:caps/>
      <w:kern w:val="1"/>
      <w:szCs w:val="24"/>
      <w:lang w:eastAsia="zh-CN" w:bidi="hi-IN"/>
    </w:rPr>
  </w:style>
  <w:style w:type="paragraph" w:customStyle="1" w:styleId="Bodytextfirst">
    <w:name w:val="Body text first"/>
    <w:autoRedefine/>
    <w:rsid w:val="003723D5"/>
    <w:pPr>
      <w:widowControl w:val="0"/>
      <w:suppressAutoHyphens/>
      <w:ind w:firstLine="170"/>
      <w:jc w:val="both"/>
    </w:pPr>
    <w:rPr>
      <w:rFonts w:eastAsia="SimSun" w:cs="Mangal"/>
      <w:szCs w:val="24"/>
      <w:lang w:val="en-US" w:eastAsia="zh-CN" w:bidi="hi-IN"/>
    </w:rPr>
  </w:style>
  <w:style w:type="paragraph" w:customStyle="1" w:styleId="Subsectionheading">
    <w:name w:val="Subsection heading"/>
    <w:next w:val="Bodytextfirst"/>
    <w:pPr>
      <w:widowControl w:val="0"/>
      <w:numPr>
        <w:numId w:val="5"/>
      </w:numPr>
      <w:suppressAutoHyphens/>
      <w:spacing w:before="227" w:after="57"/>
    </w:pPr>
    <w:rPr>
      <w:rFonts w:eastAsia="SimSun" w:cs="Mangal"/>
      <w:i/>
      <w:kern w:val="1"/>
      <w:szCs w:val="24"/>
      <w:lang w:eastAsia="zh-CN" w:bidi="hi-IN"/>
    </w:rPr>
  </w:style>
  <w:style w:type="paragraph" w:customStyle="1" w:styleId="Equation">
    <w:name w:val="Equation"/>
    <w:next w:val="Bodytextfirst"/>
    <w:pPr>
      <w:widowControl w:val="0"/>
      <w:tabs>
        <w:tab w:val="center" w:pos="2324"/>
        <w:tab w:val="right" w:pos="4649"/>
      </w:tabs>
      <w:suppressAutoHyphens/>
      <w:spacing w:before="227" w:after="227"/>
      <w:jc w:val="center"/>
    </w:pPr>
    <w:rPr>
      <w:rFonts w:eastAsia="SimSun" w:cs="Mangal"/>
      <w:kern w:val="1"/>
      <w:szCs w:val="24"/>
      <w:lang w:eastAsia="zh-CN" w:bidi="hi-IN"/>
    </w:rPr>
  </w:style>
  <w:style w:type="paragraph" w:customStyle="1" w:styleId="References">
    <w:name w:val="References"/>
    <w:pPr>
      <w:widowControl w:val="0"/>
      <w:numPr>
        <w:numId w:val="4"/>
      </w:numPr>
      <w:suppressAutoHyphens/>
      <w:jc w:val="both"/>
    </w:pPr>
    <w:rPr>
      <w:rFonts w:eastAsia="SimSun" w:cs="Mangal"/>
      <w:kern w:val="1"/>
      <w:szCs w:val="24"/>
      <w:lang w:eastAsia="zh-CN" w:bidi="hi-IN"/>
    </w:rPr>
  </w:style>
  <w:style w:type="paragraph" w:customStyle="1" w:styleId="Didascalia1">
    <w:name w:val="Didascalia1"/>
    <w:basedOn w:val="Didascalia"/>
    <w:pPr>
      <w:jc w:val="center"/>
    </w:pPr>
    <w:rPr>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Contenutocornice">
    <w:name w:val="Contenuto cornice"/>
    <w:basedOn w:val="Corpodeltesto"/>
  </w:style>
  <w:style w:type="paragraph" w:customStyle="1" w:styleId="Corpotesto1">
    <w:name w:val="Corpo testo1"/>
    <w:basedOn w:val="Bodytextfirst"/>
    <w:pPr>
      <w:ind w:firstLine="0"/>
    </w:pPr>
  </w:style>
  <w:style w:type="paragraph" w:styleId="Pidipagina">
    <w:name w:val="footer"/>
    <w:basedOn w:val="Normale"/>
    <w:link w:val="PidipaginaCarattere"/>
    <w:uiPriority w:val="99"/>
    <w:unhideWhenUsed/>
    <w:rsid w:val="007927F5"/>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7927F5"/>
    <w:rPr>
      <w:rFonts w:eastAsia="SimSun" w:cs="Mangal"/>
      <w:kern w:val="1"/>
      <w:sz w:val="24"/>
      <w:szCs w:val="21"/>
      <w:lang w:eastAsia="zh-CN" w:bidi="hi-IN"/>
    </w:rPr>
  </w:style>
  <w:style w:type="character" w:styleId="Rimandocommento">
    <w:name w:val="annotation reference"/>
    <w:basedOn w:val="Carpredefinitoparagrafo"/>
    <w:uiPriority w:val="99"/>
    <w:semiHidden/>
    <w:unhideWhenUsed/>
    <w:rsid w:val="00C1528D"/>
    <w:rPr>
      <w:sz w:val="16"/>
      <w:szCs w:val="16"/>
    </w:rPr>
  </w:style>
  <w:style w:type="paragraph" w:styleId="Testocommento">
    <w:name w:val="annotation text"/>
    <w:basedOn w:val="Normale"/>
    <w:link w:val="TestocommentoCarattere"/>
    <w:uiPriority w:val="99"/>
    <w:semiHidden/>
    <w:unhideWhenUsed/>
    <w:rsid w:val="00C1528D"/>
    <w:rPr>
      <w:sz w:val="20"/>
      <w:szCs w:val="18"/>
    </w:rPr>
  </w:style>
  <w:style w:type="character" w:customStyle="1" w:styleId="TestocommentoCarattere">
    <w:name w:val="Testo commento Carattere"/>
    <w:basedOn w:val="Carpredefinitoparagrafo"/>
    <w:link w:val="Testocommento"/>
    <w:uiPriority w:val="99"/>
    <w:semiHidden/>
    <w:rsid w:val="00C1528D"/>
    <w:rPr>
      <w:rFonts w:eastAsia="SimSun" w:cs="Mangal"/>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C1528D"/>
    <w:rPr>
      <w:b/>
      <w:bCs/>
    </w:rPr>
  </w:style>
  <w:style w:type="character" w:customStyle="1" w:styleId="SoggettocommentoCarattere">
    <w:name w:val="Soggetto commento Carattere"/>
    <w:basedOn w:val="TestocommentoCarattere"/>
    <w:link w:val="Soggettocommento"/>
    <w:uiPriority w:val="99"/>
    <w:semiHidden/>
    <w:rsid w:val="00C1528D"/>
    <w:rPr>
      <w:rFonts w:eastAsia="SimSun" w:cs="Mangal"/>
      <w:b/>
      <w:bCs/>
      <w:kern w:val="1"/>
      <w:szCs w:val="18"/>
      <w:lang w:eastAsia="zh-CN" w:bidi="hi-IN"/>
    </w:rPr>
  </w:style>
  <w:style w:type="paragraph" w:styleId="Testofumetto">
    <w:name w:val="Balloon Text"/>
    <w:basedOn w:val="Normale"/>
    <w:link w:val="TestofumettoCarattere"/>
    <w:uiPriority w:val="99"/>
    <w:semiHidden/>
    <w:unhideWhenUsed/>
    <w:rsid w:val="00C1528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C1528D"/>
    <w:rPr>
      <w:rFonts w:ascii="Segoe UI" w:eastAsia="SimSun" w:hAnsi="Segoe UI" w:cs="Mangal"/>
      <w:kern w:val="1"/>
      <w:sz w:val="18"/>
      <w:szCs w:val="16"/>
      <w:lang w:eastAsia="zh-CN" w:bidi="hi-IN"/>
    </w:rPr>
  </w:style>
  <w:style w:type="table" w:styleId="Grigliatabellachiara">
    <w:name w:val="Grid Table Light"/>
    <w:basedOn w:val="Tabellanormale"/>
    <w:uiPriority w:val="40"/>
    <w:rsid w:val="00CB40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zionenonrisolta1">
    <w:name w:val="Menzione non risolta1"/>
    <w:basedOn w:val="Carpredefinitoparagrafo"/>
    <w:uiPriority w:val="99"/>
    <w:semiHidden/>
    <w:unhideWhenUsed/>
    <w:rsid w:val="004D5F78"/>
    <w:rPr>
      <w:color w:val="605E5C"/>
      <w:shd w:val="clear" w:color="auto" w:fill="E1DFDD"/>
    </w:rPr>
  </w:style>
  <w:style w:type="paragraph" w:styleId="Paragrafoelenco">
    <w:name w:val="List Paragraph"/>
    <w:basedOn w:val="Normale"/>
    <w:uiPriority w:val="34"/>
    <w:qFormat/>
    <w:rsid w:val="00DF0A08"/>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96319">
      <w:bodyDiv w:val="1"/>
      <w:marLeft w:val="0"/>
      <w:marRight w:val="0"/>
      <w:marTop w:val="0"/>
      <w:marBottom w:val="0"/>
      <w:divBdr>
        <w:top w:val="none" w:sz="0" w:space="0" w:color="auto"/>
        <w:left w:val="none" w:sz="0" w:space="0" w:color="auto"/>
        <w:bottom w:val="none" w:sz="0" w:space="0" w:color="auto"/>
        <w:right w:val="none" w:sz="0" w:space="0" w:color="auto"/>
      </w:divBdr>
    </w:div>
    <w:div w:id="513422005">
      <w:bodyDiv w:val="1"/>
      <w:marLeft w:val="0"/>
      <w:marRight w:val="0"/>
      <w:marTop w:val="0"/>
      <w:marBottom w:val="0"/>
      <w:divBdr>
        <w:top w:val="none" w:sz="0" w:space="0" w:color="auto"/>
        <w:left w:val="none" w:sz="0" w:space="0" w:color="auto"/>
        <w:bottom w:val="none" w:sz="0" w:space="0" w:color="auto"/>
        <w:right w:val="none" w:sz="0" w:space="0" w:color="auto"/>
      </w:divBdr>
    </w:div>
    <w:div w:id="120101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6E601-0ABB-4A7B-B113-3E710844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3654</Words>
  <Characters>20832</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De Vito</dc:creator>
  <cp:keywords/>
  <cp:lastModifiedBy>aloisio@itae.cnr.it</cp:lastModifiedBy>
  <cp:revision>2</cp:revision>
  <cp:lastPrinted>2020-07-30T14:16:00Z</cp:lastPrinted>
  <dcterms:created xsi:type="dcterms:W3CDTF">2021-01-18T15:50:00Z</dcterms:created>
  <dcterms:modified xsi:type="dcterms:W3CDTF">2021-01-18T15:50:00Z</dcterms:modified>
</cp:coreProperties>
</file>