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F39C8" w14:textId="65430971" w:rsidR="00A361E1" w:rsidRPr="00562E76" w:rsidRDefault="00906ABB" w:rsidP="009307BB">
      <w:pPr>
        <w:pStyle w:val="Section-without-prespace"/>
      </w:pPr>
      <w:r>
        <w:rPr>
          <w:rFonts w:hint="eastAsia"/>
          <w:noProof/>
        </w:rPr>
        <mc:AlternateContent>
          <mc:Choice Requires="wps">
            <w:drawing>
              <wp:anchor distT="0" distB="0" distL="114300" distR="114300" simplePos="0" relativeHeight="251693056" behindDoc="1" locked="0" layoutInCell="1" allowOverlap="1" wp14:anchorId="2B8BE16C" wp14:editId="31C41C2D">
                <wp:simplePos x="0" y="0"/>
                <wp:positionH relativeFrom="column">
                  <wp:posOffset>0</wp:posOffset>
                </wp:positionH>
                <wp:positionV relativeFrom="paragraph">
                  <wp:posOffset>-635</wp:posOffset>
                </wp:positionV>
                <wp:extent cx="6134100" cy="5043170"/>
                <wp:effectExtent l="0" t="0" r="0" b="5080"/>
                <wp:wrapTight wrapText="bothSides">
                  <wp:wrapPolygon edited="0">
                    <wp:start x="0" y="0"/>
                    <wp:lineTo x="0" y="21540"/>
                    <wp:lineTo x="21533" y="21540"/>
                    <wp:lineTo x="21533" y="0"/>
                    <wp:lineTo x="0" y="0"/>
                  </wp:wrapPolygon>
                </wp:wrapTight>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504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9D376" w14:textId="092E17EA" w:rsidR="00243541" w:rsidRPr="00EF02C7" w:rsidRDefault="00243541" w:rsidP="00906ABB">
                            <w:pPr>
                              <w:jc w:val="center"/>
                              <w:textAlignment w:val="auto"/>
                              <w:rPr>
                                <w:b/>
                                <w:sz w:val="24"/>
                                <w:szCs w:val="24"/>
                                <w:lang w:val="en-GB" w:eastAsia="ko-KR"/>
                              </w:rPr>
                            </w:pPr>
                            <w:r>
                              <w:rPr>
                                <w:b/>
                                <w:sz w:val="24"/>
                                <w:szCs w:val="24"/>
                                <w:lang w:val="en-GB" w:eastAsia="ko-KR"/>
                              </w:rPr>
                              <w:t>E</w:t>
                            </w:r>
                            <w:r w:rsidRPr="00EF02C7">
                              <w:rPr>
                                <w:b/>
                                <w:sz w:val="24"/>
                                <w:szCs w:val="24"/>
                                <w:lang w:val="en-GB" w:eastAsia="ko-KR"/>
                              </w:rPr>
                              <w:t>xperimental Evaluation of a PTB Force-Balanced Piston Gauge</w:t>
                            </w:r>
                          </w:p>
                          <w:p w14:paraId="36E22884" w14:textId="7C5E2A61" w:rsidR="00243541" w:rsidRPr="00EF02C7" w:rsidRDefault="00243541" w:rsidP="00906ABB">
                            <w:pPr>
                              <w:spacing w:before="120" w:after="120"/>
                              <w:jc w:val="center"/>
                              <w:textAlignment w:val="auto"/>
                              <w:rPr>
                                <w:sz w:val="22"/>
                                <w:szCs w:val="22"/>
                                <w:lang w:val="en-GB" w:eastAsia="ko-KR"/>
                              </w:rPr>
                            </w:pPr>
                            <w:r w:rsidRPr="00EF02C7">
                              <w:rPr>
                                <w:sz w:val="22"/>
                                <w:szCs w:val="22"/>
                                <w:lang w:val="en-GB" w:eastAsia="ko-KR"/>
                              </w:rPr>
                              <w:t>Ahmed S. Hashad</w:t>
                            </w:r>
                            <w:proofErr w:type="gramStart"/>
                            <w:r w:rsidRPr="00EF02C7">
                              <w:rPr>
                                <w:sz w:val="22"/>
                                <w:szCs w:val="22"/>
                                <w:vertAlign w:val="superscript"/>
                                <w:lang w:val="en-GB" w:eastAsia="ko-KR"/>
                              </w:rPr>
                              <w:t>1,a</w:t>
                            </w:r>
                            <w:proofErr w:type="gramEnd"/>
                            <w:r w:rsidRPr="00EF02C7">
                              <w:rPr>
                                <w:sz w:val="22"/>
                                <w:szCs w:val="22"/>
                                <w:vertAlign w:val="superscript"/>
                                <w:lang w:val="en-GB" w:eastAsia="ko-KR"/>
                              </w:rPr>
                              <w:t>,</w:t>
                            </w:r>
                            <w:r w:rsidRPr="00BA6531">
                              <w:rPr>
                                <w:rFonts w:eastAsia="MS Mincho"/>
                                <w:vertAlign w:val="superscript"/>
                              </w:rPr>
                              <w:t>†</w:t>
                            </w:r>
                            <w:r w:rsidRPr="00EF02C7">
                              <w:rPr>
                                <w:sz w:val="22"/>
                                <w:szCs w:val="22"/>
                                <w:lang w:val="en-GB" w:eastAsia="ko-KR"/>
                              </w:rPr>
                              <w:t>, Wladimir Sabuga</w:t>
                            </w:r>
                            <w:r w:rsidRPr="00EF02C7">
                              <w:rPr>
                                <w:sz w:val="22"/>
                                <w:szCs w:val="22"/>
                                <w:vertAlign w:val="superscript"/>
                                <w:lang w:val="en-GB" w:eastAsia="ko-KR"/>
                              </w:rPr>
                              <w:t>2</w:t>
                            </w:r>
                            <w:r w:rsidRPr="00EF02C7">
                              <w:rPr>
                                <w:sz w:val="22"/>
                                <w:szCs w:val="22"/>
                                <w:lang w:val="en-GB" w:eastAsia="ko-KR"/>
                              </w:rPr>
                              <w:t>, Sven Ehlers</w:t>
                            </w:r>
                            <w:r w:rsidRPr="00EF02C7">
                              <w:rPr>
                                <w:sz w:val="22"/>
                                <w:szCs w:val="22"/>
                                <w:vertAlign w:val="superscript"/>
                                <w:lang w:val="en-GB" w:eastAsia="ko-KR"/>
                              </w:rPr>
                              <w:t>2</w:t>
                            </w:r>
                            <w:r w:rsidRPr="00EF02C7">
                              <w:rPr>
                                <w:sz w:val="22"/>
                                <w:szCs w:val="22"/>
                                <w:lang w:val="en-GB" w:eastAsia="ko-KR"/>
                              </w:rPr>
                              <w:t>, Thomas Bock</w:t>
                            </w:r>
                            <w:r w:rsidRPr="00EF02C7">
                              <w:rPr>
                                <w:sz w:val="22"/>
                                <w:szCs w:val="22"/>
                                <w:vertAlign w:val="superscript"/>
                                <w:lang w:val="en-GB" w:eastAsia="ko-KR"/>
                              </w:rPr>
                              <w:t>3</w:t>
                            </w:r>
                          </w:p>
                          <w:p w14:paraId="1D3910D8" w14:textId="40310087" w:rsidR="00243541" w:rsidRDefault="00243541" w:rsidP="00906ABB">
                            <w:pPr>
                              <w:jc w:val="center"/>
                              <w:textAlignment w:val="auto"/>
                              <w:rPr>
                                <w:lang w:val="en-GB" w:eastAsia="ko-KR"/>
                              </w:rPr>
                            </w:pPr>
                            <w:r w:rsidRPr="00EF02C7">
                              <w:rPr>
                                <w:vertAlign w:val="superscript"/>
                                <w:lang w:val="en-GB" w:eastAsia="ko-KR"/>
                              </w:rPr>
                              <w:t>1</w:t>
                            </w:r>
                            <w:r w:rsidRPr="00EF02C7">
                              <w:rPr>
                                <w:lang w:val="en-GB" w:eastAsia="ko-KR"/>
                              </w:rPr>
                              <w:t xml:space="preserve">National Institute for Standards (NIS), Giza, Egypt, </w:t>
                            </w:r>
                            <w:r w:rsidRPr="00EF02C7">
                              <w:rPr>
                                <w:vertAlign w:val="superscript"/>
                                <w:lang w:val="en-GB" w:eastAsia="ko-KR"/>
                              </w:rPr>
                              <w:t>a</w:t>
                            </w:r>
                            <w:r w:rsidRPr="00EF02C7">
                              <w:rPr>
                                <w:lang w:val="en-GB" w:eastAsia="ko-KR"/>
                              </w:rPr>
                              <w:t xml:space="preserve"> Guest researcher at PTB</w:t>
                            </w:r>
                          </w:p>
                          <w:p w14:paraId="3147ED7C" w14:textId="77777777" w:rsidR="00243541" w:rsidRPr="00EF02C7" w:rsidRDefault="00243541" w:rsidP="00906ABB">
                            <w:pPr>
                              <w:jc w:val="center"/>
                              <w:textAlignment w:val="auto"/>
                              <w:rPr>
                                <w:lang w:val="de-DE" w:eastAsia="ko-KR"/>
                              </w:rPr>
                            </w:pPr>
                            <w:r w:rsidRPr="00261E3A">
                              <w:rPr>
                                <w:lang w:val="de-DE"/>
                              </w:rPr>
                              <w:t>(</w:t>
                            </w:r>
                            <w:proofErr w:type="gramStart"/>
                            <w:r w:rsidRPr="00261E3A">
                              <w:rPr>
                                <w:lang w:val="de-DE"/>
                              </w:rPr>
                              <w:t>Tel :</w:t>
                            </w:r>
                            <w:proofErr w:type="gramEnd"/>
                            <w:r w:rsidRPr="00261E3A">
                              <w:rPr>
                                <w:lang w:val="de-DE"/>
                              </w:rPr>
                              <w:t xml:space="preserve"> +</w:t>
                            </w:r>
                            <w:r>
                              <w:rPr>
                                <w:lang w:val="de-DE"/>
                              </w:rPr>
                              <w:t>49-531-5923172</w:t>
                            </w:r>
                            <w:r w:rsidRPr="00261E3A">
                              <w:rPr>
                                <w:lang w:val="de-DE"/>
                              </w:rPr>
                              <w:t xml:space="preserve">; </w:t>
                            </w:r>
                            <w:proofErr w:type="spellStart"/>
                            <w:r w:rsidRPr="00261E3A">
                              <w:rPr>
                                <w:lang w:val="de-DE"/>
                              </w:rPr>
                              <w:t>E-mail</w:t>
                            </w:r>
                            <w:proofErr w:type="spellEnd"/>
                            <w:r w:rsidRPr="00261E3A">
                              <w:rPr>
                                <w:lang w:val="de-DE"/>
                              </w:rPr>
                              <w:t xml:space="preserve">: </w:t>
                            </w:r>
                            <w:hyperlink r:id="rId8" w:history="1">
                              <w:r w:rsidRPr="00EF02C7">
                                <w:rPr>
                                  <w:color w:val="0000FF" w:themeColor="hyperlink"/>
                                  <w:u w:val="single"/>
                                  <w:lang w:val="de-DE" w:eastAsia="ko-KR"/>
                                </w:rPr>
                                <w:t>ahmed_hashad84@hotmail.com</w:t>
                              </w:r>
                            </w:hyperlink>
                            <w:r w:rsidRPr="00EF02C7">
                              <w:rPr>
                                <w:color w:val="0000FF" w:themeColor="hyperlink"/>
                                <w:u w:val="single"/>
                                <w:lang w:val="de-DE" w:eastAsia="ko-KR"/>
                              </w:rPr>
                              <w:t>)</w:t>
                            </w:r>
                          </w:p>
                          <w:p w14:paraId="2F6E7EAC" w14:textId="77777777" w:rsidR="00243541" w:rsidRDefault="00243541" w:rsidP="00906ABB">
                            <w:pPr>
                              <w:jc w:val="center"/>
                              <w:textAlignment w:val="auto"/>
                              <w:rPr>
                                <w:lang w:val="de-DE" w:eastAsia="ko-KR"/>
                              </w:rPr>
                            </w:pPr>
                            <w:r w:rsidRPr="00EF02C7">
                              <w:rPr>
                                <w:vertAlign w:val="superscript"/>
                                <w:lang w:val="de-DE" w:eastAsia="ko-KR"/>
                              </w:rPr>
                              <w:t>2</w:t>
                            </w:r>
                            <w:r w:rsidRPr="00EF02C7">
                              <w:rPr>
                                <w:lang w:val="de-DE" w:eastAsia="ko-KR"/>
                              </w:rPr>
                              <w:t>Phys</w:t>
                            </w:r>
                            <w:r>
                              <w:rPr>
                                <w:lang w:val="de-DE" w:eastAsia="ko-KR"/>
                              </w:rPr>
                              <w:t>ikalisch</w:t>
                            </w:r>
                            <w:r w:rsidRPr="00EF02C7">
                              <w:rPr>
                                <w:lang w:val="de-DE" w:eastAsia="ko-KR"/>
                              </w:rPr>
                              <w:t>-Techn</w:t>
                            </w:r>
                            <w:r>
                              <w:rPr>
                                <w:lang w:val="de-DE" w:eastAsia="ko-KR"/>
                              </w:rPr>
                              <w:t>ische</w:t>
                            </w:r>
                            <w:r w:rsidRPr="00EF02C7">
                              <w:rPr>
                                <w:lang w:val="de-DE" w:eastAsia="ko-KR"/>
                              </w:rPr>
                              <w:t xml:space="preserve"> Bundesanstalt (PTB), Braunschweig, Germany</w:t>
                            </w:r>
                          </w:p>
                          <w:p w14:paraId="3CFE510B" w14:textId="77777777" w:rsidR="00243541" w:rsidRPr="00EF02C7" w:rsidRDefault="00243541" w:rsidP="00906ABB">
                            <w:pPr>
                              <w:jc w:val="center"/>
                              <w:textAlignment w:val="auto"/>
                              <w:rPr>
                                <w:lang w:val="de-DE" w:eastAsia="ko-KR"/>
                              </w:rPr>
                            </w:pPr>
                            <w:r w:rsidRPr="00261E3A">
                              <w:rPr>
                                <w:lang w:val="de-DE"/>
                              </w:rPr>
                              <w:t>(</w:t>
                            </w:r>
                            <w:proofErr w:type="gramStart"/>
                            <w:r w:rsidRPr="00261E3A">
                              <w:rPr>
                                <w:lang w:val="de-DE"/>
                              </w:rPr>
                              <w:t>Tel :</w:t>
                            </w:r>
                            <w:proofErr w:type="gramEnd"/>
                            <w:r w:rsidRPr="00261E3A">
                              <w:rPr>
                                <w:lang w:val="de-DE"/>
                              </w:rPr>
                              <w:t xml:space="preserve"> +</w:t>
                            </w:r>
                            <w:r>
                              <w:rPr>
                                <w:lang w:val="de-DE"/>
                              </w:rPr>
                              <w:t xml:space="preserve">49-531-5923230, </w:t>
                            </w:r>
                            <w:r w:rsidRPr="00261E3A">
                              <w:rPr>
                                <w:lang w:val="de-DE"/>
                              </w:rPr>
                              <w:t>+</w:t>
                            </w:r>
                            <w:r>
                              <w:rPr>
                                <w:lang w:val="de-DE"/>
                              </w:rPr>
                              <w:t>49-531-5923138;</w:t>
                            </w:r>
                            <w:r w:rsidRPr="00261E3A">
                              <w:rPr>
                                <w:lang w:val="de-DE"/>
                              </w:rPr>
                              <w:t xml:space="preserve"> </w:t>
                            </w:r>
                            <w:proofErr w:type="spellStart"/>
                            <w:r w:rsidRPr="00261E3A">
                              <w:rPr>
                                <w:lang w:val="de-DE"/>
                              </w:rPr>
                              <w:t>E-mail</w:t>
                            </w:r>
                            <w:r>
                              <w:rPr>
                                <w:lang w:val="de-DE"/>
                              </w:rPr>
                              <w:t>s</w:t>
                            </w:r>
                            <w:proofErr w:type="spellEnd"/>
                            <w:r w:rsidRPr="00261E3A">
                              <w:rPr>
                                <w:lang w:val="de-DE"/>
                              </w:rPr>
                              <w:t>:</w:t>
                            </w:r>
                            <w:r w:rsidRPr="00EF02C7">
                              <w:rPr>
                                <w:lang w:val="de-DE" w:eastAsia="ko-KR"/>
                              </w:rPr>
                              <w:t xml:space="preserve"> </w:t>
                            </w:r>
                            <w:hyperlink r:id="rId9" w:history="1">
                              <w:r w:rsidRPr="00EF02C7">
                                <w:rPr>
                                  <w:color w:val="0000FF" w:themeColor="hyperlink"/>
                                  <w:u w:val="single"/>
                                  <w:lang w:val="de-DE" w:eastAsia="ko-KR"/>
                                </w:rPr>
                                <w:t>wladimir.sabuga@ptb.de</w:t>
                              </w:r>
                            </w:hyperlink>
                            <w:r w:rsidRPr="00EF02C7">
                              <w:rPr>
                                <w:color w:val="0000FF" w:themeColor="hyperlink"/>
                                <w:u w:val="single"/>
                                <w:lang w:val="de-DE" w:eastAsia="ko-KR"/>
                              </w:rPr>
                              <w:t xml:space="preserve">, </w:t>
                            </w:r>
                            <w:hyperlink r:id="rId10" w:history="1">
                              <w:r w:rsidRPr="00EF02C7">
                                <w:rPr>
                                  <w:color w:val="0000FF" w:themeColor="hyperlink"/>
                                  <w:u w:val="single"/>
                                  <w:lang w:val="de-DE" w:eastAsia="ko-KR"/>
                                </w:rPr>
                                <w:t>sven.ehlers@ptb.de</w:t>
                              </w:r>
                            </w:hyperlink>
                            <w:r>
                              <w:rPr>
                                <w:color w:val="0000FF" w:themeColor="hyperlink"/>
                                <w:u w:val="single"/>
                                <w:lang w:val="de-DE" w:eastAsia="ko-KR"/>
                              </w:rPr>
                              <w:t>)</w:t>
                            </w:r>
                          </w:p>
                          <w:p w14:paraId="0377F48F" w14:textId="77777777" w:rsidR="00243541" w:rsidRDefault="00243541" w:rsidP="00906ABB">
                            <w:pPr>
                              <w:jc w:val="center"/>
                              <w:textAlignment w:val="auto"/>
                              <w:rPr>
                                <w:lang w:val="en-GB" w:eastAsia="ko-KR"/>
                              </w:rPr>
                            </w:pPr>
                            <w:r w:rsidRPr="00EF02C7">
                              <w:rPr>
                                <w:vertAlign w:val="superscript"/>
                                <w:lang w:val="en-GB" w:eastAsia="ko-KR"/>
                              </w:rPr>
                              <w:t>3</w:t>
                            </w:r>
                            <w:r w:rsidRPr="00EF02C7">
                              <w:rPr>
                                <w:lang w:val="en-GB" w:eastAsia="ko-KR"/>
                              </w:rPr>
                              <w:t>PTB, Berlin, Germany</w:t>
                            </w:r>
                          </w:p>
                          <w:p w14:paraId="2BEDB218" w14:textId="77777777" w:rsidR="00243541" w:rsidRPr="00F50A7C" w:rsidRDefault="00243541" w:rsidP="00906ABB">
                            <w:pPr>
                              <w:jc w:val="center"/>
                              <w:textAlignment w:val="auto"/>
                              <w:rPr>
                                <w:lang w:val="de-DE" w:eastAsia="ko-KR"/>
                              </w:rPr>
                            </w:pPr>
                            <w:r w:rsidRPr="00F50A7C">
                              <w:rPr>
                                <w:lang w:val="de-DE"/>
                              </w:rPr>
                              <w:t>(</w:t>
                            </w:r>
                            <w:proofErr w:type="gramStart"/>
                            <w:r w:rsidRPr="00F50A7C">
                              <w:rPr>
                                <w:lang w:val="de-DE"/>
                              </w:rPr>
                              <w:t>Tel :</w:t>
                            </w:r>
                            <w:proofErr w:type="gramEnd"/>
                            <w:r w:rsidRPr="00F50A7C">
                              <w:rPr>
                                <w:lang w:val="de-DE"/>
                              </w:rPr>
                              <w:t xml:space="preserve"> +49-</w:t>
                            </w:r>
                            <w:r w:rsidRPr="00F50A7C">
                              <w:rPr>
                                <w:lang w:val="de-DE" w:eastAsia="ko-KR"/>
                              </w:rPr>
                              <w:t>30-34817354</w:t>
                            </w:r>
                            <w:r w:rsidRPr="00F50A7C">
                              <w:rPr>
                                <w:lang w:val="de-DE"/>
                              </w:rPr>
                              <w:t xml:space="preserve">; </w:t>
                            </w:r>
                            <w:proofErr w:type="spellStart"/>
                            <w:r w:rsidRPr="00F50A7C">
                              <w:rPr>
                                <w:lang w:val="de-DE"/>
                              </w:rPr>
                              <w:t>E-mail</w:t>
                            </w:r>
                            <w:proofErr w:type="spellEnd"/>
                            <w:r w:rsidRPr="00F50A7C">
                              <w:rPr>
                                <w:lang w:val="de-DE"/>
                              </w:rPr>
                              <w:t>:</w:t>
                            </w:r>
                            <w:r w:rsidRPr="00D91F14">
                              <w:rPr>
                                <w:lang w:val="de-DE" w:eastAsia="ko-KR"/>
                              </w:rPr>
                              <w:t xml:space="preserve"> </w:t>
                            </w:r>
                            <w:hyperlink r:id="rId11" w:history="1">
                              <w:r w:rsidRPr="00F50A7C">
                                <w:rPr>
                                  <w:color w:val="0000FF" w:themeColor="hyperlink"/>
                                  <w:u w:val="single"/>
                                  <w:lang w:val="de-DE" w:eastAsia="ko-KR"/>
                                </w:rPr>
                                <w:t>thomas.bock@ptb.de</w:t>
                              </w:r>
                            </w:hyperlink>
                            <w:r w:rsidRPr="00F50A7C">
                              <w:rPr>
                                <w:color w:val="0000FF" w:themeColor="hyperlink"/>
                                <w:u w:val="single"/>
                                <w:lang w:val="de-DE" w:eastAsia="ko-KR"/>
                              </w:rPr>
                              <w:t>)</w:t>
                            </w:r>
                          </w:p>
                          <w:p w14:paraId="58D619A2" w14:textId="77777777" w:rsidR="00243541" w:rsidRPr="00D656C3" w:rsidRDefault="00243541" w:rsidP="00906ABB">
                            <w:pPr>
                              <w:textAlignment w:val="auto"/>
                              <w:rPr>
                                <w:lang w:val="de-DE" w:eastAsia="ko-KR"/>
                              </w:rPr>
                            </w:pPr>
                          </w:p>
                          <w:p w14:paraId="28A250AB" w14:textId="77777777" w:rsidR="00243541" w:rsidRPr="003A3A9C" w:rsidRDefault="00243541" w:rsidP="00906ABB">
                            <w:pPr>
                              <w:overflowPunct/>
                              <w:jc w:val="both"/>
                              <w:textAlignment w:val="auto"/>
                              <w:rPr>
                                <w:lang w:val="en-GB" w:eastAsia="ko-KR"/>
                              </w:rPr>
                            </w:pPr>
                            <w:r w:rsidRPr="003B4DA0">
                              <w:rPr>
                                <w:rStyle w:val="HeadingofAbstract"/>
                                <w:rFonts w:eastAsia="MS UI Gothic" w:hint="eastAsia"/>
                              </w:rPr>
                              <w:t>A</w:t>
                            </w:r>
                            <w:r w:rsidRPr="003B4DA0">
                              <w:rPr>
                                <w:rStyle w:val="HeadingofAbstract"/>
                                <w:rFonts w:eastAsia="MS UI Gothic"/>
                              </w:rPr>
                              <w:t>bstract</w:t>
                            </w:r>
                            <w:r w:rsidRPr="003B4DA0">
                              <w:rPr>
                                <w:rStyle w:val="HeadingofAbstract"/>
                                <w:rFonts w:eastAsia="MS UI Gothic" w:hint="eastAsia"/>
                              </w:rPr>
                              <w:t xml:space="preserve">: </w:t>
                            </w:r>
                            <w:r w:rsidRPr="003A3A9C">
                              <w:rPr>
                                <w:lang w:val="en-GB" w:eastAsia="ko-KR"/>
                              </w:rPr>
                              <w:t>Experimental methods using different pressure standards were applied to verify theoretical results obtained for the effective area of the piston-cylinder assembly (PCA) and the pressures measured with a Force-Balanced Piston Gauge (FPG)</w:t>
                            </w:r>
                            <w:r w:rsidRPr="003A3A9C">
                              <w:rPr>
                                <w:lang w:val="en-GB"/>
                              </w:rPr>
                              <w:t>. The theoretical effective area was based on PCA's dimensional properties defined by diameter, straightness and roundness measurements on the piston and cylinder, derived by gas flow modelling using principles of the Rarefied Gas Dynamics, and presented by two values, one obtained for absolute and the other for gauge pressure operation modes of the FPG, both having a relative standard uncertainty of 5</w:t>
                            </w:r>
                            <w:r w:rsidRPr="003A3A9C">
                              <w:rPr>
                                <w:lang w:val="en-GB"/>
                              </w:rPr>
                              <w:sym w:font="Symbol" w:char="F0D7"/>
                            </w:r>
                            <w:r w:rsidRPr="003A3A9C">
                              <w:rPr>
                                <w:lang w:val="en-GB"/>
                              </w:rPr>
                              <w:t>10</w:t>
                            </w:r>
                            <w:r w:rsidRPr="003A3A9C">
                              <w:rPr>
                                <w:vertAlign w:val="superscript"/>
                                <w:lang w:val="en-GB"/>
                              </w:rPr>
                              <w:t>-6</w:t>
                            </w:r>
                            <w:r w:rsidRPr="003A3A9C">
                              <w:rPr>
                                <w:lang w:val="en-GB" w:eastAsia="ko-KR"/>
                              </w:rPr>
                              <w:t xml:space="preserve">. </w:t>
                            </w:r>
                            <w:r w:rsidRPr="003A3A9C">
                              <w:rPr>
                                <w:lang w:val="en-GB"/>
                              </w:rPr>
                              <w:t>The experimental methods were selected aimed at covering the whole operating pressure range of the FPG from 3 Pa to 15 kPa. C</w:t>
                            </w:r>
                            <w:r w:rsidRPr="003A3A9C">
                              <w:rPr>
                                <w:lang w:val="en-GB" w:eastAsia="ko-KR"/>
                              </w:rPr>
                              <w:t xml:space="preserve">omparisons of the FPG with three different PTB pressure standards operated in different pressure ranges were performed using the cross-float method or by a direct comparison of the generated pressures. First, a Ruska pressure balance traceable to PTB primary pressure standards was applied to determine the FPG effective area in the range of 2 kPa to 15 kPa. Second, the FPG was compared with a mercury manometer, being a primary standard, in the pressure range of 1 </w:t>
                            </w:r>
                            <w:r>
                              <w:rPr>
                                <w:lang w:val="en-GB" w:eastAsia="ko-KR"/>
                              </w:rPr>
                              <w:t>k</w:t>
                            </w:r>
                            <w:r w:rsidRPr="003A3A9C">
                              <w:rPr>
                                <w:lang w:val="en-GB" w:eastAsia="ko-KR"/>
                              </w:rPr>
                              <w:t>Pa to 15 kPa. Third, the FPG pressures from 3 Pa up to 300 Pa were compared with pressures of a static expansion system (SES), being PTB primary vacuum standard. The two first comparisons against the pressure balance and the mercury manometer were performed in absolute and gauge pressure modes. The measurements against the SES were done in absolute pressure mode</w:t>
                            </w:r>
                            <w:r w:rsidRPr="00A7253A">
                              <w:rPr>
                                <w:lang w:val="en-GB" w:eastAsia="ko-KR"/>
                              </w:rPr>
                              <w:t xml:space="preserve"> </w:t>
                            </w:r>
                            <w:r w:rsidRPr="003A3A9C">
                              <w:rPr>
                                <w:lang w:val="en-GB" w:eastAsia="ko-KR"/>
                              </w:rPr>
                              <w:t>only. The experimental results obtained at pressures above 1 kPa were used to calculate the PCA effective area, which was compared with the theoretical one. Below 1 kPa, the FPG pressures were compared with those of the reference standards. For the theoretical and experimental effective area as well as for pressures generated by the FPG and the reference standards, all the results demonstrated full agreement within their uncertainties. Herewith, the FPG characterised as primary pressure standard is validated experimentally and can now be used for pressure measurements and calibrations in the pressure range from about 3 Pa to 15</w:t>
                            </w:r>
                            <w:r>
                              <w:rPr>
                                <w:lang w:val="en-GB" w:eastAsia="ko-KR"/>
                              </w:rPr>
                              <w:t> </w:t>
                            </w:r>
                            <w:r w:rsidRPr="003A3A9C">
                              <w:rPr>
                                <w:lang w:val="en-GB" w:eastAsia="ko-KR"/>
                              </w:rPr>
                              <w:t>kPa.</w:t>
                            </w:r>
                          </w:p>
                          <w:p w14:paraId="75FD6A6A" w14:textId="77777777" w:rsidR="00243541" w:rsidRDefault="00243541" w:rsidP="00906ABB">
                            <w:pPr>
                              <w:jc w:val="both"/>
                              <w:textAlignment w:val="auto"/>
                              <w:rPr>
                                <w:lang w:val="en-GB" w:eastAsia="ko-KR"/>
                              </w:rPr>
                            </w:pPr>
                          </w:p>
                          <w:p w14:paraId="15E84A7D" w14:textId="77777777" w:rsidR="00243541" w:rsidRDefault="00243541" w:rsidP="00906ABB">
                            <w:pPr>
                              <w:jc w:val="both"/>
                              <w:textAlignment w:val="auto"/>
                              <w:rPr>
                                <w:lang w:val="en-GB" w:eastAsia="ko-KR"/>
                              </w:rPr>
                            </w:pPr>
                          </w:p>
                          <w:p w14:paraId="0B7E5922" w14:textId="77777777" w:rsidR="00243541" w:rsidRPr="003A3A9C" w:rsidRDefault="00243541" w:rsidP="00906ABB">
                            <w:pPr>
                              <w:jc w:val="both"/>
                              <w:textAlignment w:val="auto"/>
                              <w:rPr>
                                <w:lang w:val="en-GB" w:eastAsia="ko-KR"/>
                              </w:rPr>
                            </w:pPr>
                            <w:r w:rsidRPr="003B4DA0">
                              <w:rPr>
                                <w:rStyle w:val="HeadingofKeywords"/>
                              </w:rPr>
                              <w:t>Keywords:</w:t>
                            </w:r>
                            <w:r>
                              <w:rPr>
                                <w:rStyle w:val="HeadingofKeywords"/>
                              </w:rPr>
                              <w:t xml:space="preserve"> </w:t>
                            </w:r>
                            <w:r w:rsidRPr="003A3A9C">
                              <w:rPr>
                                <w:lang w:val="en-GB" w:eastAsia="ko-KR"/>
                              </w:rPr>
                              <w:t>FPG, cross floating, effective area, pressure standard, experimental verification</w:t>
                            </w:r>
                            <w:r>
                              <w:rPr>
                                <w:lang w:val="en-GB" w:eastAsia="ko-KR"/>
                              </w:rPr>
                              <w:t>.</w:t>
                            </w:r>
                          </w:p>
                          <w:p w14:paraId="32A6D071" w14:textId="77777777" w:rsidR="00243541" w:rsidRDefault="00243541" w:rsidP="00906ABB">
                            <w:pPr>
                              <w:pStyle w:val="BodyText"/>
                              <w:rPr>
                                <w:rStyle w:val="HeadingofKeyword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BE16C" id="_x0000_t202" coordsize="21600,21600" o:spt="202" path="m,l,21600r21600,l21600,xe">
                <v:stroke joinstyle="miter"/>
                <v:path gradientshapeok="t" o:connecttype="rect"/>
              </v:shapetype>
              <v:shape id="Text Box 10" o:spid="_x0000_s1026" type="#_x0000_t202" style="position:absolute;left:0;text-align:left;margin-left:0;margin-top:-.05pt;width:483pt;height:397.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" filled="f" stroked="f">
                <v:textbox inset="0,0,0,0">
                  <w:txbxContent>
                    <w:p w14:paraId="4069D376" w14:textId="092E17EA" w:rsidR="00243541" w:rsidRPr="00EF02C7" w:rsidRDefault="00243541" w:rsidP="00906ABB">
                      <w:pPr>
                        <w:jc w:val="center"/>
                        <w:textAlignment w:val="auto"/>
                        <w:rPr>
                          <w:b/>
                          <w:sz w:val="24"/>
                          <w:szCs w:val="24"/>
                          <w:lang w:val="en-GB" w:eastAsia="ko-KR"/>
                        </w:rPr>
                      </w:pPr>
                      <w:r>
                        <w:rPr>
                          <w:b/>
                          <w:sz w:val="24"/>
                          <w:szCs w:val="24"/>
                          <w:lang w:val="en-GB" w:eastAsia="ko-KR"/>
                        </w:rPr>
                        <w:t>E</w:t>
                      </w:r>
                      <w:r w:rsidRPr="00EF02C7">
                        <w:rPr>
                          <w:b/>
                          <w:sz w:val="24"/>
                          <w:szCs w:val="24"/>
                          <w:lang w:val="en-GB" w:eastAsia="ko-KR"/>
                        </w:rPr>
                        <w:t>xperimental Evaluation of a PTB Force-Balanced Piston Gauge</w:t>
                      </w:r>
                    </w:p>
                    <w:p w14:paraId="36E22884" w14:textId="7C5E2A61" w:rsidR="00243541" w:rsidRPr="00EF02C7" w:rsidRDefault="00243541" w:rsidP="00906ABB">
                      <w:pPr>
                        <w:spacing w:before="120" w:after="120"/>
                        <w:jc w:val="center"/>
                        <w:textAlignment w:val="auto"/>
                        <w:rPr>
                          <w:sz w:val="22"/>
                          <w:szCs w:val="22"/>
                          <w:lang w:val="en-GB" w:eastAsia="ko-KR"/>
                        </w:rPr>
                      </w:pPr>
                      <w:r w:rsidRPr="00EF02C7">
                        <w:rPr>
                          <w:sz w:val="22"/>
                          <w:szCs w:val="22"/>
                          <w:lang w:val="en-GB" w:eastAsia="ko-KR"/>
                        </w:rPr>
                        <w:t>Ahmed S. Hashad</w:t>
                      </w:r>
                      <w:proofErr w:type="gramStart"/>
                      <w:r w:rsidRPr="00EF02C7">
                        <w:rPr>
                          <w:sz w:val="22"/>
                          <w:szCs w:val="22"/>
                          <w:vertAlign w:val="superscript"/>
                          <w:lang w:val="en-GB" w:eastAsia="ko-KR"/>
                        </w:rPr>
                        <w:t>1,a</w:t>
                      </w:r>
                      <w:proofErr w:type="gramEnd"/>
                      <w:r w:rsidRPr="00EF02C7">
                        <w:rPr>
                          <w:sz w:val="22"/>
                          <w:szCs w:val="22"/>
                          <w:vertAlign w:val="superscript"/>
                          <w:lang w:val="en-GB" w:eastAsia="ko-KR"/>
                        </w:rPr>
                        <w:t>,</w:t>
                      </w:r>
                      <w:r w:rsidRPr="00BA6531">
                        <w:rPr>
                          <w:rFonts w:eastAsia="MS Mincho"/>
                          <w:vertAlign w:val="superscript"/>
                        </w:rPr>
                        <w:t>†</w:t>
                      </w:r>
                      <w:r w:rsidRPr="00EF02C7">
                        <w:rPr>
                          <w:sz w:val="22"/>
                          <w:szCs w:val="22"/>
                          <w:lang w:val="en-GB" w:eastAsia="ko-KR"/>
                        </w:rPr>
                        <w:t>, Wladimir Sabuga</w:t>
                      </w:r>
                      <w:r w:rsidRPr="00EF02C7">
                        <w:rPr>
                          <w:sz w:val="22"/>
                          <w:szCs w:val="22"/>
                          <w:vertAlign w:val="superscript"/>
                          <w:lang w:val="en-GB" w:eastAsia="ko-KR"/>
                        </w:rPr>
                        <w:t>2</w:t>
                      </w:r>
                      <w:r w:rsidRPr="00EF02C7">
                        <w:rPr>
                          <w:sz w:val="22"/>
                          <w:szCs w:val="22"/>
                          <w:lang w:val="en-GB" w:eastAsia="ko-KR"/>
                        </w:rPr>
                        <w:t>, Sven Ehlers</w:t>
                      </w:r>
                      <w:r w:rsidRPr="00EF02C7">
                        <w:rPr>
                          <w:sz w:val="22"/>
                          <w:szCs w:val="22"/>
                          <w:vertAlign w:val="superscript"/>
                          <w:lang w:val="en-GB" w:eastAsia="ko-KR"/>
                        </w:rPr>
                        <w:t>2</w:t>
                      </w:r>
                      <w:r w:rsidRPr="00EF02C7">
                        <w:rPr>
                          <w:sz w:val="22"/>
                          <w:szCs w:val="22"/>
                          <w:lang w:val="en-GB" w:eastAsia="ko-KR"/>
                        </w:rPr>
                        <w:t>, Thomas Bock</w:t>
                      </w:r>
                      <w:r w:rsidRPr="00EF02C7">
                        <w:rPr>
                          <w:sz w:val="22"/>
                          <w:szCs w:val="22"/>
                          <w:vertAlign w:val="superscript"/>
                          <w:lang w:val="en-GB" w:eastAsia="ko-KR"/>
                        </w:rPr>
                        <w:t>3</w:t>
                      </w:r>
                    </w:p>
                    <w:p w14:paraId="1D3910D8" w14:textId="40310087" w:rsidR="00243541" w:rsidRDefault="00243541" w:rsidP="00906ABB">
                      <w:pPr>
                        <w:jc w:val="center"/>
                        <w:textAlignment w:val="auto"/>
                        <w:rPr>
                          <w:lang w:val="en-GB" w:eastAsia="ko-KR"/>
                        </w:rPr>
                      </w:pPr>
                      <w:r w:rsidRPr="00EF02C7">
                        <w:rPr>
                          <w:vertAlign w:val="superscript"/>
                          <w:lang w:val="en-GB" w:eastAsia="ko-KR"/>
                        </w:rPr>
                        <w:t>1</w:t>
                      </w:r>
                      <w:r w:rsidRPr="00EF02C7">
                        <w:rPr>
                          <w:lang w:val="en-GB" w:eastAsia="ko-KR"/>
                        </w:rPr>
                        <w:t xml:space="preserve">National Institute for Standards (NIS), Giza, Egypt, </w:t>
                      </w:r>
                      <w:r w:rsidRPr="00EF02C7">
                        <w:rPr>
                          <w:vertAlign w:val="superscript"/>
                          <w:lang w:val="en-GB" w:eastAsia="ko-KR"/>
                        </w:rPr>
                        <w:t>a</w:t>
                      </w:r>
                      <w:r w:rsidRPr="00EF02C7">
                        <w:rPr>
                          <w:lang w:val="en-GB" w:eastAsia="ko-KR"/>
                        </w:rPr>
                        <w:t xml:space="preserve"> Guest researcher at PTB</w:t>
                      </w:r>
                    </w:p>
                    <w:p w14:paraId="3147ED7C" w14:textId="77777777" w:rsidR="00243541" w:rsidRPr="00EF02C7" w:rsidRDefault="00243541" w:rsidP="00906ABB">
                      <w:pPr>
                        <w:jc w:val="center"/>
                        <w:textAlignment w:val="auto"/>
                        <w:rPr>
                          <w:lang w:val="de-DE" w:eastAsia="ko-KR"/>
                        </w:rPr>
                      </w:pPr>
                      <w:r w:rsidRPr="00261E3A">
                        <w:rPr>
                          <w:lang w:val="de-DE"/>
                        </w:rPr>
                        <w:t>(</w:t>
                      </w:r>
                      <w:proofErr w:type="gramStart"/>
                      <w:r w:rsidRPr="00261E3A">
                        <w:rPr>
                          <w:lang w:val="de-DE"/>
                        </w:rPr>
                        <w:t>Tel :</w:t>
                      </w:r>
                      <w:proofErr w:type="gramEnd"/>
                      <w:r w:rsidRPr="00261E3A">
                        <w:rPr>
                          <w:lang w:val="de-DE"/>
                        </w:rPr>
                        <w:t xml:space="preserve"> +</w:t>
                      </w:r>
                      <w:r>
                        <w:rPr>
                          <w:lang w:val="de-DE"/>
                        </w:rPr>
                        <w:t>49-531-5923172</w:t>
                      </w:r>
                      <w:r w:rsidRPr="00261E3A">
                        <w:rPr>
                          <w:lang w:val="de-DE"/>
                        </w:rPr>
                        <w:t xml:space="preserve">; </w:t>
                      </w:r>
                      <w:proofErr w:type="spellStart"/>
                      <w:r w:rsidRPr="00261E3A">
                        <w:rPr>
                          <w:lang w:val="de-DE"/>
                        </w:rPr>
                        <w:t>E-mail</w:t>
                      </w:r>
                      <w:proofErr w:type="spellEnd"/>
                      <w:r w:rsidRPr="00261E3A">
                        <w:rPr>
                          <w:lang w:val="de-DE"/>
                        </w:rPr>
                        <w:t xml:space="preserve">: </w:t>
                      </w:r>
                      <w:hyperlink r:id="rId12" w:history="1">
                        <w:r w:rsidRPr="00EF02C7">
                          <w:rPr>
                            <w:color w:val="0000FF" w:themeColor="hyperlink"/>
                            <w:u w:val="single"/>
                            <w:lang w:val="de-DE" w:eastAsia="ko-KR"/>
                          </w:rPr>
                          <w:t>ahmed_hashad84@hotmail.com</w:t>
                        </w:r>
                      </w:hyperlink>
                      <w:r w:rsidRPr="00EF02C7">
                        <w:rPr>
                          <w:color w:val="0000FF" w:themeColor="hyperlink"/>
                          <w:u w:val="single"/>
                          <w:lang w:val="de-DE" w:eastAsia="ko-KR"/>
                        </w:rPr>
                        <w:t>)</w:t>
                      </w:r>
                    </w:p>
                    <w:p w14:paraId="2F6E7EAC" w14:textId="77777777" w:rsidR="00243541" w:rsidRDefault="00243541" w:rsidP="00906ABB">
                      <w:pPr>
                        <w:jc w:val="center"/>
                        <w:textAlignment w:val="auto"/>
                        <w:rPr>
                          <w:lang w:val="de-DE" w:eastAsia="ko-KR"/>
                        </w:rPr>
                      </w:pPr>
                      <w:r w:rsidRPr="00EF02C7">
                        <w:rPr>
                          <w:vertAlign w:val="superscript"/>
                          <w:lang w:val="de-DE" w:eastAsia="ko-KR"/>
                        </w:rPr>
                        <w:t>2</w:t>
                      </w:r>
                      <w:r w:rsidRPr="00EF02C7">
                        <w:rPr>
                          <w:lang w:val="de-DE" w:eastAsia="ko-KR"/>
                        </w:rPr>
                        <w:t>Phys</w:t>
                      </w:r>
                      <w:r>
                        <w:rPr>
                          <w:lang w:val="de-DE" w:eastAsia="ko-KR"/>
                        </w:rPr>
                        <w:t>ikalisch</w:t>
                      </w:r>
                      <w:r w:rsidRPr="00EF02C7">
                        <w:rPr>
                          <w:lang w:val="de-DE" w:eastAsia="ko-KR"/>
                        </w:rPr>
                        <w:t>-Techn</w:t>
                      </w:r>
                      <w:r>
                        <w:rPr>
                          <w:lang w:val="de-DE" w:eastAsia="ko-KR"/>
                        </w:rPr>
                        <w:t>ische</w:t>
                      </w:r>
                      <w:r w:rsidRPr="00EF02C7">
                        <w:rPr>
                          <w:lang w:val="de-DE" w:eastAsia="ko-KR"/>
                        </w:rPr>
                        <w:t xml:space="preserve"> Bundesanstalt (PTB), Braunschweig, Germany</w:t>
                      </w:r>
                    </w:p>
                    <w:p w14:paraId="3CFE510B" w14:textId="77777777" w:rsidR="00243541" w:rsidRPr="00EF02C7" w:rsidRDefault="00243541" w:rsidP="00906ABB">
                      <w:pPr>
                        <w:jc w:val="center"/>
                        <w:textAlignment w:val="auto"/>
                        <w:rPr>
                          <w:lang w:val="de-DE" w:eastAsia="ko-KR"/>
                        </w:rPr>
                      </w:pPr>
                      <w:r w:rsidRPr="00261E3A">
                        <w:rPr>
                          <w:lang w:val="de-DE"/>
                        </w:rPr>
                        <w:t>(</w:t>
                      </w:r>
                      <w:proofErr w:type="gramStart"/>
                      <w:r w:rsidRPr="00261E3A">
                        <w:rPr>
                          <w:lang w:val="de-DE"/>
                        </w:rPr>
                        <w:t>Tel :</w:t>
                      </w:r>
                      <w:proofErr w:type="gramEnd"/>
                      <w:r w:rsidRPr="00261E3A">
                        <w:rPr>
                          <w:lang w:val="de-DE"/>
                        </w:rPr>
                        <w:t xml:space="preserve"> +</w:t>
                      </w:r>
                      <w:r>
                        <w:rPr>
                          <w:lang w:val="de-DE"/>
                        </w:rPr>
                        <w:t xml:space="preserve">49-531-5923230, </w:t>
                      </w:r>
                      <w:r w:rsidRPr="00261E3A">
                        <w:rPr>
                          <w:lang w:val="de-DE"/>
                        </w:rPr>
                        <w:t>+</w:t>
                      </w:r>
                      <w:r>
                        <w:rPr>
                          <w:lang w:val="de-DE"/>
                        </w:rPr>
                        <w:t>49-531-5923138;</w:t>
                      </w:r>
                      <w:r w:rsidRPr="00261E3A">
                        <w:rPr>
                          <w:lang w:val="de-DE"/>
                        </w:rPr>
                        <w:t xml:space="preserve"> </w:t>
                      </w:r>
                      <w:proofErr w:type="spellStart"/>
                      <w:r w:rsidRPr="00261E3A">
                        <w:rPr>
                          <w:lang w:val="de-DE"/>
                        </w:rPr>
                        <w:t>E-mail</w:t>
                      </w:r>
                      <w:r>
                        <w:rPr>
                          <w:lang w:val="de-DE"/>
                        </w:rPr>
                        <w:t>s</w:t>
                      </w:r>
                      <w:proofErr w:type="spellEnd"/>
                      <w:r w:rsidRPr="00261E3A">
                        <w:rPr>
                          <w:lang w:val="de-DE"/>
                        </w:rPr>
                        <w:t>:</w:t>
                      </w:r>
                      <w:r w:rsidRPr="00EF02C7">
                        <w:rPr>
                          <w:lang w:val="de-DE" w:eastAsia="ko-KR"/>
                        </w:rPr>
                        <w:t xml:space="preserve"> </w:t>
                      </w:r>
                      <w:hyperlink r:id="rId13" w:history="1">
                        <w:r w:rsidRPr="00EF02C7">
                          <w:rPr>
                            <w:color w:val="0000FF" w:themeColor="hyperlink"/>
                            <w:u w:val="single"/>
                            <w:lang w:val="de-DE" w:eastAsia="ko-KR"/>
                          </w:rPr>
                          <w:t>wladimir.sabuga@ptb.de</w:t>
                        </w:r>
                      </w:hyperlink>
                      <w:r w:rsidRPr="00EF02C7">
                        <w:rPr>
                          <w:color w:val="0000FF" w:themeColor="hyperlink"/>
                          <w:u w:val="single"/>
                          <w:lang w:val="de-DE" w:eastAsia="ko-KR"/>
                        </w:rPr>
                        <w:t xml:space="preserve">, </w:t>
                      </w:r>
                      <w:hyperlink r:id="rId14" w:history="1">
                        <w:r w:rsidRPr="00EF02C7">
                          <w:rPr>
                            <w:color w:val="0000FF" w:themeColor="hyperlink"/>
                            <w:u w:val="single"/>
                            <w:lang w:val="de-DE" w:eastAsia="ko-KR"/>
                          </w:rPr>
                          <w:t>sven.ehlers@ptb.de</w:t>
                        </w:r>
                      </w:hyperlink>
                      <w:r>
                        <w:rPr>
                          <w:color w:val="0000FF" w:themeColor="hyperlink"/>
                          <w:u w:val="single"/>
                          <w:lang w:val="de-DE" w:eastAsia="ko-KR"/>
                        </w:rPr>
                        <w:t>)</w:t>
                      </w:r>
                    </w:p>
                    <w:p w14:paraId="0377F48F" w14:textId="77777777" w:rsidR="00243541" w:rsidRDefault="00243541" w:rsidP="00906ABB">
                      <w:pPr>
                        <w:jc w:val="center"/>
                        <w:textAlignment w:val="auto"/>
                        <w:rPr>
                          <w:lang w:val="en-GB" w:eastAsia="ko-KR"/>
                        </w:rPr>
                      </w:pPr>
                      <w:r w:rsidRPr="00EF02C7">
                        <w:rPr>
                          <w:vertAlign w:val="superscript"/>
                          <w:lang w:val="en-GB" w:eastAsia="ko-KR"/>
                        </w:rPr>
                        <w:t>3</w:t>
                      </w:r>
                      <w:r w:rsidRPr="00EF02C7">
                        <w:rPr>
                          <w:lang w:val="en-GB" w:eastAsia="ko-KR"/>
                        </w:rPr>
                        <w:t>PTB, Berlin, Germany</w:t>
                      </w:r>
                    </w:p>
                    <w:p w14:paraId="2BEDB218" w14:textId="77777777" w:rsidR="00243541" w:rsidRPr="00F50A7C" w:rsidRDefault="00243541" w:rsidP="00906ABB">
                      <w:pPr>
                        <w:jc w:val="center"/>
                        <w:textAlignment w:val="auto"/>
                        <w:rPr>
                          <w:lang w:val="de-DE" w:eastAsia="ko-KR"/>
                        </w:rPr>
                      </w:pPr>
                      <w:r w:rsidRPr="00F50A7C">
                        <w:rPr>
                          <w:lang w:val="de-DE"/>
                        </w:rPr>
                        <w:t>(</w:t>
                      </w:r>
                      <w:proofErr w:type="gramStart"/>
                      <w:r w:rsidRPr="00F50A7C">
                        <w:rPr>
                          <w:lang w:val="de-DE"/>
                        </w:rPr>
                        <w:t>Tel :</w:t>
                      </w:r>
                      <w:proofErr w:type="gramEnd"/>
                      <w:r w:rsidRPr="00F50A7C">
                        <w:rPr>
                          <w:lang w:val="de-DE"/>
                        </w:rPr>
                        <w:t xml:space="preserve"> +49-</w:t>
                      </w:r>
                      <w:r w:rsidRPr="00F50A7C">
                        <w:rPr>
                          <w:lang w:val="de-DE" w:eastAsia="ko-KR"/>
                        </w:rPr>
                        <w:t>30-34817354</w:t>
                      </w:r>
                      <w:r w:rsidRPr="00F50A7C">
                        <w:rPr>
                          <w:lang w:val="de-DE"/>
                        </w:rPr>
                        <w:t xml:space="preserve">; </w:t>
                      </w:r>
                      <w:proofErr w:type="spellStart"/>
                      <w:r w:rsidRPr="00F50A7C">
                        <w:rPr>
                          <w:lang w:val="de-DE"/>
                        </w:rPr>
                        <w:t>E-mail</w:t>
                      </w:r>
                      <w:proofErr w:type="spellEnd"/>
                      <w:r w:rsidRPr="00F50A7C">
                        <w:rPr>
                          <w:lang w:val="de-DE"/>
                        </w:rPr>
                        <w:t>:</w:t>
                      </w:r>
                      <w:r w:rsidRPr="00D91F14">
                        <w:rPr>
                          <w:lang w:val="de-DE" w:eastAsia="ko-KR"/>
                        </w:rPr>
                        <w:t xml:space="preserve"> </w:t>
                      </w:r>
                      <w:hyperlink r:id="rId15" w:history="1">
                        <w:r w:rsidRPr="00F50A7C">
                          <w:rPr>
                            <w:color w:val="0000FF" w:themeColor="hyperlink"/>
                            <w:u w:val="single"/>
                            <w:lang w:val="de-DE" w:eastAsia="ko-KR"/>
                          </w:rPr>
                          <w:t>thomas.bock@ptb.de</w:t>
                        </w:r>
                      </w:hyperlink>
                      <w:r w:rsidRPr="00F50A7C">
                        <w:rPr>
                          <w:color w:val="0000FF" w:themeColor="hyperlink"/>
                          <w:u w:val="single"/>
                          <w:lang w:val="de-DE" w:eastAsia="ko-KR"/>
                        </w:rPr>
                        <w:t>)</w:t>
                      </w:r>
                    </w:p>
                    <w:p w14:paraId="58D619A2" w14:textId="77777777" w:rsidR="00243541" w:rsidRPr="00D656C3" w:rsidRDefault="00243541" w:rsidP="00906ABB">
                      <w:pPr>
                        <w:textAlignment w:val="auto"/>
                        <w:rPr>
                          <w:lang w:val="de-DE" w:eastAsia="ko-KR"/>
                        </w:rPr>
                      </w:pPr>
                    </w:p>
                    <w:p w14:paraId="28A250AB" w14:textId="77777777" w:rsidR="00243541" w:rsidRPr="003A3A9C" w:rsidRDefault="00243541" w:rsidP="00906ABB">
                      <w:pPr>
                        <w:overflowPunct/>
                        <w:jc w:val="both"/>
                        <w:textAlignment w:val="auto"/>
                        <w:rPr>
                          <w:lang w:val="en-GB" w:eastAsia="ko-KR"/>
                        </w:rPr>
                      </w:pPr>
                      <w:r w:rsidRPr="003B4DA0">
                        <w:rPr>
                          <w:rStyle w:val="HeadingofAbstract"/>
                          <w:rFonts w:eastAsia="MS UI Gothic" w:hint="eastAsia"/>
                        </w:rPr>
                        <w:t>A</w:t>
                      </w:r>
                      <w:r w:rsidRPr="003B4DA0">
                        <w:rPr>
                          <w:rStyle w:val="HeadingofAbstract"/>
                          <w:rFonts w:eastAsia="MS UI Gothic"/>
                        </w:rPr>
                        <w:t>bstract</w:t>
                      </w:r>
                      <w:r w:rsidRPr="003B4DA0">
                        <w:rPr>
                          <w:rStyle w:val="HeadingofAbstract"/>
                          <w:rFonts w:eastAsia="MS UI Gothic" w:hint="eastAsia"/>
                        </w:rPr>
                        <w:t xml:space="preserve">: </w:t>
                      </w:r>
                      <w:r w:rsidRPr="003A3A9C">
                        <w:rPr>
                          <w:lang w:val="en-GB" w:eastAsia="ko-KR"/>
                        </w:rPr>
                        <w:t>Experimental methods using different pressure standards were applied to verify theoretical results obtained for the effective area of the piston-cylinder assembly (PCA) and the pressures measured with a Force-Balanced Piston Gauge (FPG)</w:t>
                      </w:r>
                      <w:r w:rsidRPr="003A3A9C">
                        <w:rPr>
                          <w:lang w:val="en-GB"/>
                        </w:rPr>
                        <w:t>. The theoretical effective area was based on PCA's dimensional properties defined by diameter, straightness and roundness measurements on the piston and cylinder, derived by gas flow modelling using principles of the Rarefied Gas Dynamics, and presented by two values, one obtained for absolute and the other for gauge pressure operation modes of the FPG, both having a relative standard uncertainty of 5</w:t>
                      </w:r>
                      <w:r w:rsidRPr="003A3A9C">
                        <w:rPr>
                          <w:lang w:val="en-GB"/>
                        </w:rPr>
                        <w:sym w:font="Symbol" w:char="F0D7"/>
                      </w:r>
                      <w:r w:rsidRPr="003A3A9C">
                        <w:rPr>
                          <w:lang w:val="en-GB"/>
                        </w:rPr>
                        <w:t>10</w:t>
                      </w:r>
                      <w:r w:rsidRPr="003A3A9C">
                        <w:rPr>
                          <w:vertAlign w:val="superscript"/>
                          <w:lang w:val="en-GB"/>
                        </w:rPr>
                        <w:t>-6</w:t>
                      </w:r>
                      <w:r w:rsidRPr="003A3A9C">
                        <w:rPr>
                          <w:lang w:val="en-GB" w:eastAsia="ko-KR"/>
                        </w:rPr>
                        <w:t xml:space="preserve">. </w:t>
                      </w:r>
                      <w:r w:rsidRPr="003A3A9C">
                        <w:rPr>
                          <w:lang w:val="en-GB"/>
                        </w:rPr>
                        <w:t>The experimental methods were selected aimed at covering the whole operating pressure range of the FPG from 3 Pa to 15 kPa. C</w:t>
                      </w:r>
                      <w:r w:rsidRPr="003A3A9C">
                        <w:rPr>
                          <w:lang w:val="en-GB" w:eastAsia="ko-KR"/>
                        </w:rPr>
                        <w:t xml:space="preserve">omparisons of the FPG with three different PTB pressure standards operated in different pressure ranges were performed using the cross-float method or by a direct comparison of the generated pressures. First, a Ruska pressure balance traceable to PTB primary pressure standards was applied to determine the FPG effective area in the range of 2 kPa to 15 kPa. Second, the FPG was compared with a mercury manometer, being a primary standard, in the pressure range of 1 </w:t>
                      </w:r>
                      <w:r>
                        <w:rPr>
                          <w:lang w:val="en-GB" w:eastAsia="ko-KR"/>
                        </w:rPr>
                        <w:t>k</w:t>
                      </w:r>
                      <w:r w:rsidRPr="003A3A9C">
                        <w:rPr>
                          <w:lang w:val="en-GB" w:eastAsia="ko-KR"/>
                        </w:rPr>
                        <w:t>Pa to 15 kPa. Third, the FPG pressures from 3 Pa up to 300 Pa were compared with pressures of a static expansion system (SES), being PTB primary vacuum standard. The two first comparisons against the pressure balance and the mercury manometer were performed in absolute and gauge pressure modes. The measurements against the SES were done in absolute pressure mode</w:t>
                      </w:r>
                      <w:r w:rsidRPr="00A7253A">
                        <w:rPr>
                          <w:lang w:val="en-GB" w:eastAsia="ko-KR"/>
                        </w:rPr>
                        <w:t xml:space="preserve"> </w:t>
                      </w:r>
                      <w:r w:rsidRPr="003A3A9C">
                        <w:rPr>
                          <w:lang w:val="en-GB" w:eastAsia="ko-KR"/>
                        </w:rPr>
                        <w:t>only. The experimental results obtained at pressures above 1 kPa were used to calculate the PCA effective area, which was compared with the theoretical one. Below 1 kPa, the FPG pressures were compared with those of the reference standards. For the theoretical and experimental effective area as well as for pressures generated by the FPG and the reference standards, all the results demonstrated full agreement within their uncertainties. Herewith, the FPG characterised as primary pressure standard is validated experimentally and can now be used for pressure measurements and calibrations in the pressure range from about 3 Pa to 15</w:t>
                      </w:r>
                      <w:r>
                        <w:rPr>
                          <w:lang w:val="en-GB" w:eastAsia="ko-KR"/>
                        </w:rPr>
                        <w:t> </w:t>
                      </w:r>
                      <w:r w:rsidRPr="003A3A9C">
                        <w:rPr>
                          <w:lang w:val="en-GB" w:eastAsia="ko-KR"/>
                        </w:rPr>
                        <w:t>kPa.</w:t>
                      </w:r>
                    </w:p>
                    <w:p w14:paraId="75FD6A6A" w14:textId="77777777" w:rsidR="00243541" w:rsidRDefault="00243541" w:rsidP="00906ABB">
                      <w:pPr>
                        <w:jc w:val="both"/>
                        <w:textAlignment w:val="auto"/>
                        <w:rPr>
                          <w:lang w:val="en-GB" w:eastAsia="ko-KR"/>
                        </w:rPr>
                      </w:pPr>
                    </w:p>
                    <w:p w14:paraId="15E84A7D" w14:textId="77777777" w:rsidR="00243541" w:rsidRDefault="00243541" w:rsidP="00906ABB">
                      <w:pPr>
                        <w:jc w:val="both"/>
                        <w:textAlignment w:val="auto"/>
                        <w:rPr>
                          <w:lang w:val="en-GB" w:eastAsia="ko-KR"/>
                        </w:rPr>
                      </w:pPr>
                    </w:p>
                    <w:p w14:paraId="0B7E5922" w14:textId="77777777" w:rsidR="00243541" w:rsidRPr="003A3A9C" w:rsidRDefault="00243541" w:rsidP="00906ABB">
                      <w:pPr>
                        <w:jc w:val="both"/>
                        <w:textAlignment w:val="auto"/>
                        <w:rPr>
                          <w:lang w:val="en-GB" w:eastAsia="ko-KR"/>
                        </w:rPr>
                      </w:pPr>
                      <w:r w:rsidRPr="003B4DA0">
                        <w:rPr>
                          <w:rStyle w:val="HeadingofKeywords"/>
                        </w:rPr>
                        <w:t>Keywords:</w:t>
                      </w:r>
                      <w:r>
                        <w:rPr>
                          <w:rStyle w:val="HeadingofKeywords"/>
                        </w:rPr>
                        <w:t xml:space="preserve"> </w:t>
                      </w:r>
                      <w:r w:rsidRPr="003A3A9C">
                        <w:rPr>
                          <w:lang w:val="en-GB" w:eastAsia="ko-KR"/>
                        </w:rPr>
                        <w:t>FPG, cross floating, effective area, pressure standard, experimental verification</w:t>
                      </w:r>
                      <w:r>
                        <w:rPr>
                          <w:lang w:val="en-GB" w:eastAsia="ko-KR"/>
                        </w:rPr>
                        <w:t>.</w:t>
                      </w:r>
                    </w:p>
                    <w:p w14:paraId="32A6D071" w14:textId="77777777" w:rsidR="00243541" w:rsidRDefault="00243541" w:rsidP="00906ABB">
                      <w:pPr>
                        <w:pStyle w:val="BodyText"/>
                        <w:rPr>
                          <w:rStyle w:val="HeadingofKeywords"/>
                        </w:rPr>
                      </w:pPr>
                    </w:p>
                  </w:txbxContent>
                </v:textbox>
                <w10:wrap type="tight"/>
              </v:shape>
            </w:pict>
          </mc:Fallback>
        </mc:AlternateContent>
      </w:r>
      <w:fldSimple w:instr=" SEQ SEC \* MERGEFORMAT ">
        <w:r w:rsidR="00856770">
          <w:rPr>
            <w:noProof/>
          </w:rPr>
          <w:t>1</w:t>
        </w:r>
      </w:fldSimple>
      <w:r w:rsidR="00A361E1" w:rsidRPr="00562E76">
        <w:rPr>
          <w:rFonts w:hint="eastAsia"/>
        </w:rPr>
        <w:t xml:space="preserve">. </w:t>
      </w:r>
      <w:r w:rsidR="00644B24">
        <w:t>Introduction</w:t>
      </w:r>
    </w:p>
    <w:p w14:paraId="7969D76F" w14:textId="7CD1FD64" w:rsidR="00D47CFD" w:rsidRDefault="00950DAF" w:rsidP="009307BB">
      <w:pPr>
        <w:pStyle w:val="absatz"/>
        <w:spacing w:line="240" w:lineRule="auto"/>
        <w:ind w:firstLine="198"/>
        <w:rPr>
          <w:sz w:val="20"/>
          <w:lang w:val="en"/>
        </w:rPr>
      </w:pPr>
      <w:r>
        <w:rPr>
          <w:noProof/>
        </w:rPr>
        <mc:AlternateContent>
          <mc:Choice Requires="wpg">
            <w:drawing>
              <wp:anchor distT="0" distB="0" distL="114300" distR="114300" simplePos="0" relativeHeight="251692032" behindDoc="0" locked="0" layoutInCell="1" allowOverlap="1" wp14:anchorId="16FD94FB" wp14:editId="76B4C81F">
                <wp:simplePos x="0" y="0"/>
                <wp:positionH relativeFrom="column">
                  <wp:posOffset>29361</wp:posOffset>
                </wp:positionH>
                <wp:positionV relativeFrom="paragraph">
                  <wp:posOffset>3157964</wp:posOffset>
                </wp:positionV>
                <wp:extent cx="2880360" cy="187325"/>
                <wp:effectExtent l="0" t="0" r="34290" b="3175"/>
                <wp:wrapSquare wrapText="bothSides"/>
                <wp:docPr id="4" name="Gruppieren 4"/>
                <wp:cNvGraphicFramePr/>
                <a:graphic xmlns:a="http://schemas.openxmlformats.org/drawingml/2006/main">
                  <a:graphicData uri="http://schemas.microsoft.com/office/word/2010/wordprocessingGroup">
                    <wpg:wgp>
                      <wpg:cNvGrpSpPr/>
                      <wpg:grpSpPr>
                        <a:xfrm>
                          <a:off x="0" y="0"/>
                          <a:ext cx="2880360" cy="187325"/>
                          <a:chOff x="0" y="0"/>
                          <a:chExt cx="2880360" cy="187325"/>
                        </a:xfrm>
                      </wpg:grpSpPr>
                      <wps:wsp>
                        <wps:cNvPr id="5" name="AutoShape 23"/>
                        <wps:cNvCnPr>
                          <a:cxnSpLocks noChangeShapeType="1"/>
                        </wps:cNvCnPr>
                        <wps:spPr bwMode="auto">
                          <a:xfrm>
                            <a:off x="0" y="0"/>
                            <a:ext cx="2880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24"/>
                        <wps:cNvSpPr txBox="1">
                          <a:spLocks noChangeArrowheads="1"/>
                        </wps:cNvSpPr>
                        <wps:spPr bwMode="auto">
                          <a:xfrm>
                            <a:off x="0" y="0"/>
                            <a:ext cx="2199047"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17123" w14:textId="2B3092EE" w:rsidR="00243541" w:rsidRDefault="00243541" w:rsidP="00FC7FC1">
                              <w:r w:rsidRPr="00BA6531">
                                <w:rPr>
                                  <w:rFonts w:eastAsia="MS Mincho"/>
                                  <w:vertAlign w:val="superscript"/>
                                </w:rPr>
                                <w:t>†</w:t>
                              </w:r>
                              <w:r>
                                <w:rPr>
                                  <w:rFonts w:eastAsia="MS Mincho" w:hint="eastAsia"/>
                                  <w:sz w:val="16"/>
                                  <w:szCs w:val="16"/>
                                </w:rPr>
                                <w:t xml:space="preserve"> </w:t>
                              </w:r>
                              <w:r w:rsidRPr="00DC4DA8">
                                <w:rPr>
                                  <w:rFonts w:eastAsia="MS Mincho"/>
                                  <w:sz w:val="16"/>
                                  <w:szCs w:val="16"/>
                                </w:rPr>
                                <w:t>Ahmed S. Hashad</w:t>
                              </w:r>
                              <w:r>
                                <w:rPr>
                                  <w:rFonts w:eastAsia="MS Mincho"/>
                                  <w:sz w:val="16"/>
                                  <w:szCs w:val="16"/>
                                </w:rPr>
                                <w:t xml:space="preserve"> is the presenter of this paper.</w:t>
                              </w:r>
                            </w:p>
                            <w:p w14:paraId="680E0BC7" w14:textId="77777777" w:rsidR="00243541" w:rsidRPr="002E6DC4" w:rsidRDefault="00243541" w:rsidP="00FC7FC1"/>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FD94FB" id="Gruppieren 4" o:spid="_x0000_s1027" style="position:absolute;left:0;text-align:left;margin-left:2.3pt;margin-top:248.65pt;width:226.8pt;height:14.75pt;z-index:251692032;mso-width-relative:margin;mso-height-relative:margin" coordsize="28803,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">
                <v:shapetype id="_x0000_t32" coordsize="21600,21600" o:spt="32" o:oned="t" path="m,l21600,21600e" filled="f">
                  <v:path arrowok="t" fillok="f" o:connecttype="none"/>
                  <o:lock v:ext="edit" shapetype="t"/>
                </v:shapetype>
                <v:shape id="AutoShape 23" o:spid="_x0000_s1028" type="#_x0000_t32" style="position:absolute;width:288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Text Box 24" o:spid="_x0000_s1029" type="#_x0000_t202" style="position:absolute;width:21990;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14:paraId="31717123" w14:textId="2B3092EE" w:rsidR="00243541" w:rsidRDefault="00243541" w:rsidP="00FC7FC1">
                        <w:r w:rsidRPr="00BA6531">
                          <w:rPr>
                            <w:rFonts w:eastAsia="MS Mincho"/>
                            <w:vertAlign w:val="superscript"/>
                          </w:rPr>
                          <w:t>†</w:t>
                        </w:r>
                        <w:r>
                          <w:rPr>
                            <w:rFonts w:eastAsia="MS Mincho" w:hint="eastAsia"/>
                            <w:sz w:val="16"/>
                            <w:szCs w:val="16"/>
                          </w:rPr>
                          <w:t xml:space="preserve"> </w:t>
                        </w:r>
                        <w:r w:rsidRPr="00DC4DA8">
                          <w:rPr>
                            <w:rFonts w:eastAsia="MS Mincho"/>
                            <w:sz w:val="16"/>
                            <w:szCs w:val="16"/>
                          </w:rPr>
                          <w:t xml:space="preserve">Ahmed S. </w:t>
                        </w:r>
                        <w:proofErr w:type="spellStart"/>
                        <w:r w:rsidRPr="00DC4DA8">
                          <w:rPr>
                            <w:rFonts w:eastAsia="MS Mincho"/>
                            <w:sz w:val="16"/>
                            <w:szCs w:val="16"/>
                          </w:rPr>
                          <w:t>Hashad</w:t>
                        </w:r>
                        <w:proofErr w:type="spellEnd"/>
                        <w:r>
                          <w:rPr>
                            <w:rFonts w:eastAsia="MS Mincho"/>
                            <w:sz w:val="16"/>
                            <w:szCs w:val="16"/>
                          </w:rPr>
                          <w:t xml:space="preserve"> is the presenter of this paper.</w:t>
                        </w:r>
                      </w:p>
                      <w:p w14:paraId="680E0BC7" w14:textId="77777777" w:rsidR="00243541" w:rsidRPr="002E6DC4" w:rsidRDefault="00243541" w:rsidP="00FC7FC1"/>
                    </w:txbxContent>
                  </v:textbox>
                </v:shape>
                <w10:wrap type="square"/>
              </v:group>
            </w:pict>
          </mc:Fallback>
        </mc:AlternateContent>
      </w:r>
      <w:r w:rsidR="00FC507D" w:rsidRPr="00D656C3">
        <w:rPr>
          <w:sz w:val="20"/>
          <w:lang w:val="en"/>
        </w:rPr>
        <w:t xml:space="preserve">Force-balanced piston gauges </w:t>
      </w:r>
      <w:r w:rsidR="00B7353F" w:rsidRPr="00D656C3">
        <w:rPr>
          <w:sz w:val="20"/>
          <w:lang w:val="en"/>
        </w:rPr>
        <w:t xml:space="preserve">(FPG) </w:t>
      </w:r>
      <w:r w:rsidR="00514359" w:rsidRPr="00D656C3">
        <w:rPr>
          <w:sz w:val="20"/>
          <w:lang w:val="en"/>
        </w:rPr>
        <w:t>present an important class of piston gauges, which enable pressure measurements from</w:t>
      </w:r>
      <w:r w:rsidR="00C54592" w:rsidRPr="00D656C3">
        <w:rPr>
          <w:sz w:val="20"/>
          <w:lang w:val="en"/>
        </w:rPr>
        <w:t xml:space="preserve"> few pascals</w:t>
      </w:r>
      <w:r w:rsidR="00514359" w:rsidRPr="00D656C3">
        <w:rPr>
          <w:sz w:val="20"/>
          <w:lang w:val="en"/>
        </w:rPr>
        <w:t xml:space="preserve"> </w:t>
      </w:r>
      <w:r w:rsidR="00C54592" w:rsidRPr="00D656C3">
        <w:rPr>
          <w:sz w:val="20"/>
          <w:lang w:val="en"/>
        </w:rPr>
        <w:t xml:space="preserve">to </w:t>
      </w:r>
      <w:r w:rsidR="00514359" w:rsidRPr="00D656C3">
        <w:rPr>
          <w:sz w:val="20"/>
          <w:lang w:val="en"/>
        </w:rPr>
        <w:t xml:space="preserve">tens of kilopascals. </w:t>
      </w:r>
      <w:r w:rsidR="00884CBE" w:rsidRPr="00D656C3">
        <w:rPr>
          <w:sz w:val="20"/>
          <w:lang w:val="en"/>
        </w:rPr>
        <w:t>In these instruments, the force of the pressure</w:t>
      </w:r>
      <w:r w:rsidR="00281C84" w:rsidRPr="00D656C3">
        <w:rPr>
          <w:sz w:val="20"/>
          <w:lang w:val="en"/>
        </w:rPr>
        <w:t>s</w:t>
      </w:r>
      <w:r w:rsidR="00884CBE" w:rsidRPr="00D656C3">
        <w:rPr>
          <w:sz w:val="20"/>
          <w:lang w:val="en"/>
        </w:rPr>
        <w:t xml:space="preserve"> acting on the piston of a piston-cylinder assembly (PCA) is measured by a high-accuracy </w:t>
      </w:r>
      <w:r w:rsidR="0006647E">
        <w:rPr>
          <w:sz w:val="20"/>
          <w:lang w:val="en"/>
        </w:rPr>
        <w:t>balance</w:t>
      </w:r>
      <w:r w:rsidR="00884CBE" w:rsidRPr="00D656C3">
        <w:rPr>
          <w:sz w:val="20"/>
          <w:lang w:val="en"/>
        </w:rPr>
        <w:t>. Knowing this force and the effective area (</w:t>
      </w:r>
      <m:oMath>
        <m:r>
          <w:rPr>
            <w:rFonts w:ascii="Cambria Math" w:hAnsi="Cambria Math" w:cstheme="majorBidi"/>
            <w:sz w:val="20"/>
            <w:lang w:val="en-US"/>
          </w:rPr>
          <m:t>A</m:t>
        </m:r>
      </m:oMath>
      <w:r w:rsidR="00884CBE" w:rsidRPr="00D656C3">
        <w:rPr>
          <w:sz w:val="20"/>
          <w:lang w:val="en"/>
        </w:rPr>
        <w:t>) of the PCA</w:t>
      </w:r>
      <w:r w:rsidR="00CB390F" w:rsidRPr="00D656C3">
        <w:rPr>
          <w:sz w:val="20"/>
          <w:lang w:val="en"/>
        </w:rPr>
        <w:t xml:space="preserve">, the difference of </w:t>
      </w:r>
      <w:r w:rsidR="00281C84" w:rsidRPr="00D656C3">
        <w:rPr>
          <w:sz w:val="20"/>
          <w:lang w:val="en"/>
        </w:rPr>
        <w:t xml:space="preserve">the </w:t>
      </w:r>
      <w:r w:rsidR="00CB390F" w:rsidRPr="00D656C3">
        <w:rPr>
          <w:sz w:val="20"/>
          <w:lang w:val="en"/>
        </w:rPr>
        <w:t>pressures above and below the piston can be calculated.</w:t>
      </w:r>
      <w:r w:rsidR="004555D6" w:rsidRPr="00D656C3">
        <w:rPr>
          <w:sz w:val="20"/>
          <w:lang w:val="en"/>
        </w:rPr>
        <w:t xml:space="preserve"> At PTB, a force-balanced piston gauge manufactured by </w:t>
      </w:r>
      <w:r w:rsidR="004555D6" w:rsidRPr="00D656C3">
        <w:rPr>
          <w:i/>
          <w:sz w:val="20"/>
          <w:lang w:val="en"/>
        </w:rPr>
        <w:t>Fluke Calibration</w:t>
      </w:r>
      <w:r w:rsidR="004555D6" w:rsidRPr="00D656C3">
        <w:rPr>
          <w:sz w:val="20"/>
          <w:lang w:val="en"/>
        </w:rPr>
        <w:t>, USA under the name FPG8601 [</w:t>
      </w:r>
      <w:r w:rsidR="00857CDE" w:rsidRPr="00D656C3">
        <w:rPr>
          <w:sz w:val="20"/>
          <w:lang w:val="en"/>
        </w:rPr>
        <w:t>1</w:t>
      </w:r>
      <w:r w:rsidR="004555D6" w:rsidRPr="00D656C3">
        <w:rPr>
          <w:sz w:val="20"/>
          <w:lang w:val="en"/>
        </w:rPr>
        <w:t xml:space="preserve">] </w:t>
      </w:r>
      <w:r w:rsidR="00407679" w:rsidRPr="00D656C3">
        <w:rPr>
          <w:sz w:val="20"/>
          <w:lang w:val="en"/>
        </w:rPr>
        <w:t>was characterized as a primary pressure standard [</w:t>
      </w:r>
      <w:r w:rsidR="00857CDE" w:rsidRPr="00D656C3">
        <w:rPr>
          <w:sz w:val="20"/>
          <w:lang w:val="en"/>
        </w:rPr>
        <w:t>2</w:t>
      </w:r>
      <w:r w:rsidR="00E5119D">
        <w:rPr>
          <w:sz w:val="20"/>
          <w:lang w:val="en"/>
        </w:rPr>
        <w:t xml:space="preserve">, </w:t>
      </w:r>
      <w:r w:rsidR="00857CDE" w:rsidRPr="00D656C3">
        <w:rPr>
          <w:sz w:val="20"/>
          <w:lang w:val="en"/>
        </w:rPr>
        <w:t>3</w:t>
      </w:r>
      <w:r w:rsidR="00407679" w:rsidRPr="00D656C3">
        <w:rPr>
          <w:sz w:val="20"/>
          <w:lang w:val="en"/>
        </w:rPr>
        <w:t>]</w:t>
      </w:r>
      <w:r w:rsidR="00857CDE" w:rsidRPr="00D656C3">
        <w:rPr>
          <w:sz w:val="20"/>
          <w:lang w:val="en"/>
        </w:rPr>
        <w:t xml:space="preserve"> by determining </w:t>
      </w:r>
      <m:oMath>
        <m:r>
          <w:rPr>
            <w:rFonts w:ascii="Cambria Math" w:hAnsi="Cambria Math" w:cstheme="majorBidi"/>
            <w:sz w:val="20"/>
            <w:lang w:val="en-US"/>
          </w:rPr>
          <m:t>A</m:t>
        </m:r>
      </m:oMath>
      <w:r w:rsidR="00857CDE" w:rsidRPr="00D656C3">
        <w:rPr>
          <w:sz w:val="20"/>
          <w:lang w:val="en"/>
        </w:rPr>
        <w:t xml:space="preserve"> of its PCA from PCA's dimensional properties. Then,</w:t>
      </w:r>
      <w:r w:rsidR="00C27884" w:rsidRPr="00D656C3">
        <w:rPr>
          <w:sz w:val="20"/>
          <w:lang w:val="en"/>
        </w:rPr>
        <w:t xml:space="preserve"> </w:t>
      </w:r>
      <w:r w:rsidR="00CB0D41">
        <w:rPr>
          <w:sz w:val="20"/>
          <w:lang w:val="en"/>
        </w:rPr>
        <w:t xml:space="preserve">three </w:t>
      </w:r>
      <w:r w:rsidR="00C004F6" w:rsidRPr="00D656C3">
        <w:rPr>
          <w:sz w:val="20"/>
          <w:lang w:val="en"/>
        </w:rPr>
        <w:t>experiments were performed to validate the PCA’s effective area</w:t>
      </w:r>
      <w:r w:rsidR="00281C84" w:rsidRPr="00D656C3">
        <w:rPr>
          <w:sz w:val="20"/>
          <w:lang w:val="en"/>
        </w:rPr>
        <w:t xml:space="preserve"> and pressures measured by</w:t>
      </w:r>
      <w:r w:rsidR="00C004F6" w:rsidRPr="00D656C3">
        <w:rPr>
          <w:sz w:val="20"/>
          <w:lang w:val="en"/>
        </w:rPr>
        <w:t xml:space="preserve"> </w:t>
      </w:r>
      <w:r w:rsidR="00281C84" w:rsidRPr="00D656C3">
        <w:rPr>
          <w:sz w:val="20"/>
          <w:lang w:val="en"/>
        </w:rPr>
        <w:t xml:space="preserve">the FPG </w:t>
      </w:r>
      <w:r w:rsidR="00C004F6" w:rsidRPr="00D656C3">
        <w:rPr>
          <w:sz w:val="20"/>
          <w:lang w:val="en"/>
        </w:rPr>
        <w:t xml:space="preserve">using </w:t>
      </w:r>
      <w:r w:rsidR="00857CDE" w:rsidRPr="00D656C3">
        <w:rPr>
          <w:sz w:val="20"/>
          <w:lang w:val="en"/>
        </w:rPr>
        <w:t xml:space="preserve">pressure comparisons </w:t>
      </w:r>
      <w:r w:rsidR="00281C84" w:rsidRPr="00D656C3">
        <w:rPr>
          <w:sz w:val="20"/>
          <w:lang w:val="en"/>
        </w:rPr>
        <w:t>against</w:t>
      </w:r>
      <w:r w:rsidR="00CB0D41">
        <w:rPr>
          <w:sz w:val="20"/>
          <w:lang w:val="en"/>
        </w:rPr>
        <w:t xml:space="preserve"> three</w:t>
      </w:r>
      <w:r w:rsidR="00B2786C" w:rsidRPr="00D656C3">
        <w:rPr>
          <w:sz w:val="20"/>
          <w:lang w:val="en"/>
        </w:rPr>
        <w:t xml:space="preserve"> different pressure standards. These standards have various </w:t>
      </w:r>
      <w:r w:rsidR="005D677A">
        <w:rPr>
          <w:sz w:val="20"/>
          <w:lang w:val="en"/>
        </w:rPr>
        <w:t xml:space="preserve">operation principles and </w:t>
      </w:r>
      <w:r w:rsidR="00B2786C" w:rsidRPr="00D656C3">
        <w:rPr>
          <w:sz w:val="20"/>
          <w:lang w:val="en"/>
        </w:rPr>
        <w:t xml:space="preserve">pressure ranges </w:t>
      </w:r>
      <w:r w:rsidR="002D0F43" w:rsidRPr="00D656C3">
        <w:rPr>
          <w:sz w:val="20"/>
          <w:lang w:val="en"/>
        </w:rPr>
        <w:t xml:space="preserve">as </w:t>
      </w:r>
      <w:r w:rsidR="00B2786C" w:rsidRPr="00D656C3">
        <w:rPr>
          <w:sz w:val="20"/>
          <w:lang w:val="en"/>
        </w:rPr>
        <w:t xml:space="preserve">explained at length. </w:t>
      </w:r>
    </w:p>
    <w:p w14:paraId="0EDC492B" w14:textId="33EFAE98" w:rsidR="009307BB" w:rsidRDefault="009307BB" w:rsidP="009307BB">
      <w:pPr>
        <w:pStyle w:val="absatz"/>
        <w:spacing w:line="240" w:lineRule="auto"/>
        <w:ind w:firstLine="198"/>
        <w:rPr>
          <w:sz w:val="20"/>
          <w:lang w:val="en"/>
        </w:rPr>
      </w:pPr>
    </w:p>
    <w:p w14:paraId="3B3CE241" w14:textId="32F39D7A" w:rsidR="009307BB" w:rsidRPr="00D656C3" w:rsidRDefault="009307BB" w:rsidP="00D656C3">
      <w:pPr>
        <w:pStyle w:val="absatz"/>
        <w:spacing w:line="240" w:lineRule="auto"/>
        <w:ind w:firstLine="198"/>
        <w:rPr>
          <w:sz w:val="20"/>
          <w:lang w:val="en"/>
        </w:rPr>
      </w:pPr>
    </w:p>
    <w:p w14:paraId="130B8F0F" w14:textId="198CD7C2" w:rsidR="005D677A" w:rsidRPr="00B348BC" w:rsidRDefault="004B7407" w:rsidP="00D656C3">
      <w:pPr>
        <w:pStyle w:val="Section"/>
        <w:ind w:firstLine="198"/>
      </w:pPr>
      <w:fldSimple w:instr=" SEQ SEC \* MERGEFORMAT ">
        <w:r w:rsidR="00856770">
          <w:rPr>
            <w:noProof/>
          </w:rPr>
          <w:t>2</w:t>
        </w:r>
      </w:fldSimple>
      <w:r w:rsidR="005D677A" w:rsidRPr="00B348BC">
        <w:rPr>
          <w:rFonts w:hint="eastAsia"/>
        </w:rPr>
        <w:t xml:space="preserve">. </w:t>
      </w:r>
      <w:r w:rsidR="005D677A">
        <w:rPr>
          <w:lang w:eastAsia="ko-KR"/>
        </w:rPr>
        <w:t>Experiments</w:t>
      </w:r>
    </w:p>
    <w:p w14:paraId="763B9973" w14:textId="2189AFB1" w:rsidR="005D677A" w:rsidRDefault="00CB0D41" w:rsidP="005D677A">
      <w:pPr>
        <w:pStyle w:val="Subsection"/>
      </w:pPr>
      <w:bookmarkStart w:id="0" w:name="_Hlk17897568"/>
      <w:r>
        <w:t>2</w:t>
      </w:r>
      <w:r w:rsidR="005D677A" w:rsidRPr="00C303AF">
        <w:rPr>
          <w:rFonts w:hint="eastAsia"/>
        </w:rPr>
        <w:t>.</w:t>
      </w:r>
      <w:r w:rsidR="005D677A">
        <w:rPr>
          <w:noProof/>
        </w:rPr>
        <w:fldChar w:fldCharType="begin"/>
      </w:r>
      <w:r w:rsidR="005D677A">
        <w:rPr>
          <w:noProof/>
        </w:rPr>
        <w:instrText xml:space="preserve"> SEQ SUBSEC \r 1 \* MERGEFORMAT </w:instrText>
      </w:r>
      <w:r w:rsidR="005D677A">
        <w:rPr>
          <w:noProof/>
        </w:rPr>
        <w:fldChar w:fldCharType="separate"/>
      </w:r>
      <w:r w:rsidR="00856770">
        <w:rPr>
          <w:noProof/>
        </w:rPr>
        <w:t>1</w:t>
      </w:r>
      <w:r w:rsidR="005D677A">
        <w:rPr>
          <w:noProof/>
        </w:rPr>
        <w:fldChar w:fldCharType="end"/>
      </w:r>
      <w:r w:rsidR="005D677A" w:rsidRPr="00C303AF">
        <w:rPr>
          <w:rFonts w:hint="eastAsia"/>
        </w:rPr>
        <w:t xml:space="preserve"> </w:t>
      </w:r>
      <w:r w:rsidR="00FB21EE" w:rsidRPr="00FB21EE">
        <w:t>Effective area determination</w:t>
      </w:r>
    </w:p>
    <w:p w14:paraId="3BB06DA0" w14:textId="6F4CBAD8" w:rsidR="009307BB" w:rsidRDefault="009307BB" w:rsidP="009307BB">
      <w:pPr>
        <w:pStyle w:val="BodyText"/>
        <w:widowControl w:val="0"/>
        <w:overflowPunct/>
        <w:autoSpaceDE/>
        <w:autoSpaceDN/>
        <w:adjustRightInd/>
        <w:snapToGrid w:val="0"/>
        <w:spacing w:after="0"/>
        <w:ind w:firstLine="240"/>
        <w:jc w:val="both"/>
        <w:textAlignment w:val="auto"/>
      </w:pPr>
      <w:r>
        <w:rPr>
          <w:lang w:val="en"/>
        </w:rPr>
        <w:t xml:space="preserve">The FPG was calibrated against a </w:t>
      </w:r>
      <w:r w:rsidRPr="00234269">
        <w:rPr>
          <w:i/>
          <w:lang w:val="en"/>
        </w:rPr>
        <w:t>Ruska</w:t>
      </w:r>
      <w:r w:rsidRPr="00DE0337">
        <w:rPr>
          <w:lang w:val="en"/>
        </w:rPr>
        <w:t xml:space="preserve"> pressure balance, model 2465A (gas piston gauge), equipped with a PCA</w:t>
      </w:r>
      <w:r>
        <w:rPr>
          <w:lang w:val="en"/>
        </w:rPr>
        <w:t>,</w:t>
      </w:r>
      <w:r w:rsidRPr="00DE0337">
        <w:rPr>
          <w:lang w:val="en"/>
        </w:rPr>
        <w:t xml:space="preserve"> serial no. TL1568</w:t>
      </w:r>
      <w:r>
        <w:rPr>
          <w:lang w:val="en"/>
        </w:rPr>
        <w:t xml:space="preserve">, to determine the </w:t>
      </w:r>
      <w:r w:rsidRPr="00DE0337">
        <w:rPr>
          <w:lang w:val="en"/>
        </w:rPr>
        <w:t xml:space="preserve">effective area </w:t>
      </w:r>
      <w:r>
        <w:rPr>
          <w:lang w:val="en"/>
        </w:rPr>
        <w:t>of the FPG by the</w:t>
      </w:r>
      <w:r w:rsidRPr="00DE0337">
        <w:rPr>
          <w:lang w:val="en"/>
        </w:rPr>
        <w:t xml:space="preserve"> cross-float </w:t>
      </w:r>
      <w:r>
        <w:rPr>
          <w:lang w:val="en"/>
        </w:rPr>
        <w:t>method</w:t>
      </w:r>
      <w:r w:rsidRPr="00DE0337">
        <w:rPr>
          <w:lang w:val="en"/>
        </w:rPr>
        <w:t xml:space="preserve">. </w:t>
      </w:r>
      <w:r>
        <w:rPr>
          <w:lang w:val="en"/>
        </w:rPr>
        <w:t xml:space="preserve">The </w:t>
      </w:r>
      <w:r w:rsidRPr="00234269">
        <w:rPr>
          <w:i/>
          <w:lang w:val="en"/>
        </w:rPr>
        <w:t>Ruska</w:t>
      </w:r>
      <w:r>
        <w:rPr>
          <w:lang w:val="en"/>
        </w:rPr>
        <w:t xml:space="preserve"> PCA has</w:t>
      </w:r>
      <w:r w:rsidRPr="00DE0337">
        <w:rPr>
          <w:lang w:val="en"/>
        </w:rPr>
        <w:t xml:space="preserve"> </w:t>
      </w:r>
      <w:r>
        <w:rPr>
          <w:lang w:val="en"/>
        </w:rPr>
        <w:t xml:space="preserve">an </w:t>
      </w:r>
      <w:r w:rsidRPr="00DE0337">
        <w:rPr>
          <w:lang w:val="en"/>
        </w:rPr>
        <w:t>effective area equal to 3.35666</w:t>
      </w:r>
      <w:r>
        <w:rPr>
          <w:lang w:val="en"/>
        </w:rPr>
        <w:t> </w:t>
      </w:r>
      <w:r w:rsidRPr="00DE0337">
        <w:rPr>
          <w:lang w:val="en"/>
        </w:rPr>
        <w:sym w:font="Symbol" w:char="F0B4"/>
      </w:r>
      <w:r>
        <w:rPr>
          <w:lang w:val="en"/>
        </w:rPr>
        <w:t> </w:t>
      </w:r>
      <w:r w:rsidRPr="00DE0337">
        <w:rPr>
          <w:lang w:val="en"/>
        </w:rPr>
        <w:t>(1</w:t>
      </w:r>
      <w:r>
        <w:rPr>
          <w:lang w:val="en"/>
        </w:rPr>
        <w:t> </w:t>
      </w:r>
      <w:r w:rsidRPr="00DE0337">
        <w:rPr>
          <w:lang w:val="en"/>
        </w:rPr>
        <w:t>±</w:t>
      </w:r>
      <w:r>
        <w:rPr>
          <w:lang w:val="en"/>
        </w:rPr>
        <w:t> </w:t>
      </w:r>
      <w:r w:rsidRPr="00DE0337">
        <w:rPr>
          <w:lang w:val="en"/>
        </w:rPr>
        <w:t>5.8</w:t>
      </w:r>
      <w:r w:rsidRPr="00DE0337">
        <w:rPr>
          <w:lang w:val="en"/>
        </w:rPr>
        <w:sym w:font="Symbol" w:char="F0D7"/>
      </w:r>
      <w:r w:rsidRPr="00DE0337">
        <w:rPr>
          <w:lang w:val="en"/>
        </w:rPr>
        <w:t>10</w:t>
      </w:r>
      <w:r>
        <w:rPr>
          <w:vertAlign w:val="superscript"/>
          <w:lang w:val="en"/>
        </w:rPr>
        <w:noBreakHyphen/>
      </w:r>
      <w:r w:rsidRPr="00DE0337">
        <w:rPr>
          <w:vertAlign w:val="superscript"/>
          <w:lang w:val="en"/>
        </w:rPr>
        <w:t>6</w:t>
      </w:r>
      <w:r w:rsidRPr="00DE0337">
        <w:rPr>
          <w:lang w:val="en"/>
        </w:rPr>
        <w:t>)</w:t>
      </w:r>
      <w:r>
        <w:rPr>
          <w:lang w:val="en"/>
        </w:rPr>
        <w:t> </w:t>
      </w:r>
      <w:r w:rsidRPr="00DE0337">
        <w:rPr>
          <w:lang w:val="en"/>
        </w:rPr>
        <w:t>cm</w:t>
      </w:r>
      <w:r w:rsidRPr="00DE0337">
        <w:rPr>
          <w:vertAlign w:val="superscript"/>
          <w:lang w:val="en"/>
        </w:rPr>
        <w:t>2</w:t>
      </w:r>
      <w:r>
        <w:rPr>
          <w:lang w:val="en"/>
        </w:rPr>
        <w:t xml:space="preserve"> (all uncertainties in this paper are given for </w:t>
      </w:r>
      <m:oMath>
        <m:r>
          <w:rPr>
            <w:rFonts w:ascii="Cambria Math" w:hAnsi="Cambria Math"/>
          </w:rPr>
          <m:t>k</m:t>
        </m:r>
      </m:oMath>
      <w:r>
        <w:rPr>
          <w:lang w:val="en"/>
        </w:rPr>
        <w:t> = 1</w:t>
      </w:r>
      <w:r w:rsidR="00BD22C9">
        <w:rPr>
          <w:lang w:val="en"/>
        </w:rPr>
        <w:t xml:space="preserve">, </w:t>
      </w:r>
      <w:r w:rsidR="00BD22C9" w:rsidRPr="00BD22C9">
        <w:rPr>
          <w:lang w:val="en"/>
        </w:rPr>
        <w:t>unless otherwise specified</w:t>
      </w:r>
      <w:r>
        <w:rPr>
          <w:lang w:val="en"/>
        </w:rPr>
        <w:t>)</w:t>
      </w:r>
      <w:r w:rsidRPr="00DE0337">
        <w:rPr>
          <w:lang w:val="en"/>
        </w:rPr>
        <w:t xml:space="preserve">. </w:t>
      </w:r>
      <w:r>
        <w:rPr>
          <w:lang w:val="en"/>
        </w:rPr>
        <w:t xml:space="preserve">The effective area of this </w:t>
      </w:r>
      <w:r w:rsidRPr="00234269">
        <w:rPr>
          <w:i/>
          <w:lang w:val="en"/>
        </w:rPr>
        <w:t>Ruska</w:t>
      </w:r>
      <w:r>
        <w:rPr>
          <w:lang w:val="en"/>
        </w:rPr>
        <w:t xml:space="preserve"> PCA is traceable to the state-of-the-art pressure balance used in the experiments on the redetermination of the Boltzmann constant [4, 5] and being German national pressure standard in the range </w:t>
      </w:r>
      <w:r w:rsidRPr="00223E8E">
        <w:rPr>
          <w:lang w:val="en"/>
        </w:rPr>
        <w:t>180</w:t>
      </w:r>
      <w:r>
        <w:rPr>
          <w:lang w:val="en"/>
        </w:rPr>
        <w:t> </w:t>
      </w:r>
      <w:r w:rsidRPr="00223E8E">
        <w:rPr>
          <w:lang w:val="en"/>
        </w:rPr>
        <w:t xml:space="preserve">kPa </w:t>
      </w:r>
      <w:r>
        <w:rPr>
          <w:lang w:val="en"/>
        </w:rPr>
        <w:t>to</w:t>
      </w:r>
      <w:r w:rsidRPr="00223E8E">
        <w:rPr>
          <w:lang w:val="en"/>
        </w:rPr>
        <w:t xml:space="preserve"> 7</w:t>
      </w:r>
      <w:r>
        <w:rPr>
          <w:lang w:val="en"/>
        </w:rPr>
        <w:t>.</w:t>
      </w:r>
      <w:r w:rsidRPr="00223E8E">
        <w:rPr>
          <w:lang w:val="en"/>
        </w:rPr>
        <w:t>5</w:t>
      </w:r>
      <w:r>
        <w:rPr>
          <w:lang w:val="en"/>
        </w:rPr>
        <w:t> MPa of absolute pressure. Both instruments were connected by the setup shown in Fig</w:t>
      </w:r>
      <w:r w:rsidR="001569C1">
        <w:rPr>
          <w:lang w:val="en"/>
        </w:rPr>
        <w:t>.</w:t>
      </w:r>
      <w:r>
        <w:rPr>
          <w:lang w:val="en"/>
        </w:rPr>
        <w:t xml:space="preserve"> 1. A</w:t>
      </w:r>
      <w:r w:rsidRPr="00457CD8">
        <w:t xml:space="preserve"> very low-pressure controller (VLPC)</w:t>
      </w:r>
      <w:r>
        <w:t xml:space="preserve"> produced by </w:t>
      </w:r>
      <w:r w:rsidRPr="0049786B">
        <w:rPr>
          <w:i/>
          <w:lang w:val="en"/>
        </w:rPr>
        <w:t>Fluke Calibration</w:t>
      </w:r>
      <w:r>
        <w:t xml:space="preserve"> </w:t>
      </w:r>
      <w:r w:rsidRPr="00457CD8">
        <w:t xml:space="preserve">was used to stabilize </w:t>
      </w:r>
      <w:r>
        <w:t xml:space="preserve">FPG's measurement and lubrication </w:t>
      </w:r>
      <w:r w:rsidRPr="00457CD8">
        <w:t>pressure</w:t>
      </w:r>
      <w:r>
        <w:t>s</w:t>
      </w:r>
      <w:r w:rsidRPr="00457CD8">
        <w:t xml:space="preserve">. </w:t>
      </w:r>
      <w:r>
        <w:t>A</w:t>
      </w:r>
      <w:r w:rsidRPr="00457CD8">
        <w:t xml:space="preserve"> stainless-steel mass set </w:t>
      </w:r>
      <w:r>
        <w:t>of</w:t>
      </w:r>
      <w:r w:rsidRPr="00457CD8">
        <w:t xml:space="preserve"> class E</w:t>
      </w:r>
      <w:r w:rsidRPr="00F66D3B">
        <w:rPr>
          <w:vertAlign w:val="subscript"/>
        </w:rPr>
        <w:t>2</w:t>
      </w:r>
      <w:r w:rsidRPr="00457CD8">
        <w:t xml:space="preserve"> was used to characterize </w:t>
      </w:r>
      <w:r>
        <w:t>FPG's balance</w:t>
      </w:r>
      <w:r w:rsidRPr="00457CD8">
        <w:t>. A 10</w:t>
      </w:r>
      <w:r>
        <w:t> </w:t>
      </w:r>
      <w:r w:rsidRPr="00457CD8">
        <w:t xml:space="preserve">torr capacitance diaphragm gauge (CDG) was </w:t>
      </w:r>
      <w:r>
        <w:t xml:space="preserve">placed in the measurement line </w:t>
      </w:r>
      <w:r w:rsidRPr="00457CD8">
        <w:t xml:space="preserve">to indicate the </w:t>
      </w:r>
      <w:r>
        <w:t>pressure</w:t>
      </w:r>
      <w:r w:rsidRPr="00457CD8">
        <w:t xml:space="preserve"> difference between both instruments as shown in the Fig</w:t>
      </w:r>
      <w:r>
        <w:t>.</w:t>
      </w:r>
      <w:r w:rsidRPr="00457CD8">
        <w:t xml:space="preserve"> 1. </w:t>
      </w:r>
      <w:r>
        <w:t xml:space="preserve">The pressures of both instruments were controlled to keep the pressure difference measured with </w:t>
      </w:r>
      <w:r>
        <w:lastRenderedPageBreak/>
        <w:t xml:space="preserve">the CDG as close to zero as possible. </w:t>
      </w:r>
      <w:r w:rsidRPr="00457CD8">
        <w:t>The measurements were performed in gauge and absolute modes in pressure range</w:t>
      </w:r>
      <w:r>
        <w:t>s</w:t>
      </w:r>
      <w:r w:rsidRPr="00457CD8">
        <w:t xml:space="preserve"> </w:t>
      </w:r>
      <w:r>
        <w:t>of</w:t>
      </w:r>
      <w:r w:rsidRPr="00457CD8">
        <w:t xml:space="preserve"> 3 kPa to 15 kPa and </w:t>
      </w:r>
      <w:r>
        <w:t>of</w:t>
      </w:r>
      <w:r w:rsidRPr="00457CD8">
        <w:t xml:space="preserve"> 2 kPa </w:t>
      </w:r>
      <w:r w:rsidRPr="00667D5C">
        <w:t>to 15 kPa</w:t>
      </w:r>
      <w:r>
        <w:t>,</w:t>
      </w:r>
      <w:r w:rsidRPr="00667D5C">
        <w:t xml:space="preserve"> respectively.</w:t>
      </w:r>
    </w:p>
    <w:tbl>
      <w:tblPr>
        <w:tblpPr w:leftFromText="142" w:rightFromText="142" w:vertAnchor="page" w:horzAnchor="margin" w:tblpY="2439"/>
        <w:tblOverlap w:val="never"/>
        <w:tblW w:w="9781" w:type="dxa"/>
        <w:tblCellMar>
          <w:left w:w="70" w:type="dxa"/>
          <w:right w:w="70" w:type="dxa"/>
        </w:tblCellMar>
        <w:tblLook w:val="04A0" w:firstRow="1" w:lastRow="0" w:firstColumn="1" w:lastColumn="0" w:noHBand="0" w:noVBand="1"/>
      </w:tblPr>
      <w:tblGrid>
        <w:gridCol w:w="4834"/>
        <w:gridCol w:w="4947"/>
      </w:tblGrid>
      <w:tr w:rsidR="0039753A" w:rsidRPr="003C4F94" w14:paraId="2E1070D7" w14:textId="77777777" w:rsidTr="00D656C3">
        <w:trPr>
          <w:trHeight w:val="2820"/>
        </w:trPr>
        <w:tc>
          <w:tcPr>
            <w:tcW w:w="4834" w:type="dxa"/>
            <w:vAlign w:val="bottom"/>
          </w:tcPr>
          <w:p w14:paraId="1745DAD9" w14:textId="08143618" w:rsidR="009307BB" w:rsidRDefault="009307BB" w:rsidP="00D656C3">
            <w:pPr>
              <w:pStyle w:val="absatz"/>
              <w:spacing w:line="240" w:lineRule="auto"/>
              <w:jc w:val="center"/>
              <w:rPr>
                <w:rFonts w:asciiTheme="majorBidi" w:hAnsiTheme="majorBidi" w:cstheme="majorBidi"/>
                <w:lang w:val="en-US"/>
              </w:rPr>
            </w:pPr>
            <w:r>
              <w:rPr>
                <w:rFonts w:eastAsia="Batang"/>
                <w:noProof/>
                <w:sz w:val="20"/>
                <w:lang w:val="en-US" w:eastAsia="en-US"/>
              </w:rPr>
              <w:drawing>
                <wp:inline distT="0" distB="0" distL="0" distR="0" wp14:anchorId="539FD1BE" wp14:editId="60AA9B46">
                  <wp:extent cx="2980690" cy="1828800"/>
                  <wp:effectExtent l="0" t="0" r="0" b="0"/>
                  <wp:docPr id="31" name="Picture 426" descr="O:\3-3\3-33\Aktuell\FPG_PTB\Messungen\FPG gegen Ruska\FPG vs Ru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3-3\3-33\Aktuell\FPG_PTB\Messungen\FPG gegen Ruska\FPG vs Rusk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4886" cy="1898865"/>
                          </a:xfrm>
                          <a:prstGeom prst="rect">
                            <a:avLst/>
                          </a:prstGeom>
                          <a:noFill/>
                          <a:ln>
                            <a:noFill/>
                          </a:ln>
                        </pic:spPr>
                      </pic:pic>
                    </a:graphicData>
                  </a:graphic>
                </wp:inline>
              </w:drawing>
            </w:r>
          </w:p>
        </w:tc>
        <w:tc>
          <w:tcPr>
            <w:tcW w:w="4947" w:type="dxa"/>
            <w:vAlign w:val="bottom"/>
          </w:tcPr>
          <w:p w14:paraId="6DE9668F" w14:textId="77777777" w:rsidR="009307BB" w:rsidRDefault="009307BB" w:rsidP="00D656C3">
            <w:pPr>
              <w:pStyle w:val="absatz"/>
              <w:spacing w:line="240" w:lineRule="auto"/>
              <w:jc w:val="center"/>
              <w:rPr>
                <w:rFonts w:asciiTheme="majorBidi" w:hAnsiTheme="majorBidi" w:cstheme="majorBidi"/>
                <w:lang w:val="en-US"/>
              </w:rPr>
            </w:pPr>
            <w:r>
              <w:rPr>
                <w:rFonts w:asciiTheme="majorBidi" w:hAnsiTheme="majorBidi" w:cstheme="majorBidi"/>
                <w:noProof/>
                <w:lang w:val="en-US"/>
              </w:rPr>
              <w:drawing>
                <wp:inline distT="0" distB="0" distL="0" distR="0" wp14:anchorId="32FC123D" wp14:editId="0B5480BC">
                  <wp:extent cx="2520626" cy="2063222"/>
                  <wp:effectExtent l="0" t="0" r="0" b="0"/>
                  <wp:docPr id="224" name="Picture 18" descr="O:\3-3\3-33\Aktuell\FPG_PTB\Messungen\FPG gegen Ruska\20190529_08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3-3\3-33\Aktuell\FPG_PTB\Messungen\FPG gegen Ruska\20190529_0835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518" cy="2079505"/>
                          </a:xfrm>
                          <a:prstGeom prst="rect">
                            <a:avLst/>
                          </a:prstGeom>
                          <a:noFill/>
                          <a:ln>
                            <a:noFill/>
                          </a:ln>
                        </pic:spPr>
                      </pic:pic>
                    </a:graphicData>
                  </a:graphic>
                </wp:inline>
              </w:drawing>
            </w:r>
          </w:p>
        </w:tc>
      </w:tr>
      <w:tr w:rsidR="0039753A" w:rsidRPr="0002681F" w14:paraId="04FF5D02" w14:textId="77777777" w:rsidTr="00D656C3">
        <w:tblPrEx>
          <w:tblCellMar>
            <w:left w:w="108" w:type="dxa"/>
            <w:right w:w="108" w:type="dxa"/>
          </w:tblCellMar>
        </w:tblPrEx>
        <w:trPr>
          <w:trHeight w:val="45"/>
        </w:trPr>
        <w:tc>
          <w:tcPr>
            <w:tcW w:w="9781" w:type="dxa"/>
            <w:gridSpan w:val="2"/>
            <w:vAlign w:val="center"/>
          </w:tcPr>
          <w:p w14:paraId="47C5A95E" w14:textId="77777777" w:rsidR="009307BB" w:rsidRPr="00B54609" w:rsidRDefault="009307BB" w:rsidP="00D656C3">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1 Experimental </w:t>
            </w:r>
            <w:r>
              <w:rPr>
                <w:sz w:val="20"/>
                <w:lang w:val="en"/>
              </w:rPr>
              <w:t>s</w:t>
            </w:r>
            <w:r w:rsidRPr="00B54609">
              <w:rPr>
                <w:sz w:val="20"/>
                <w:lang w:val="en"/>
              </w:rPr>
              <w:t>etup for cross flo</w:t>
            </w:r>
            <w:r>
              <w:rPr>
                <w:sz w:val="20"/>
                <w:lang w:val="en"/>
              </w:rPr>
              <w:t>a</w:t>
            </w:r>
            <w:r w:rsidRPr="00B54609">
              <w:rPr>
                <w:sz w:val="20"/>
                <w:lang w:val="en"/>
              </w:rPr>
              <w:t xml:space="preserve">ting between FPG and </w:t>
            </w:r>
            <w:r w:rsidRPr="0049786B">
              <w:rPr>
                <w:i/>
                <w:sz w:val="20"/>
                <w:lang w:val="en"/>
              </w:rPr>
              <w:t>Ruska</w:t>
            </w:r>
            <w:r w:rsidRPr="00B54609">
              <w:rPr>
                <w:sz w:val="20"/>
                <w:lang w:val="en"/>
              </w:rPr>
              <w:t xml:space="preserve"> pressure balance.</w:t>
            </w:r>
          </w:p>
        </w:tc>
      </w:tr>
    </w:tbl>
    <w:p w14:paraId="4B5FB95C" w14:textId="0B5E4CAE" w:rsidR="009307BB" w:rsidRPr="0049786B" w:rsidRDefault="009307BB" w:rsidP="009307BB">
      <w:pPr>
        <w:pStyle w:val="BodyText"/>
        <w:widowControl w:val="0"/>
        <w:overflowPunct/>
        <w:autoSpaceDE/>
        <w:autoSpaceDN/>
        <w:adjustRightInd/>
        <w:snapToGrid w:val="0"/>
        <w:spacing w:after="0"/>
        <w:ind w:firstLine="240"/>
        <w:jc w:val="both"/>
        <w:textAlignment w:val="auto"/>
      </w:pPr>
      <w:r>
        <w:t xml:space="preserve">During the measurement, </w:t>
      </w:r>
      <w:r w:rsidRPr="0049786B">
        <w:t>valve V</w:t>
      </w:r>
      <w:r w:rsidRPr="0049786B">
        <w:rPr>
          <w:vertAlign w:val="subscript"/>
        </w:rPr>
        <w:t>1</w:t>
      </w:r>
      <w:r w:rsidRPr="0049786B">
        <w:t>, separating both instruments,</w:t>
      </w:r>
      <w:r>
        <w:t xml:space="preserve"> was</w:t>
      </w:r>
      <w:r w:rsidRPr="0049786B">
        <w:t xml:space="preserve"> closed and </w:t>
      </w:r>
      <w:r>
        <w:t xml:space="preserve">valve </w:t>
      </w:r>
      <w:r w:rsidRPr="0049786B">
        <w:t>V</w:t>
      </w:r>
      <w:r w:rsidRPr="0049786B">
        <w:rPr>
          <w:vertAlign w:val="subscript"/>
        </w:rPr>
        <w:t>2</w:t>
      </w:r>
      <w:r w:rsidRPr="0049786B">
        <w:t xml:space="preserve"> </w:t>
      </w:r>
      <w:r>
        <w:t xml:space="preserve">was </w:t>
      </w:r>
      <w:r w:rsidRPr="0049786B">
        <w:t>opened</w:t>
      </w:r>
      <w:r>
        <w:t>. T</w:t>
      </w:r>
      <w:r w:rsidRPr="0049786B">
        <w:t xml:space="preserve">he pressure </w:t>
      </w:r>
      <w:r>
        <w:t>of</w:t>
      </w:r>
      <w:r w:rsidRPr="0049786B">
        <w:t xml:space="preserve"> FPG was generated by VLPC at </w:t>
      </w:r>
      <w:r>
        <w:t>the target</w:t>
      </w:r>
      <w:r w:rsidRPr="0049786B">
        <w:t xml:space="preserve"> </w:t>
      </w:r>
    </w:p>
    <w:p w14:paraId="3256EE11" w14:textId="77777777" w:rsidR="009307BB" w:rsidRPr="0049786B" w:rsidRDefault="009307BB" w:rsidP="009307BB">
      <w:pPr>
        <w:pStyle w:val="BodyText"/>
        <w:widowControl w:val="0"/>
        <w:overflowPunct/>
        <w:autoSpaceDE/>
        <w:autoSpaceDN/>
        <w:adjustRightInd/>
        <w:snapToGrid w:val="0"/>
        <w:spacing w:after="0"/>
        <w:jc w:val="both"/>
        <w:textAlignment w:val="auto"/>
        <w:rPr>
          <w:rFonts w:eastAsia="MS UI Gothic"/>
          <w:kern w:val="2"/>
          <w:lang w:eastAsia="ja-JP"/>
        </w:rPr>
      </w:pPr>
      <w:r w:rsidRPr="0049786B">
        <w:t>pressure</w:t>
      </w:r>
      <w:r>
        <w:t>,</w:t>
      </w:r>
      <w:r w:rsidRPr="0049786B">
        <w:t xml:space="preserve"> and the </w:t>
      </w:r>
      <w:r>
        <w:t xml:space="preserve">variable </w:t>
      </w:r>
      <w:r w:rsidRPr="0049786B">
        <w:t xml:space="preserve">pressure volume (PV) </w:t>
      </w:r>
      <w:r>
        <w:t xml:space="preserve">was </w:t>
      </w:r>
      <w:r w:rsidRPr="0049786B">
        <w:t xml:space="preserve">used to generate the </w:t>
      </w:r>
      <w:r>
        <w:t xml:space="preserve">target </w:t>
      </w:r>
      <w:r w:rsidRPr="0049786B">
        <w:t xml:space="preserve">pressure </w:t>
      </w:r>
      <w:r>
        <w:t xml:space="preserve">within the </w:t>
      </w:r>
      <w:r w:rsidRPr="0049786B">
        <w:rPr>
          <w:i/>
        </w:rPr>
        <w:t>Ruska</w:t>
      </w:r>
      <w:r w:rsidRPr="0049786B">
        <w:t xml:space="preserve"> </w:t>
      </w:r>
      <w:r>
        <w:t>pressure balance</w:t>
      </w:r>
      <w:r w:rsidRPr="0049786B">
        <w:t xml:space="preserve">. </w:t>
      </w:r>
      <w:r>
        <w:t>Then, t</w:t>
      </w:r>
      <w:r w:rsidRPr="0049786B">
        <w:t xml:space="preserve">he VLPC </w:t>
      </w:r>
      <w:r>
        <w:t xml:space="preserve">was </w:t>
      </w:r>
      <w:r w:rsidRPr="0049786B">
        <w:t xml:space="preserve">used </w:t>
      </w:r>
      <w:r>
        <w:t xml:space="preserve">for a fine pressure adjustment within FPG </w:t>
      </w:r>
      <w:r w:rsidRPr="0049786B">
        <w:t xml:space="preserve">to </w:t>
      </w:r>
      <w:r>
        <w:t xml:space="preserve">reach a nearly </w:t>
      </w:r>
      <w:r w:rsidRPr="0049786B">
        <w:t xml:space="preserve">zero indication </w:t>
      </w:r>
      <w:r>
        <w:t xml:space="preserve">of the </w:t>
      </w:r>
      <w:r w:rsidRPr="0049786B">
        <w:t>CDG</w:t>
      </w:r>
      <w:r>
        <w:t xml:space="preserve">. After that, </w:t>
      </w:r>
      <w:r w:rsidRPr="0049786B">
        <w:t>valve V</w:t>
      </w:r>
      <w:r w:rsidRPr="0049786B">
        <w:rPr>
          <w:vertAlign w:val="subscript"/>
        </w:rPr>
        <w:t>1</w:t>
      </w:r>
      <w:r w:rsidRPr="0049786B">
        <w:t xml:space="preserve"> </w:t>
      </w:r>
      <w:r>
        <w:t xml:space="preserve">was </w:t>
      </w:r>
      <w:r w:rsidRPr="0049786B">
        <w:t>opened and V</w:t>
      </w:r>
      <w:r w:rsidRPr="0049786B">
        <w:rPr>
          <w:vertAlign w:val="subscript"/>
        </w:rPr>
        <w:t>2</w:t>
      </w:r>
      <w:r w:rsidRPr="0049786B">
        <w:t xml:space="preserve"> closed to </w:t>
      </w:r>
      <w:r>
        <w:t>allow for a direct cross-float between the FPG and Ruska pressure balance.</w:t>
      </w:r>
      <w:r w:rsidRPr="001C35F8">
        <w:rPr>
          <w:rFonts w:eastAsia="MS UI Gothic"/>
          <w:kern w:val="2"/>
          <w:lang w:eastAsia="ja-JP"/>
        </w:rPr>
        <w:t xml:space="preserve"> </w:t>
      </w:r>
    </w:p>
    <w:p w14:paraId="6F5B0E6A" w14:textId="230E2216" w:rsidR="001C35F8" w:rsidRDefault="00651AC3" w:rsidP="001C35F8">
      <w:pPr>
        <w:pStyle w:val="BodyText"/>
        <w:widowControl w:val="0"/>
        <w:overflowPunct/>
        <w:autoSpaceDE/>
        <w:autoSpaceDN/>
        <w:adjustRightInd/>
        <w:snapToGrid w:val="0"/>
        <w:spacing w:after="0"/>
        <w:ind w:firstLine="240"/>
        <w:jc w:val="both"/>
        <w:textAlignment w:val="auto"/>
        <w:rPr>
          <w:rFonts w:eastAsia="MS UI Gothic"/>
          <w:kern w:val="2"/>
          <w:lang w:eastAsia="ja-JP"/>
        </w:rPr>
      </w:pPr>
      <w:bookmarkStart w:id="1" w:name="_Hlk17895756"/>
      <w:bookmarkEnd w:id="0"/>
      <w:r w:rsidRPr="00D656C3">
        <w:rPr>
          <w:rFonts w:eastAsia="MS UI Gothic"/>
          <w:kern w:val="2"/>
          <w:lang w:eastAsia="ja-JP"/>
        </w:rPr>
        <w:t xml:space="preserve">From the experimental results, the effective area was calculated by means of </w:t>
      </w:r>
      <w:r w:rsidR="00E120D7">
        <w:rPr>
          <w:rFonts w:eastAsia="MS UI Gothic"/>
          <w:kern w:val="2"/>
          <w:lang w:eastAsia="ja-JP"/>
        </w:rPr>
        <w:t>E</w:t>
      </w:r>
      <w:r w:rsidRPr="00D656C3">
        <w:rPr>
          <w:rFonts w:eastAsia="MS UI Gothic"/>
          <w:kern w:val="2"/>
          <w:lang w:eastAsia="ja-JP"/>
        </w:rPr>
        <w:t>q</w:t>
      </w:r>
      <w:r w:rsidR="00E120D7">
        <w:rPr>
          <w:rFonts w:eastAsia="MS UI Gothic"/>
          <w:kern w:val="2"/>
          <w:lang w:eastAsia="ja-JP"/>
        </w:rPr>
        <w:t>.</w:t>
      </w:r>
      <w:r w:rsidRPr="00D656C3">
        <w:rPr>
          <w:rFonts w:eastAsia="MS UI Gothic"/>
          <w:kern w:val="2"/>
          <w:lang w:eastAsia="ja-JP"/>
        </w:rPr>
        <w:t xml:space="preserve"> </w:t>
      </w:r>
      <w:r w:rsidR="0092089D">
        <w:rPr>
          <w:rFonts w:eastAsia="MS UI Gothic"/>
          <w:kern w:val="2"/>
          <w:lang w:eastAsia="ja-JP"/>
        </w:rPr>
        <w:t>(1</w:t>
      </w:r>
      <w:bookmarkStart w:id="2" w:name="_GoBack"/>
      <w:bookmarkEnd w:id="2"/>
      <w:r w:rsidR="0092089D">
        <w:rPr>
          <w:rFonts w:eastAsia="MS UI Gothic"/>
          <w:kern w:val="2"/>
          <w:lang w:eastAsia="ja-JP"/>
        </w:rPr>
        <w:t>)</w:t>
      </w:r>
      <w:r w:rsidRPr="00D656C3">
        <w:rPr>
          <w:rFonts w:eastAsia="MS UI Gothic"/>
          <w:kern w:val="2"/>
          <w:lang w:eastAsia="ja-JP"/>
        </w:rPr>
        <w:t>,</w:t>
      </w:r>
      <w:r w:rsidR="001C35F8" w:rsidRPr="00D656C3">
        <w:rPr>
          <w:rFonts w:eastAsia="MS UI Gothic"/>
          <w:kern w:val="2"/>
          <w:lang w:eastAsia="ja-JP"/>
        </w:rPr>
        <w:t xml:space="preserve"> </w:t>
      </w:r>
    </w:p>
    <w:tbl>
      <w:tblPr>
        <w:tblW w:w="4460" w:type="dxa"/>
        <w:jc w:val="center"/>
        <w:tblLayout w:type="fixed"/>
        <w:tblLook w:val="04A0" w:firstRow="1" w:lastRow="0" w:firstColumn="1" w:lastColumn="0" w:noHBand="0" w:noVBand="1"/>
      </w:tblPr>
      <w:tblGrid>
        <w:gridCol w:w="3933"/>
        <w:gridCol w:w="527"/>
      </w:tblGrid>
      <w:tr w:rsidR="008C303B" w:rsidRPr="00667D5C" w14:paraId="0DDFEBAD" w14:textId="77777777" w:rsidTr="009333A7">
        <w:trPr>
          <w:trHeight w:val="420"/>
          <w:jc w:val="center"/>
        </w:trPr>
        <w:tc>
          <w:tcPr>
            <w:tcW w:w="3933" w:type="dxa"/>
            <w:vAlign w:val="center"/>
          </w:tcPr>
          <w:p w14:paraId="28180C87" w14:textId="77777777" w:rsidR="008C303B" w:rsidRPr="00234269" w:rsidRDefault="008C303B" w:rsidP="009333A7">
            <w:pPr>
              <w:pStyle w:val="absatz"/>
              <w:spacing w:beforeLines="50" w:before="120" w:afterLines="50" w:after="120" w:line="276" w:lineRule="auto"/>
              <w:jc w:val="center"/>
              <w:rPr>
                <w:rFonts w:asciiTheme="majorBidi" w:hAnsiTheme="majorBidi" w:cstheme="majorBidi"/>
                <w:sz w:val="20"/>
                <w:lang w:val="en-US"/>
              </w:rPr>
            </w:pPr>
            <m:oMathPara>
              <m:oMathParaPr>
                <m:jc m:val="left"/>
              </m:oMathParaPr>
              <m:oMath>
                <m:r>
                  <w:rPr>
                    <w:rFonts w:ascii="Cambria Math" w:hAnsi="Cambria Math" w:cstheme="majorBidi"/>
                    <w:sz w:val="20"/>
                    <w:lang w:val="en-US"/>
                  </w:rPr>
                  <m:t>A=</m:t>
                </m:r>
                <m:f>
                  <m:fPr>
                    <m:ctrlPr>
                      <w:rPr>
                        <w:rFonts w:ascii="Cambria Math" w:hAnsi="Cambria Math" w:cstheme="majorBidi"/>
                        <w:i/>
                        <w:iCs/>
                        <w:sz w:val="20"/>
                        <w:lang w:val="en-US"/>
                      </w:rPr>
                    </m:ctrlPr>
                  </m:fPr>
                  <m:num>
                    <m:sSub>
                      <m:sSubPr>
                        <m:ctrlPr>
                          <w:rPr>
                            <w:rFonts w:ascii="Cambria Math" w:hAnsi="Cambria Math" w:cstheme="majorBidi"/>
                            <w:i/>
                            <w:iCs/>
                            <w:sz w:val="20"/>
                            <w:lang w:val="en-US"/>
                          </w:rPr>
                        </m:ctrlPr>
                      </m:sSubPr>
                      <m:e>
                        <m:r>
                          <w:rPr>
                            <w:rFonts w:ascii="Cambria Math" w:hAnsi="Cambria Math" w:cstheme="majorBidi"/>
                            <w:sz w:val="20"/>
                            <w:lang w:val="en-US"/>
                          </w:rPr>
                          <m:t>F</m:t>
                        </m:r>
                      </m:e>
                      <m:sub>
                        <m:r>
                          <m:rPr>
                            <m:sty m:val="p"/>
                          </m:rPr>
                          <w:rPr>
                            <w:rFonts w:ascii="Cambria Math" w:hAnsi="Cambria Math" w:cstheme="majorBidi"/>
                            <w:sz w:val="20"/>
                            <w:lang w:val="en-US"/>
                          </w:rPr>
                          <m:t>lc</m:t>
                        </m:r>
                      </m:sub>
                    </m:sSub>
                  </m:num>
                  <m:den>
                    <m:r>
                      <w:rPr>
                        <w:rFonts w:ascii="Cambria Math" w:hAnsi="Cambria Math" w:cstheme="majorBidi"/>
                        <w:sz w:val="20"/>
                        <w:lang w:val="en-US"/>
                      </w:rPr>
                      <m:t>(</m:t>
                    </m:r>
                    <m:sSub>
                      <m:sSubPr>
                        <m:ctrlPr>
                          <w:rPr>
                            <w:rFonts w:ascii="Cambria Math" w:hAnsi="Cambria Math" w:cstheme="majorBidi"/>
                            <w:i/>
                            <w:iCs/>
                            <w:sz w:val="20"/>
                            <w:lang w:val="en-US"/>
                          </w:rPr>
                        </m:ctrlPr>
                      </m:sSubPr>
                      <m:e>
                        <m:r>
                          <w:rPr>
                            <w:rFonts w:ascii="Cambria Math" w:hAnsi="Cambria Math" w:cstheme="majorBidi"/>
                            <w:sz w:val="20"/>
                            <w:lang w:val="en-US"/>
                          </w:rPr>
                          <m:t>p</m:t>
                        </m:r>
                      </m:e>
                      <m:sub>
                        <m:r>
                          <m:rPr>
                            <m:sty m:val="p"/>
                          </m:rPr>
                          <w:rPr>
                            <w:rFonts w:ascii="Cambria Math" w:hAnsi="Cambria Math" w:cstheme="majorBidi"/>
                            <w:sz w:val="20"/>
                            <w:lang w:val="en-US"/>
                          </w:rPr>
                          <m:t>ref</m:t>
                        </m:r>
                      </m:sub>
                    </m:sSub>
                    <m:r>
                      <w:rPr>
                        <w:rFonts w:ascii="Cambria Math" w:hAnsi="Cambria Math" w:cstheme="majorBidi"/>
                        <w:sz w:val="20"/>
                        <w:lang w:val="en-US"/>
                      </w:rPr>
                      <m:t>-</m:t>
                    </m:r>
                    <m:sSub>
                      <m:sSubPr>
                        <m:ctrlPr>
                          <w:rPr>
                            <w:rFonts w:ascii="Cambria Math" w:hAnsi="Cambria Math" w:cstheme="majorBidi"/>
                            <w:i/>
                            <w:sz w:val="20"/>
                            <w:lang w:val="en-US"/>
                          </w:rPr>
                        </m:ctrlPr>
                      </m:sSubPr>
                      <m:e>
                        <m:r>
                          <w:rPr>
                            <w:rFonts w:ascii="Cambria Math" w:hAnsi="Cambria Math" w:cstheme="majorBidi"/>
                            <w:sz w:val="20"/>
                            <w:lang w:val="en-US"/>
                          </w:rPr>
                          <m:t>p</m:t>
                        </m:r>
                      </m:e>
                      <m:sub>
                        <m:r>
                          <m:rPr>
                            <m:sty m:val="p"/>
                          </m:rPr>
                          <w:rPr>
                            <w:rFonts w:ascii="Cambria Math" w:hAnsi="Cambria Math" w:cstheme="majorBidi"/>
                            <w:sz w:val="20"/>
                            <w:lang w:val="en-US"/>
                          </w:rPr>
                          <m:t>res</m:t>
                        </m:r>
                      </m:sub>
                    </m:sSub>
                    <m:r>
                      <w:rPr>
                        <w:rFonts w:ascii="Cambria Math" w:hAnsi="Cambria Math" w:cstheme="majorBidi"/>
                        <w:sz w:val="20"/>
                        <w:lang w:val="en-US"/>
                      </w:rPr>
                      <m:t>)</m:t>
                    </m:r>
                    <m:r>
                      <w:rPr>
                        <w:rFonts w:ascii="Cambria Math" w:hAnsi="Cambria Math" w:cs="Tahoma"/>
                        <w:sz w:val="20"/>
                        <w:lang w:val="en-US"/>
                      </w:rPr>
                      <m:t>∙</m:t>
                    </m:r>
                    <m:r>
                      <w:rPr>
                        <w:rFonts w:ascii="Cambria Math" w:hAnsi="Cambria Math" w:cstheme="majorBidi"/>
                        <w:sz w:val="20"/>
                        <w:lang w:val="en-US"/>
                      </w:rPr>
                      <m:t>[1+(α+β)</m:t>
                    </m:r>
                    <m:r>
                      <w:rPr>
                        <w:rFonts w:ascii="Cambria Math" w:hAnsi="Cambria Math" w:cs="Tahoma"/>
                        <w:sz w:val="20"/>
                        <w:lang w:val="en-US"/>
                      </w:rPr>
                      <m:t>∙</m:t>
                    </m:r>
                    <m:r>
                      <w:rPr>
                        <w:rFonts w:ascii="Cambria Math" w:hAnsi="Cambria Math" w:cstheme="majorBidi"/>
                        <w:sz w:val="20"/>
                        <w:lang w:val="en-US"/>
                      </w:rPr>
                      <m:t>(t-20)]</m:t>
                    </m:r>
                  </m:den>
                </m:f>
                <m:r>
                  <w:rPr>
                    <w:rFonts w:ascii="Cambria Math" w:hAnsi="Cambria Math" w:cstheme="majorBidi"/>
                    <w:sz w:val="20"/>
                    <w:lang w:val="en-US"/>
                  </w:rPr>
                  <m:t xml:space="preserve">  ,</m:t>
                </m:r>
              </m:oMath>
            </m:oMathPara>
          </w:p>
        </w:tc>
        <w:tc>
          <w:tcPr>
            <w:tcW w:w="527" w:type="dxa"/>
            <w:vAlign w:val="center"/>
          </w:tcPr>
          <w:p w14:paraId="3DA569FD" w14:textId="77777777" w:rsidR="008C303B" w:rsidRPr="00234269" w:rsidRDefault="008C303B" w:rsidP="009333A7">
            <w:pPr>
              <w:pStyle w:val="absatz"/>
              <w:spacing w:beforeLines="50" w:before="120" w:afterLines="50" w:after="120" w:line="240" w:lineRule="auto"/>
              <w:jc w:val="center"/>
              <w:rPr>
                <w:sz w:val="20"/>
                <w:lang w:val="en-US"/>
              </w:rPr>
            </w:pPr>
            <w:r w:rsidRPr="00234269">
              <w:rPr>
                <w:sz w:val="20"/>
                <w:lang w:val="en-US"/>
              </w:rPr>
              <w:t>(1)</w:t>
            </w:r>
          </w:p>
        </w:tc>
      </w:tr>
    </w:tbl>
    <w:p w14:paraId="43E9ACFF" w14:textId="337BBE1B" w:rsidR="00456671" w:rsidRDefault="00651AC3" w:rsidP="0050533D">
      <w:pPr>
        <w:pStyle w:val="BodyText"/>
        <w:widowControl w:val="0"/>
        <w:overflowPunct/>
        <w:autoSpaceDE/>
        <w:autoSpaceDN/>
        <w:adjustRightInd/>
        <w:snapToGrid w:val="0"/>
        <w:spacing w:after="0"/>
        <w:jc w:val="both"/>
        <w:textAlignment w:val="auto"/>
        <w:rPr>
          <w:lang w:val="en"/>
        </w:rPr>
      </w:pPr>
      <w:r w:rsidRPr="00D656C3">
        <w:rPr>
          <w:lang w:val="en"/>
        </w:rPr>
        <w:t xml:space="preserve">in which </w:t>
      </w:r>
      <w:proofErr w:type="spellStart"/>
      <w:r w:rsidRPr="00D656C3">
        <w:rPr>
          <w:i/>
          <w:lang w:val="en"/>
        </w:rPr>
        <w:t>p</w:t>
      </w:r>
      <w:r w:rsidRPr="00D656C3">
        <w:rPr>
          <w:vertAlign w:val="subscript"/>
          <w:lang w:val="en"/>
        </w:rPr>
        <w:t>ref</w:t>
      </w:r>
      <w:proofErr w:type="spellEnd"/>
      <w:r w:rsidRPr="00D656C3">
        <w:rPr>
          <w:lang w:val="en"/>
        </w:rPr>
        <w:t xml:space="preserve"> is the pressure of the reference </w:t>
      </w:r>
      <w:r w:rsidR="00241AD3" w:rsidRPr="00D656C3">
        <w:rPr>
          <w:lang w:val="en"/>
        </w:rPr>
        <w:t>standard</w:t>
      </w:r>
      <w:r w:rsidRPr="00D656C3">
        <w:rPr>
          <w:lang w:val="en"/>
        </w:rPr>
        <w:t xml:space="preserve">, </w:t>
      </w:r>
      <w:proofErr w:type="spellStart"/>
      <w:r w:rsidRPr="00D656C3">
        <w:rPr>
          <w:i/>
          <w:iCs/>
          <w:lang w:val="en"/>
        </w:rPr>
        <w:t>p</w:t>
      </w:r>
      <w:r w:rsidRPr="00D656C3">
        <w:rPr>
          <w:vertAlign w:val="subscript"/>
          <w:lang w:val="en"/>
        </w:rPr>
        <w:t>res</w:t>
      </w:r>
      <w:proofErr w:type="spellEnd"/>
      <w:r w:rsidRPr="00D656C3">
        <w:rPr>
          <w:lang w:val="en"/>
        </w:rPr>
        <w:t xml:space="preserve"> is the residual pressure in the lower side of </w:t>
      </w:r>
      <w:r w:rsidR="00456671">
        <w:rPr>
          <w:lang w:val="en"/>
        </w:rPr>
        <w:t xml:space="preserve">the </w:t>
      </w:r>
      <w:r w:rsidRPr="00D656C3">
        <w:rPr>
          <w:lang w:val="en"/>
        </w:rPr>
        <w:t>FPG PCA</w:t>
      </w:r>
      <w:r w:rsidR="00456671">
        <w:rPr>
          <w:lang w:val="en"/>
        </w:rPr>
        <w:t>,</w:t>
      </w:r>
      <w:r w:rsidRPr="00D656C3">
        <w:rPr>
          <w:lang w:val="en"/>
        </w:rPr>
        <w:t xml:space="preserve"> equal to zero in gauge mode, </w:t>
      </w:r>
      <w:r w:rsidRPr="00D656C3">
        <w:rPr>
          <w:i/>
          <w:lang w:val="en"/>
        </w:rPr>
        <w:t>α</w:t>
      </w:r>
      <w:r w:rsidRPr="00D656C3">
        <w:rPr>
          <w:lang w:val="en"/>
        </w:rPr>
        <w:t xml:space="preserve"> + </w:t>
      </w:r>
      <w:r w:rsidRPr="00D656C3">
        <w:rPr>
          <w:i/>
          <w:lang w:val="en"/>
        </w:rPr>
        <w:t>β</w:t>
      </w:r>
      <w:r w:rsidRPr="00D656C3">
        <w:rPr>
          <w:lang w:val="en"/>
        </w:rPr>
        <w:t xml:space="preserve"> is the thermal expansion coefficient of the </w:t>
      </w:r>
      <w:r w:rsidR="00456671" w:rsidRPr="003E2422">
        <w:rPr>
          <w:lang w:val="en"/>
        </w:rPr>
        <w:t xml:space="preserve">FPG </w:t>
      </w:r>
      <w:r w:rsidRPr="00D656C3">
        <w:rPr>
          <w:lang w:val="en"/>
        </w:rPr>
        <w:t xml:space="preserve">PCA and </w:t>
      </w:r>
      <w:proofErr w:type="spellStart"/>
      <w:r w:rsidRPr="00D656C3">
        <w:rPr>
          <w:i/>
          <w:lang w:val="en"/>
        </w:rPr>
        <w:t>F</w:t>
      </w:r>
      <w:r w:rsidRPr="00D656C3">
        <w:rPr>
          <w:vertAlign w:val="subscript"/>
          <w:lang w:val="en"/>
        </w:rPr>
        <w:t>lc</w:t>
      </w:r>
      <w:proofErr w:type="spellEnd"/>
      <w:r w:rsidRPr="00D656C3">
        <w:rPr>
          <w:lang w:val="en"/>
        </w:rPr>
        <w:t xml:space="preserve"> is the force measured by the </w:t>
      </w:r>
      <w:r w:rsidR="0006647E">
        <w:rPr>
          <w:lang w:val="en"/>
        </w:rPr>
        <w:t>balance</w:t>
      </w:r>
      <w:r w:rsidRPr="00D656C3">
        <w:rPr>
          <w:lang w:val="en"/>
        </w:rPr>
        <w:t xml:space="preserve"> and corrected for buoyancy and lubrication pressure change effects according to </w:t>
      </w:r>
      <w:r w:rsidRPr="00D656C3">
        <w:rPr>
          <w:lang w:val="en"/>
        </w:rPr>
        <w:fldChar w:fldCharType="begin" w:fldLock="1"/>
      </w:r>
      <w:r w:rsidRPr="00D656C3">
        <w:rPr>
          <w:lang w:val="en"/>
        </w:rPr>
        <w:instrText>ADDIN CSL_CITATION { "citationItems" : [ { "id" : "ITEM-1", "itemData" : { "author" : [ { "dropping-particle" : "", "family" : "Engines", "given" : "C On-highway", "non-dropping-particle" : "", "parse-names" : false, "suffix" : "" } ], "id" : "ITEM-1", "issue" : "October", "issued" : { "date-parts" : [ [ "2005" ] ] }, "title" : "FPG 8601 Operation and Maintenance Manual", "type" : "report" }, "uris" : [ "http://www.mendeley.com/documents/?uuid=1f62bc71-e82b-4865-9d70-46858afa6e38" ] } ], "mendeley" : { "formattedCitation" : "[1]", "manualFormatting" : "[1]", "plainTextFormattedCitation" : "[1]", "previouslyFormattedCitation" : "[16]" }, "properties" : { "noteIndex" : 0 }, "schema" : "https://github.com/citation-style-language/schema/raw/master/csl-citation.json" }</w:instrText>
      </w:r>
      <w:r w:rsidRPr="00D656C3">
        <w:rPr>
          <w:lang w:val="en"/>
        </w:rPr>
        <w:fldChar w:fldCharType="separate"/>
      </w:r>
      <w:r w:rsidRPr="00D656C3">
        <w:rPr>
          <w:noProof/>
          <w:lang w:val="en"/>
        </w:rPr>
        <w:t>[</w:t>
      </w:r>
      <w:r w:rsidR="000B11E2">
        <w:rPr>
          <w:noProof/>
          <w:lang w:val="en"/>
        </w:rPr>
        <w:t>6</w:t>
      </w:r>
      <w:r w:rsidRPr="00D656C3">
        <w:rPr>
          <w:noProof/>
          <w:lang w:val="en"/>
        </w:rPr>
        <w:t>]</w:t>
      </w:r>
      <w:r w:rsidRPr="00D656C3">
        <w:rPr>
          <w:lang w:val="en"/>
        </w:rPr>
        <w:fldChar w:fldCharType="end"/>
      </w:r>
      <w:r w:rsidRPr="00D656C3">
        <w:rPr>
          <w:lang w:val="en"/>
        </w:rPr>
        <w:t xml:space="preserve">, </w:t>
      </w:r>
    </w:p>
    <w:tbl>
      <w:tblPr>
        <w:tblW w:w="4565" w:type="dxa"/>
        <w:jc w:val="center"/>
        <w:tblLayout w:type="fixed"/>
        <w:tblLook w:val="04A0" w:firstRow="1" w:lastRow="0" w:firstColumn="1" w:lastColumn="0" w:noHBand="0" w:noVBand="1"/>
      </w:tblPr>
      <w:tblGrid>
        <w:gridCol w:w="4026"/>
        <w:gridCol w:w="539"/>
      </w:tblGrid>
      <w:tr w:rsidR="0034528C" w:rsidRPr="0049786B" w14:paraId="2ECD1763" w14:textId="77777777" w:rsidTr="009333A7">
        <w:trPr>
          <w:trHeight w:val="420"/>
          <w:jc w:val="center"/>
        </w:trPr>
        <w:tc>
          <w:tcPr>
            <w:tcW w:w="4026" w:type="dxa"/>
            <w:vAlign w:val="center"/>
          </w:tcPr>
          <w:p w14:paraId="203F2019" w14:textId="77777777" w:rsidR="0034528C" w:rsidRPr="0049786B" w:rsidRDefault="00C97D41" w:rsidP="009333A7">
            <w:pPr>
              <w:pStyle w:val="absatz"/>
              <w:spacing w:beforeLines="50" w:before="120" w:afterLines="50" w:after="120" w:line="276" w:lineRule="auto"/>
              <w:jc w:val="center"/>
              <w:rPr>
                <w:rFonts w:asciiTheme="majorBidi" w:hAnsiTheme="majorBidi" w:cstheme="majorBidi"/>
                <w:sz w:val="20"/>
                <w:lang w:val="en-US"/>
              </w:rPr>
            </w:pPr>
            <m:oMathPara>
              <m:oMathParaPr>
                <m:jc m:val="left"/>
              </m:oMathParaPr>
              <m:oMath>
                <m:sSub>
                  <m:sSubPr>
                    <m:ctrlPr>
                      <w:rPr>
                        <w:rFonts w:ascii="Cambria Math" w:hAnsi="Cambria Math" w:cstheme="majorBidi"/>
                        <w:i/>
                        <w:sz w:val="20"/>
                        <w:lang w:val="en-US"/>
                      </w:rPr>
                    </m:ctrlPr>
                  </m:sSubPr>
                  <m:e>
                    <m:r>
                      <w:rPr>
                        <w:rFonts w:ascii="Cambria Math" w:hAnsi="Cambria Math" w:cstheme="majorBidi"/>
                        <w:sz w:val="20"/>
                        <w:lang w:val="en-US"/>
                      </w:rPr>
                      <m:t>F</m:t>
                    </m:r>
                  </m:e>
                  <m:sub>
                    <m:r>
                      <m:rPr>
                        <m:sty m:val="p"/>
                      </m:rPr>
                      <w:rPr>
                        <w:rFonts w:ascii="Cambria Math" w:hAnsi="Cambria Math" w:cstheme="majorBidi"/>
                        <w:sz w:val="20"/>
                        <w:lang w:val="en-US"/>
                      </w:rPr>
                      <m:t>lc</m:t>
                    </m:r>
                  </m:sub>
                </m:sSub>
                <m:r>
                  <w:rPr>
                    <w:rFonts w:ascii="Cambria Math" w:hAnsi="Cambria Math" w:cstheme="majorBidi"/>
                    <w:sz w:val="20"/>
                    <w:lang w:val="en-US"/>
                  </w:rPr>
                  <m:t>=</m:t>
                </m:r>
                <m:f>
                  <m:fPr>
                    <m:ctrlPr>
                      <w:rPr>
                        <w:rFonts w:ascii="Cambria Math" w:hAnsi="Cambria Math" w:cstheme="majorBidi"/>
                        <w:i/>
                        <w:sz w:val="20"/>
                        <w:lang w:val="en-US"/>
                      </w:rPr>
                    </m:ctrlPr>
                  </m:fPr>
                  <m:num>
                    <m:sSub>
                      <m:sSubPr>
                        <m:ctrlPr>
                          <w:rPr>
                            <w:rFonts w:ascii="Cambria Math" w:hAnsi="Cambria Math" w:cstheme="majorBidi"/>
                            <w:i/>
                            <w:sz w:val="20"/>
                            <w:lang w:val="en-US"/>
                          </w:rPr>
                        </m:ctrlPr>
                      </m:sSubPr>
                      <m:e>
                        <m:r>
                          <w:rPr>
                            <w:rFonts w:ascii="Cambria Math" w:hAnsi="Cambria Math" w:cstheme="majorBidi"/>
                            <w:sz w:val="20"/>
                            <w:lang w:val="en-US"/>
                          </w:rPr>
                          <m:t>m</m:t>
                        </m:r>
                      </m:e>
                      <m:sub>
                        <m:r>
                          <m:rPr>
                            <m:sty m:val="p"/>
                          </m:rPr>
                          <w:rPr>
                            <w:rFonts w:ascii="Cambria Math" w:hAnsi="Cambria Math" w:cstheme="majorBidi"/>
                            <w:sz w:val="20"/>
                            <w:lang w:val="en-US"/>
                          </w:rPr>
                          <m:t>cal</m:t>
                        </m:r>
                      </m:sub>
                    </m:sSub>
                    <m:r>
                      <w:rPr>
                        <w:rFonts w:ascii="Cambria Math" w:hAnsi="Cambria Math" w:cstheme="majorBidi"/>
                        <w:sz w:val="20"/>
                        <w:lang w:val="en-US"/>
                      </w:rPr>
                      <m:t>∙</m:t>
                    </m:r>
                    <m:d>
                      <m:dPr>
                        <m:ctrlPr>
                          <w:rPr>
                            <w:rFonts w:ascii="Cambria Math" w:hAnsi="Cambria Math" w:cstheme="majorBidi"/>
                            <w:i/>
                            <w:sz w:val="20"/>
                            <w:lang w:val="en-US"/>
                          </w:rPr>
                        </m:ctrlPr>
                      </m:dPr>
                      <m:e>
                        <m:r>
                          <w:rPr>
                            <w:rFonts w:ascii="Cambria Math" w:hAnsi="Cambria Math" w:cstheme="majorBidi"/>
                            <w:sz w:val="20"/>
                            <w:lang w:val="en-US"/>
                          </w:rPr>
                          <m:t>1-</m:t>
                        </m:r>
                        <m:f>
                          <m:fPr>
                            <m:ctrlPr>
                              <w:rPr>
                                <w:rFonts w:ascii="Cambria Math" w:hAnsi="Cambria Math" w:cstheme="majorBidi"/>
                                <w:i/>
                                <w:sz w:val="20"/>
                                <w:lang w:val="en-US"/>
                              </w:rPr>
                            </m:ctrlPr>
                          </m:fPr>
                          <m:num>
                            <m:sSub>
                              <m:sSubPr>
                                <m:ctrlPr>
                                  <w:rPr>
                                    <w:rFonts w:ascii="Cambria Math" w:hAnsi="Cambria Math" w:cstheme="majorBidi"/>
                                    <w:i/>
                                    <w:sz w:val="20"/>
                                    <w:lang w:val="en-US"/>
                                  </w:rPr>
                                </m:ctrlPr>
                              </m:sSubPr>
                              <m:e>
                                <m:r>
                                  <w:rPr>
                                    <w:rFonts w:ascii="Cambria Math" w:hAnsi="Cambria Math" w:cstheme="majorBidi"/>
                                    <w:sz w:val="20"/>
                                    <w:lang w:val="en-US"/>
                                  </w:rPr>
                                  <m:t>ρ</m:t>
                                </m:r>
                              </m:e>
                              <m:sub>
                                <m:r>
                                  <m:rPr>
                                    <m:sty m:val="p"/>
                                  </m:rPr>
                                  <w:rPr>
                                    <w:rFonts w:ascii="Cambria Math" w:hAnsi="Cambria Math" w:cstheme="majorBidi"/>
                                    <w:sz w:val="20"/>
                                    <w:lang w:val="en-US"/>
                                  </w:rPr>
                                  <m:t>lub</m:t>
                                </m:r>
                              </m:sub>
                            </m:sSub>
                          </m:num>
                          <m:den>
                            <m:sSub>
                              <m:sSubPr>
                                <m:ctrlPr>
                                  <w:rPr>
                                    <w:rFonts w:ascii="Cambria Math" w:hAnsi="Cambria Math" w:cstheme="majorBidi"/>
                                    <w:i/>
                                    <w:sz w:val="20"/>
                                    <w:lang w:val="en-US"/>
                                  </w:rPr>
                                </m:ctrlPr>
                              </m:sSubPr>
                              <m:e>
                                <m:r>
                                  <w:rPr>
                                    <w:rFonts w:ascii="Cambria Math" w:hAnsi="Cambria Math" w:cstheme="majorBidi"/>
                                    <w:sz w:val="20"/>
                                    <w:lang w:val="en-US"/>
                                  </w:rPr>
                                  <m:t>ρ</m:t>
                                </m:r>
                              </m:e>
                              <m:sub>
                                <m:r>
                                  <m:rPr>
                                    <m:sty m:val="p"/>
                                  </m:rPr>
                                  <w:rPr>
                                    <w:rFonts w:ascii="Cambria Math" w:hAnsi="Cambria Math" w:cstheme="majorBidi"/>
                                    <w:sz w:val="20"/>
                                    <w:lang w:val="en-US"/>
                                  </w:rPr>
                                  <m:t>m</m:t>
                                </m:r>
                              </m:sub>
                            </m:sSub>
                          </m:den>
                        </m:f>
                      </m:e>
                    </m:d>
                    <m:r>
                      <w:rPr>
                        <w:rFonts w:ascii="Cambria Math" w:hAnsi="Cambria Math" w:cstheme="majorBidi"/>
                        <w:sz w:val="20"/>
                        <w:lang w:val="en-US"/>
                      </w:rPr>
                      <m:t>∙g</m:t>
                    </m:r>
                  </m:num>
                  <m:den>
                    <m:sSub>
                      <m:sSubPr>
                        <m:ctrlPr>
                          <w:rPr>
                            <w:rFonts w:ascii="Cambria Math" w:hAnsi="Cambria Math" w:cstheme="majorBidi"/>
                            <w:i/>
                            <w:sz w:val="20"/>
                            <w:lang w:val="en-US"/>
                          </w:rPr>
                        </m:ctrlPr>
                      </m:sSubPr>
                      <m:e>
                        <m:r>
                          <w:rPr>
                            <w:rFonts w:ascii="Cambria Math" w:hAnsi="Cambria Math" w:cstheme="majorBidi"/>
                            <w:sz w:val="20"/>
                            <w:lang w:val="en-US"/>
                          </w:rPr>
                          <m:t>N</m:t>
                        </m:r>
                      </m:e>
                      <m:sub>
                        <m:r>
                          <m:rPr>
                            <m:sty m:val="p"/>
                          </m:rPr>
                          <w:rPr>
                            <w:rFonts w:ascii="Cambria Math" w:hAnsi="Cambria Math" w:cstheme="majorBidi"/>
                            <w:sz w:val="20"/>
                            <w:lang w:val="en-US"/>
                          </w:rPr>
                          <m:t>cal</m:t>
                        </m:r>
                      </m:sub>
                    </m:sSub>
                  </m:den>
                </m:f>
                <m:d>
                  <m:dPr>
                    <m:ctrlPr>
                      <w:rPr>
                        <w:rFonts w:ascii="Cambria Math" w:hAnsi="Cambria Math" w:cstheme="majorBidi"/>
                        <w:i/>
                        <w:sz w:val="20"/>
                        <w:lang w:val="en-US"/>
                      </w:rPr>
                    </m:ctrlPr>
                  </m:dPr>
                  <m:e>
                    <m:r>
                      <w:rPr>
                        <w:rFonts w:ascii="Cambria Math" w:hAnsi="Cambria Math" w:cstheme="majorBidi"/>
                        <w:sz w:val="20"/>
                        <w:lang w:val="en-US"/>
                      </w:rPr>
                      <m:t>N+δ</m:t>
                    </m:r>
                    <m:sSub>
                      <m:sSubPr>
                        <m:ctrlPr>
                          <w:rPr>
                            <w:rFonts w:ascii="Cambria Math" w:hAnsi="Cambria Math" w:cstheme="majorBidi"/>
                            <w:i/>
                            <w:sz w:val="20"/>
                            <w:lang w:val="en-US"/>
                          </w:rPr>
                        </m:ctrlPr>
                      </m:sSubPr>
                      <m:e>
                        <m:r>
                          <w:rPr>
                            <w:rFonts w:ascii="Cambria Math" w:hAnsi="Cambria Math" w:cstheme="majorBidi"/>
                            <w:sz w:val="20"/>
                            <w:lang w:val="en-US"/>
                          </w:rPr>
                          <m:t>N</m:t>
                        </m:r>
                      </m:e>
                      <m:sub>
                        <m:r>
                          <w:rPr>
                            <w:rFonts w:ascii="Cambria Math" w:hAnsi="Cambria Math" w:cstheme="majorBidi"/>
                            <w:sz w:val="20"/>
                            <w:lang w:val="en-US"/>
                          </w:rPr>
                          <m:t>1</m:t>
                        </m:r>
                      </m:sub>
                    </m:sSub>
                    <m:r>
                      <w:rPr>
                        <w:rFonts w:ascii="Cambria Math" w:hAnsi="Cambria Math" w:cstheme="majorBidi"/>
                        <w:sz w:val="20"/>
                        <w:lang w:val="en-US"/>
                      </w:rPr>
                      <m:t>+δ</m:t>
                    </m:r>
                    <m:sSub>
                      <m:sSubPr>
                        <m:ctrlPr>
                          <w:rPr>
                            <w:rFonts w:ascii="Cambria Math" w:hAnsi="Cambria Math" w:cstheme="majorBidi"/>
                            <w:i/>
                            <w:sz w:val="20"/>
                            <w:lang w:val="en-US"/>
                          </w:rPr>
                        </m:ctrlPr>
                      </m:sSubPr>
                      <m:e>
                        <m:r>
                          <w:rPr>
                            <w:rFonts w:ascii="Cambria Math" w:hAnsi="Cambria Math" w:cstheme="majorBidi"/>
                            <w:sz w:val="20"/>
                            <w:lang w:val="en-US"/>
                          </w:rPr>
                          <m:t>N</m:t>
                        </m:r>
                      </m:e>
                      <m:sub>
                        <m:r>
                          <w:rPr>
                            <w:rFonts w:ascii="Cambria Math" w:hAnsi="Cambria Math" w:cstheme="majorBidi"/>
                            <w:sz w:val="20"/>
                            <w:lang w:val="en-US"/>
                          </w:rPr>
                          <m:t>2</m:t>
                        </m:r>
                      </m:sub>
                    </m:sSub>
                    <m:r>
                      <w:rPr>
                        <w:rFonts w:ascii="Cambria Math" w:hAnsi="Cambria Math" w:cstheme="majorBidi"/>
                        <w:sz w:val="20"/>
                        <w:lang w:val="en-US"/>
                      </w:rPr>
                      <m:t>+δ</m:t>
                    </m:r>
                    <m:sSub>
                      <m:sSubPr>
                        <m:ctrlPr>
                          <w:rPr>
                            <w:rFonts w:ascii="Cambria Math" w:hAnsi="Cambria Math" w:cstheme="majorBidi"/>
                            <w:i/>
                            <w:sz w:val="20"/>
                            <w:lang w:val="en-US"/>
                          </w:rPr>
                        </m:ctrlPr>
                      </m:sSubPr>
                      <m:e>
                        <m:r>
                          <w:rPr>
                            <w:rFonts w:ascii="Cambria Math" w:hAnsi="Cambria Math" w:cstheme="majorBidi"/>
                            <w:sz w:val="20"/>
                            <w:lang w:val="en-US"/>
                          </w:rPr>
                          <m:t>N</m:t>
                        </m:r>
                      </m:e>
                      <m:sub>
                        <m:r>
                          <w:rPr>
                            <w:rFonts w:ascii="Cambria Math" w:hAnsi="Cambria Math" w:cstheme="majorBidi"/>
                            <w:sz w:val="20"/>
                            <w:lang w:val="en-US"/>
                          </w:rPr>
                          <m:t>3</m:t>
                        </m:r>
                      </m:sub>
                    </m:sSub>
                  </m:e>
                </m:d>
                <m:r>
                  <w:rPr>
                    <w:rFonts w:ascii="Cambria Math" w:hAnsi="Cambria Math" w:cstheme="majorBidi"/>
                    <w:sz w:val="20"/>
                    <w:lang w:val="en-US"/>
                  </w:rPr>
                  <m:t>.</m:t>
                </m:r>
              </m:oMath>
            </m:oMathPara>
          </w:p>
        </w:tc>
        <w:tc>
          <w:tcPr>
            <w:tcW w:w="539" w:type="dxa"/>
            <w:vAlign w:val="center"/>
          </w:tcPr>
          <w:p w14:paraId="30BF1D20" w14:textId="77777777" w:rsidR="0034528C" w:rsidRPr="0049786B" w:rsidRDefault="0034528C" w:rsidP="009333A7">
            <w:pPr>
              <w:pStyle w:val="absatz"/>
              <w:spacing w:beforeLines="50" w:before="120" w:afterLines="50" w:after="120" w:line="276" w:lineRule="auto"/>
              <w:jc w:val="center"/>
              <w:rPr>
                <w:sz w:val="20"/>
                <w:lang w:val="en-US"/>
              </w:rPr>
            </w:pPr>
            <w:r w:rsidRPr="0049786B">
              <w:rPr>
                <w:sz w:val="20"/>
                <w:lang w:val="en-US"/>
              </w:rPr>
              <w:t>(</w:t>
            </w:r>
            <w:r>
              <w:rPr>
                <w:sz w:val="20"/>
                <w:lang w:val="en-US"/>
              </w:rPr>
              <w:t>2</w:t>
            </w:r>
            <w:r w:rsidRPr="0049786B">
              <w:rPr>
                <w:sz w:val="20"/>
                <w:lang w:val="en-US"/>
              </w:rPr>
              <w:t>)</w:t>
            </w:r>
          </w:p>
        </w:tc>
      </w:tr>
    </w:tbl>
    <w:bookmarkEnd w:id="1"/>
    <w:p w14:paraId="41F23CBC" w14:textId="6A020843" w:rsidR="0006647E" w:rsidRPr="0049786B" w:rsidRDefault="0006647E" w:rsidP="00D656C3">
      <w:pPr>
        <w:pStyle w:val="BodyText"/>
        <w:widowControl w:val="0"/>
        <w:overflowPunct/>
        <w:autoSpaceDE/>
        <w:autoSpaceDN/>
        <w:adjustRightInd/>
        <w:snapToGrid w:val="0"/>
        <w:spacing w:after="0"/>
        <w:jc w:val="both"/>
        <w:textAlignment w:val="auto"/>
        <w:rPr>
          <w:rFonts w:eastAsia="MS UI Gothic"/>
          <w:kern w:val="2"/>
          <w:lang w:eastAsia="ja-JP"/>
        </w:rPr>
      </w:pPr>
      <w:r>
        <w:rPr>
          <w:lang w:val="en"/>
        </w:rPr>
        <w:t>Here,</w:t>
      </w:r>
      <w:r w:rsidR="00651AC3" w:rsidRPr="00D656C3">
        <w:t xml:space="preserve"> </w:t>
      </w:r>
      <w:proofErr w:type="spellStart"/>
      <w:r w:rsidR="00651AC3" w:rsidRPr="00D656C3">
        <w:rPr>
          <w:i/>
          <w:iCs/>
        </w:rPr>
        <w:t>m</w:t>
      </w:r>
      <w:r w:rsidR="00651AC3" w:rsidRPr="00D656C3">
        <w:rPr>
          <w:vertAlign w:val="subscript"/>
        </w:rPr>
        <w:t>cal</w:t>
      </w:r>
      <w:proofErr w:type="spellEnd"/>
      <w:r w:rsidR="00651AC3" w:rsidRPr="00D656C3">
        <w:t xml:space="preserve"> is the true mass of the internal </w:t>
      </w:r>
      <w:r>
        <w:t xml:space="preserve">reference </w:t>
      </w:r>
      <w:r w:rsidR="00651AC3" w:rsidRPr="00D656C3">
        <w:t xml:space="preserve">mass used for </w:t>
      </w:r>
      <w:r>
        <w:t>balance's</w:t>
      </w:r>
      <w:r w:rsidR="00651AC3" w:rsidRPr="00D656C3">
        <w:t xml:space="preserve"> internal calibration, </w:t>
      </w:r>
      <w:proofErr w:type="spellStart"/>
      <w:r w:rsidR="00651AC3" w:rsidRPr="00D656C3">
        <w:rPr>
          <w:i/>
          <w:iCs/>
        </w:rPr>
        <w:t>N</w:t>
      </w:r>
      <w:r w:rsidR="00651AC3" w:rsidRPr="00D656C3">
        <w:rPr>
          <w:vertAlign w:val="subscript"/>
        </w:rPr>
        <w:t>cal</w:t>
      </w:r>
      <w:proofErr w:type="spellEnd"/>
      <w:r w:rsidR="00651AC3" w:rsidRPr="00D656C3">
        <w:t xml:space="preserve"> is the reading of the balance when </w:t>
      </w:r>
      <w:proofErr w:type="spellStart"/>
      <w:r w:rsidR="00651AC3" w:rsidRPr="00D656C3">
        <w:rPr>
          <w:i/>
          <w:iCs/>
        </w:rPr>
        <w:t>m</w:t>
      </w:r>
      <w:r w:rsidR="00651AC3" w:rsidRPr="00D656C3">
        <w:rPr>
          <w:vertAlign w:val="subscript"/>
        </w:rPr>
        <w:t>cal</w:t>
      </w:r>
      <w:proofErr w:type="spellEnd"/>
      <w:r w:rsidR="00651AC3" w:rsidRPr="00D656C3">
        <w:t xml:space="preserve"> is loaded, </w:t>
      </w:r>
      <w:r w:rsidR="00651AC3" w:rsidRPr="00D656C3">
        <w:rPr>
          <w:i/>
          <w:iCs/>
        </w:rPr>
        <w:t>N</w:t>
      </w:r>
      <w:r w:rsidR="00651AC3" w:rsidRPr="00D656C3">
        <w:t xml:space="preserve"> is the balance indication due to the pressure difference, </w:t>
      </w:r>
      <w:r w:rsidR="00651AC3" w:rsidRPr="00D656C3">
        <w:rPr>
          <w:i/>
          <w:iCs/>
        </w:rPr>
        <w:t>δN</w:t>
      </w:r>
      <w:r w:rsidR="00651AC3" w:rsidRPr="00D656C3">
        <w:rPr>
          <w:vertAlign w:val="subscript"/>
        </w:rPr>
        <w:t>1</w:t>
      </w:r>
      <w:r w:rsidR="00651AC3" w:rsidRPr="00D656C3">
        <w:t xml:space="preserve"> is the indication correction due to the lubricant gas pressure variation, </w:t>
      </w:r>
      <w:r w:rsidR="00651AC3" w:rsidRPr="00D656C3">
        <w:rPr>
          <w:i/>
          <w:iCs/>
        </w:rPr>
        <w:t>δN</w:t>
      </w:r>
      <w:r w:rsidR="00651AC3" w:rsidRPr="00D656C3">
        <w:rPr>
          <w:vertAlign w:val="subscript"/>
        </w:rPr>
        <w:t>2</w:t>
      </w:r>
      <w:r w:rsidR="00651AC3" w:rsidRPr="00D656C3">
        <w:t xml:space="preserve"> is the indication correction due to the drag force change and </w:t>
      </w:r>
      <w:r w:rsidR="00651AC3" w:rsidRPr="00D656C3">
        <w:rPr>
          <w:i/>
          <w:iCs/>
        </w:rPr>
        <w:t>δN</w:t>
      </w:r>
      <w:r w:rsidR="00651AC3" w:rsidRPr="00D656C3">
        <w:rPr>
          <w:vertAlign w:val="subscript"/>
        </w:rPr>
        <w:t>3</w:t>
      </w:r>
      <w:r w:rsidR="00651AC3" w:rsidRPr="00D656C3">
        <w:t xml:space="preserve"> is the indication correction due to the atmospheric pressure variation.</w:t>
      </w:r>
      <w:r w:rsidRPr="0006647E">
        <w:rPr>
          <w:rFonts w:eastAsia="MS UI Gothic"/>
          <w:kern w:val="2"/>
          <w:lang w:eastAsia="ja-JP"/>
        </w:rPr>
        <w:t xml:space="preserve"> </w:t>
      </w:r>
    </w:p>
    <w:p w14:paraId="53C2FD82" w14:textId="77DD1D13" w:rsidR="0006647E" w:rsidRDefault="00651AC3" w:rsidP="0006647E">
      <w:pPr>
        <w:pStyle w:val="BodyText"/>
        <w:widowControl w:val="0"/>
        <w:overflowPunct/>
        <w:autoSpaceDE/>
        <w:autoSpaceDN/>
        <w:adjustRightInd/>
        <w:snapToGrid w:val="0"/>
        <w:spacing w:after="0"/>
        <w:ind w:firstLine="240"/>
        <w:jc w:val="both"/>
        <w:textAlignment w:val="auto"/>
        <w:rPr>
          <w:rFonts w:eastAsia="MS UI Gothic"/>
          <w:kern w:val="2"/>
          <w:lang w:eastAsia="ja-JP"/>
        </w:rPr>
      </w:pPr>
      <w:r w:rsidRPr="00D656C3">
        <w:t xml:space="preserve">The </w:t>
      </w:r>
      <w:r w:rsidR="00B25817" w:rsidRPr="00D656C3">
        <w:rPr>
          <w:i/>
        </w:rPr>
        <w:t>Ruska</w:t>
      </w:r>
      <w:r w:rsidR="00B25817" w:rsidRPr="00D656C3">
        <w:t xml:space="preserve"> </w:t>
      </w:r>
      <w:r w:rsidRPr="00D656C3">
        <w:t xml:space="preserve">reference pressure </w:t>
      </w:r>
      <w:r w:rsidR="00241AD3" w:rsidRPr="00D656C3">
        <w:t>(</w:t>
      </w:r>
      <m:oMath>
        <m:sSub>
          <m:sSubPr>
            <m:ctrlPr>
              <w:rPr>
                <w:rFonts w:ascii="Cambria Math" w:hAnsi="Cambria Math" w:cs="Tahoma"/>
                <w:i/>
                <w:iCs/>
              </w:rPr>
            </m:ctrlPr>
          </m:sSubPr>
          <m:e>
            <m:r>
              <w:rPr>
                <w:rFonts w:ascii="Cambria Math" w:hAnsi="Cambria Math" w:cs="Tahoma"/>
              </w:rPr>
              <m:t>p</m:t>
            </m:r>
          </m:e>
          <m:sub>
            <m:r>
              <m:rPr>
                <m:sty m:val="p"/>
              </m:rPr>
              <w:rPr>
                <w:rFonts w:ascii="Cambria Math" w:hAnsi="Cambria Math" w:cs="Tahoma"/>
              </w:rPr>
              <m:t>R.ref</m:t>
            </m:r>
          </m:sub>
        </m:sSub>
      </m:oMath>
      <w:r w:rsidR="00241AD3" w:rsidRPr="00D656C3">
        <w:rPr>
          <w:iCs/>
        </w:rPr>
        <w:t>)</w:t>
      </w:r>
      <w:r w:rsidR="00F72A38">
        <w:rPr>
          <w:iCs/>
        </w:rPr>
        <w:t xml:space="preserve"> </w:t>
      </w:r>
      <w:r w:rsidRPr="00D656C3">
        <w:t xml:space="preserve">was calculated by means of </w:t>
      </w:r>
      <w:r w:rsidR="00846B88">
        <w:t>Eq.</w:t>
      </w:r>
      <w:r w:rsidRPr="00D656C3">
        <w:t xml:space="preserve"> (3),</w:t>
      </w:r>
      <w:r w:rsidR="0006647E" w:rsidRPr="0006647E">
        <w:rPr>
          <w:rFonts w:eastAsia="MS UI Gothic"/>
          <w:kern w:val="2"/>
          <w:lang w:eastAsia="ja-JP"/>
        </w:rPr>
        <w:t xml:space="preserve"> </w:t>
      </w:r>
      <w:r w:rsidR="00BA4A32">
        <w:t>w</w:t>
      </w:r>
      <w:r w:rsidR="00BA4A32" w:rsidRPr="0049786B">
        <w:t xml:space="preserve">here </w:t>
      </w:r>
      <w:r w:rsidR="00BA4A32" w:rsidRPr="0049786B">
        <w:rPr>
          <w:rFonts w:asciiTheme="majorHAnsi" w:hAnsiTheme="majorHAnsi"/>
          <w:i/>
          <w:iCs/>
        </w:rPr>
        <w:t>g</w:t>
      </w:r>
      <w:r w:rsidR="00BA4A32" w:rsidRPr="0049786B">
        <w:t xml:space="preserve"> is the local gravity acceleration, </w:t>
      </w:r>
      <w:r w:rsidR="00BA4A32" w:rsidRPr="0049786B">
        <w:rPr>
          <w:i/>
          <w:iCs/>
        </w:rPr>
        <w:t>m</w:t>
      </w:r>
      <w:r w:rsidR="00BA4A32" w:rsidRPr="0049786B">
        <w:rPr>
          <w:i/>
          <w:iCs/>
          <w:vertAlign w:val="subscript"/>
        </w:rPr>
        <w:t>i</w:t>
      </w:r>
      <w:r w:rsidR="00BA4A32" w:rsidRPr="0049786B">
        <w:rPr>
          <w:i/>
          <w:iCs/>
        </w:rPr>
        <w:t xml:space="preserve"> </w:t>
      </w:r>
      <w:r w:rsidR="00BA4A32" w:rsidRPr="0049786B">
        <w:t xml:space="preserve">and </w:t>
      </w:r>
      <w:proofErr w:type="spellStart"/>
      <w:r w:rsidR="00BA4A32" w:rsidRPr="0049786B">
        <w:rPr>
          <w:i/>
          <w:iCs/>
        </w:rPr>
        <w:t>ρ</w:t>
      </w:r>
      <w:r w:rsidR="00BA4A32" w:rsidRPr="0049786B">
        <w:rPr>
          <w:i/>
          <w:iCs/>
          <w:vertAlign w:val="subscript"/>
        </w:rPr>
        <w:t>i</w:t>
      </w:r>
      <w:proofErr w:type="spellEnd"/>
      <w:r w:rsidR="00BA4A32" w:rsidRPr="0049786B">
        <w:t xml:space="preserve"> are the masses and </w:t>
      </w:r>
      <w:r w:rsidR="00BA4A32">
        <w:t>their</w:t>
      </w:r>
      <w:r w:rsidR="00BA4A32" w:rsidRPr="0049786B">
        <w:t xml:space="preserve"> densities</w:t>
      </w:r>
      <w:r w:rsidR="00BA4A32">
        <w:t>,</w:t>
      </w:r>
      <w:r w:rsidR="00BA4A32" w:rsidRPr="0049786B">
        <w:t xml:space="preserve"> respectively, </w:t>
      </w:r>
      <w:proofErr w:type="spellStart"/>
      <w:r w:rsidR="00BA4A32" w:rsidRPr="0049786B">
        <w:rPr>
          <w:i/>
          <w:iCs/>
        </w:rPr>
        <w:t>ρ</w:t>
      </w:r>
      <w:r w:rsidR="00BA4A32" w:rsidRPr="0049786B">
        <w:rPr>
          <w:iCs/>
          <w:vertAlign w:val="subscript"/>
        </w:rPr>
        <w:t>amb</w:t>
      </w:r>
      <w:proofErr w:type="spellEnd"/>
      <w:r w:rsidR="00BA4A32" w:rsidRPr="0049786B">
        <w:t xml:space="preserve"> </w:t>
      </w:r>
      <w:r w:rsidR="00BA4A32">
        <w:t xml:space="preserve">is </w:t>
      </w:r>
      <w:r w:rsidR="00BA4A32" w:rsidRPr="0049786B">
        <w:t xml:space="preserve">the density of the ambient </w:t>
      </w:r>
      <w:r w:rsidR="00BA4A32">
        <w:t>gas</w:t>
      </w:r>
      <w:r w:rsidR="00BA4A32" w:rsidRPr="0049786B">
        <w:t xml:space="preserve">, </w:t>
      </w:r>
      <w:r w:rsidR="00BA4A32" w:rsidRPr="0049786B">
        <w:rPr>
          <w:rFonts w:ascii="Cambria Math" w:hAnsi="Cambria Math"/>
          <w:i/>
          <w:iCs/>
        </w:rPr>
        <w:t>V</w:t>
      </w:r>
      <w:r w:rsidR="00BA4A32" w:rsidRPr="0049786B">
        <w:t xml:space="preserve"> is piston’s additional volume which </w:t>
      </w:r>
      <w:r w:rsidR="00BA4A32">
        <w:t xml:space="preserve">is </w:t>
      </w:r>
      <w:r w:rsidR="00BA4A32" w:rsidRPr="0049786B">
        <w:t xml:space="preserve">required </w:t>
      </w:r>
      <w:r w:rsidR="00BA4A32">
        <w:t xml:space="preserve">as </w:t>
      </w:r>
      <w:r w:rsidR="00BA4A32" w:rsidRPr="0049786B">
        <w:t>a correction due to the buoyancy produced by the pressure</w:t>
      </w:r>
      <w:r w:rsidR="00BA4A32">
        <w:t>-</w:t>
      </w:r>
      <w:r w:rsidR="00BA4A32" w:rsidRPr="0049786B">
        <w:t xml:space="preserve">transmitting medium </w:t>
      </w:r>
      <w:r w:rsidR="001569C1" w:rsidRPr="0049786B">
        <w:t>wit</w:t>
      </w:r>
      <w:r w:rsidR="001569C1">
        <w:t>h</w:t>
      </w:r>
      <w:r w:rsidR="00BA4A32" w:rsidRPr="0049786B">
        <w:t xml:space="preserve"> density </w:t>
      </w:r>
      <w:proofErr w:type="spellStart"/>
      <w:r w:rsidR="00BA4A32" w:rsidRPr="0049786B">
        <w:rPr>
          <w:rFonts w:ascii="Cambria Math" w:hAnsi="Cambria Math"/>
          <w:i/>
          <w:iCs/>
        </w:rPr>
        <w:t>ρ</w:t>
      </w:r>
      <w:r w:rsidR="00BA4A32" w:rsidRPr="00D656C3">
        <w:rPr>
          <w:rFonts w:ascii="Cambria Math" w:hAnsi="Cambria Math"/>
          <w:iCs/>
          <w:vertAlign w:val="subscript"/>
        </w:rPr>
        <w:t>l</w:t>
      </w:r>
      <w:proofErr w:type="spellEnd"/>
      <w:r w:rsidR="00BA4A32" w:rsidRPr="0049786B">
        <w:t>,</w:t>
      </w:r>
      <w:r w:rsidR="00BA4A32">
        <w:t xml:space="preserve"> </w:t>
      </w:r>
      <w:r w:rsidR="00BA4A32" w:rsidRPr="0049786B">
        <w:rPr>
          <w:rFonts w:ascii="Cambria Math" w:hAnsi="Cambria Math"/>
          <w:i/>
          <w:iCs/>
        </w:rPr>
        <w:t>A</w:t>
      </w:r>
      <w:r w:rsidR="00BA4A32" w:rsidRPr="00D656C3">
        <w:rPr>
          <w:rFonts w:ascii="Cambria Math" w:hAnsi="Cambria Math"/>
          <w:iCs/>
          <w:vertAlign w:val="subscript"/>
        </w:rPr>
        <w:t>r0</w:t>
      </w:r>
      <w:r w:rsidR="00BA4A32" w:rsidRPr="0049786B">
        <w:t xml:space="preserve"> </w:t>
      </w:r>
      <w:r w:rsidR="00BA4A32">
        <w:t xml:space="preserve">is </w:t>
      </w:r>
      <w:r w:rsidR="00BA4A32" w:rsidRPr="0049786B">
        <w:t xml:space="preserve">the effective area of the </w:t>
      </w:r>
      <w:r w:rsidR="00BA4A32" w:rsidRPr="00D656C3">
        <w:rPr>
          <w:i/>
        </w:rPr>
        <w:t>Ruska</w:t>
      </w:r>
      <w:r w:rsidR="00BA4A32" w:rsidRPr="0049786B">
        <w:t xml:space="preserve"> PCA, </w:t>
      </w:r>
      <w:r w:rsidR="00BA4A32" w:rsidRPr="0049786B">
        <w:rPr>
          <w:rFonts w:ascii="Cambria Math" w:hAnsi="Cambria Math"/>
          <w:i/>
          <w:iCs/>
        </w:rPr>
        <w:t>α</w:t>
      </w:r>
      <w:r w:rsidR="00BA4A32" w:rsidRPr="00D656C3">
        <w:rPr>
          <w:rFonts w:ascii="Cambria Math" w:hAnsi="Cambria Math"/>
          <w:iCs/>
          <w:vertAlign w:val="subscript"/>
        </w:rPr>
        <w:t>r</w:t>
      </w:r>
      <w:r w:rsidR="00BA4A32" w:rsidRPr="0049786B">
        <w:t xml:space="preserve"> + </w:t>
      </w:r>
      <w:r w:rsidR="00BA4A32" w:rsidRPr="0049786B">
        <w:rPr>
          <w:rFonts w:ascii="Cambria Math" w:hAnsi="Cambria Math"/>
          <w:i/>
          <w:iCs/>
        </w:rPr>
        <w:t>β</w:t>
      </w:r>
      <w:r w:rsidR="00BA4A32" w:rsidRPr="00D656C3">
        <w:rPr>
          <w:rFonts w:ascii="Cambria Math" w:hAnsi="Cambria Math"/>
          <w:iCs/>
          <w:vertAlign w:val="subscript"/>
        </w:rPr>
        <w:t>r</w:t>
      </w:r>
      <w:r w:rsidR="00BA4A32" w:rsidRPr="0049786B">
        <w:t xml:space="preserve"> </w:t>
      </w:r>
      <w:r w:rsidR="00BA4A32">
        <w:t>is</w:t>
      </w:r>
      <w:r w:rsidR="00BA4A32" w:rsidRPr="0049786B">
        <w:t xml:space="preserve"> the thermal expansion coefficient of the </w:t>
      </w:r>
      <w:r w:rsidR="00BA4A32" w:rsidRPr="00D656C3">
        <w:rPr>
          <w:i/>
        </w:rPr>
        <w:t xml:space="preserve">Ruska </w:t>
      </w:r>
      <w:r w:rsidR="00BA4A32" w:rsidRPr="0049786B">
        <w:t xml:space="preserve">PCA, </w:t>
      </w:r>
      <w:proofErr w:type="spellStart"/>
      <w:r w:rsidR="00BA4A32" w:rsidRPr="0049786B">
        <w:rPr>
          <w:rFonts w:ascii="Cambria Math" w:hAnsi="Cambria Math"/>
          <w:i/>
          <w:iCs/>
        </w:rPr>
        <w:t>p</w:t>
      </w:r>
      <w:r w:rsidR="00BA4A32" w:rsidRPr="00D656C3">
        <w:rPr>
          <w:rFonts w:ascii="Cambria Math" w:hAnsi="Cambria Math"/>
          <w:iCs/>
          <w:vertAlign w:val="subscript"/>
        </w:rPr>
        <w:t>R.rest</w:t>
      </w:r>
      <w:proofErr w:type="spellEnd"/>
      <w:r w:rsidR="00BA4A32" w:rsidRPr="0049786B">
        <w:t xml:space="preserve"> is the residual pressure in the </w:t>
      </w:r>
      <w:r w:rsidR="00BA4A32" w:rsidRPr="00D656C3">
        <w:rPr>
          <w:i/>
        </w:rPr>
        <w:t>Ruska</w:t>
      </w:r>
      <w:r w:rsidR="00BA4A32" w:rsidRPr="0049786B">
        <w:t xml:space="preserve"> </w:t>
      </w:r>
      <w:r w:rsidR="00BA4A32">
        <w:t>bell jar</w:t>
      </w:r>
      <w:r w:rsidR="00BA4A32" w:rsidRPr="0049786B">
        <w:t xml:space="preserve"> and </w:t>
      </w:r>
      <w:r w:rsidR="00BA4A32" w:rsidRPr="00D656C3">
        <w:rPr>
          <w:i/>
        </w:rPr>
        <w:t>h</w:t>
      </w:r>
      <w:r w:rsidR="00BA4A32" w:rsidRPr="0049786B">
        <w:t xml:space="preserve"> is the height difference between the reference level</w:t>
      </w:r>
      <w:r w:rsidR="00BA4A32">
        <w:t>s</w:t>
      </w:r>
      <w:r w:rsidR="00BA4A32" w:rsidRPr="0049786B">
        <w:t xml:space="preserve"> of the pressure balance and </w:t>
      </w:r>
      <w:r w:rsidR="00BA4A32">
        <w:t xml:space="preserve">the </w:t>
      </w:r>
      <w:r w:rsidR="00BA4A32" w:rsidRPr="0049786B">
        <w:t>FPG</w:t>
      </w:r>
      <w:r w:rsidR="00BA4A32">
        <w:t>,</w:t>
      </w:r>
    </w:p>
    <w:tbl>
      <w:tblPr>
        <w:tblW w:w="4566" w:type="dxa"/>
        <w:jc w:val="center"/>
        <w:tblLayout w:type="fixed"/>
        <w:tblLook w:val="04A0" w:firstRow="1" w:lastRow="0" w:firstColumn="1" w:lastColumn="0" w:noHBand="0" w:noVBand="1"/>
      </w:tblPr>
      <w:tblGrid>
        <w:gridCol w:w="4026"/>
        <w:gridCol w:w="540"/>
      </w:tblGrid>
      <w:tr w:rsidR="00846B88" w:rsidRPr="0049786B" w14:paraId="33832B60" w14:textId="77777777" w:rsidTr="009333A7">
        <w:trPr>
          <w:trHeight w:val="433"/>
          <w:jc w:val="center"/>
        </w:trPr>
        <w:tc>
          <w:tcPr>
            <w:tcW w:w="4026" w:type="dxa"/>
            <w:vAlign w:val="center"/>
          </w:tcPr>
          <w:p w14:paraId="65C3C3AF" w14:textId="1F84CFE2" w:rsidR="00846B88" w:rsidRPr="001F53B6" w:rsidRDefault="00C97D41" w:rsidP="009333A7">
            <w:pPr>
              <w:pStyle w:val="absatz"/>
              <w:spacing w:beforeLines="50" w:before="120" w:afterLines="50" w:after="120" w:line="276" w:lineRule="auto"/>
              <w:jc w:val="center"/>
              <w:rPr>
                <w:rFonts w:asciiTheme="majorBidi" w:hAnsiTheme="majorBidi" w:cstheme="majorBidi"/>
                <w:sz w:val="18"/>
                <w:szCs w:val="18"/>
                <w:lang w:val="en-US"/>
              </w:rPr>
            </w:pPr>
            <m:oMathPara>
              <m:oMathParaPr>
                <m:jc m:val="left"/>
              </m:oMathParaPr>
              <m:oMath>
                <m:sSub>
                  <m:sSubPr>
                    <m:ctrlPr>
                      <w:rPr>
                        <w:rFonts w:ascii="Cambria Math" w:hAnsi="Cambria Math" w:cs="Tahoma"/>
                        <w:i/>
                        <w:iCs/>
                        <w:sz w:val="18"/>
                        <w:szCs w:val="18"/>
                        <w:lang w:val="en-US"/>
                      </w:rPr>
                    </m:ctrlPr>
                  </m:sSubPr>
                  <m:e>
                    <m:r>
                      <w:rPr>
                        <w:rFonts w:ascii="Cambria Math" w:hAnsi="Cambria Math" w:cs="Tahoma"/>
                        <w:sz w:val="18"/>
                        <w:szCs w:val="18"/>
                        <w:lang w:val="en-US"/>
                      </w:rPr>
                      <m:t>p</m:t>
                    </m:r>
                  </m:e>
                  <m:sub>
                    <m:r>
                      <m:rPr>
                        <m:sty m:val="p"/>
                      </m:rPr>
                      <w:rPr>
                        <w:rFonts w:ascii="Cambria Math" w:hAnsi="Cambria Math" w:cs="Tahoma"/>
                        <w:sz w:val="18"/>
                        <w:szCs w:val="18"/>
                        <w:lang w:val="en-US"/>
                      </w:rPr>
                      <m:t>R.ref</m:t>
                    </m:r>
                  </m:sub>
                </m:sSub>
                <m:r>
                  <w:rPr>
                    <w:rFonts w:ascii="Cambria Math" w:hAnsi="Cambria Math" w:cs="Tahoma"/>
                    <w:sz w:val="18"/>
                    <w:szCs w:val="18"/>
                    <w:lang w:val="en-US"/>
                  </w:rPr>
                  <m:t>=</m:t>
                </m:r>
                <m:f>
                  <m:fPr>
                    <m:ctrlPr>
                      <w:rPr>
                        <w:rFonts w:ascii="Cambria Math" w:hAnsi="Cambria Math" w:cs="Tahoma"/>
                        <w:i/>
                        <w:sz w:val="18"/>
                        <w:szCs w:val="18"/>
                        <w:lang w:val="en-US"/>
                      </w:rPr>
                    </m:ctrlPr>
                  </m:fPr>
                  <m:num>
                    <m:r>
                      <w:rPr>
                        <w:rFonts w:ascii="Cambria Math" w:hAnsi="Cambria Math" w:cs="Tahoma"/>
                        <w:sz w:val="18"/>
                        <w:szCs w:val="18"/>
                        <w:lang w:val="en-US"/>
                      </w:rPr>
                      <m:t>g∙</m:t>
                    </m:r>
                    <m:d>
                      <m:dPr>
                        <m:begChr m:val="["/>
                        <m:endChr m:val="]"/>
                        <m:ctrlPr>
                          <w:rPr>
                            <w:rFonts w:ascii="Cambria Math" w:hAnsi="Cambria Math" w:cs="Tahoma"/>
                            <w:i/>
                            <w:sz w:val="18"/>
                            <w:szCs w:val="18"/>
                            <w:lang w:val="en-US"/>
                          </w:rPr>
                        </m:ctrlPr>
                      </m:dPr>
                      <m:e>
                        <m:sSub>
                          <m:sSubPr>
                            <m:ctrlPr>
                              <w:rPr>
                                <w:rFonts w:ascii="Cambria Math" w:hAnsi="Cambria Math" w:cs="Tahoma"/>
                                <w:i/>
                                <w:sz w:val="18"/>
                                <w:szCs w:val="18"/>
                                <w:lang w:val="en-US"/>
                              </w:rPr>
                            </m:ctrlPr>
                          </m:sSubPr>
                          <m:e>
                            <m:r>
                              <w:rPr>
                                <w:rFonts w:ascii="Cambria Math" w:hAnsi="Cambria Math" w:cs="Tahoma"/>
                                <w:sz w:val="18"/>
                                <w:szCs w:val="18"/>
                                <w:lang w:val="en-US"/>
                              </w:rPr>
                              <m:t>m</m:t>
                            </m:r>
                          </m:e>
                          <m:sub>
                            <m:r>
                              <w:rPr>
                                <w:rFonts w:ascii="Cambria Math" w:hAnsi="Cambria Math" w:cs="Tahoma"/>
                                <w:sz w:val="18"/>
                                <w:szCs w:val="18"/>
                                <w:lang w:val="en-US"/>
                              </w:rPr>
                              <m:t>i</m:t>
                            </m:r>
                          </m:sub>
                        </m:sSub>
                        <m:r>
                          <w:rPr>
                            <w:rFonts w:ascii="Cambria Math" w:hAnsi="Cambria Math" w:cs="Tahoma"/>
                            <w:sz w:val="18"/>
                            <w:szCs w:val="18"/>
                            <w:lang w:val="en-US"/>
                          </w:rPr>
                          <m:t>∙</m:t>
                        </m:r>
                        <m:d>
                          <m:dPr>
                            <m:ctrlPr>
                              <w:rPr>
                                <w:rFonts w:ascii="Cambria Math" w:hAnsi="Cambria Math" w:cs="Tahoma"/>
                                <w:i/>
                                <w:sz w:val="18"/>
                                <w:szCs w:val="18"/>
                                <w:lang w:val="en-US"/>
                              </w:rPr>
                            </m:ctrlPr>
                          </m:dPr>
                          <m:e>
                            <m:r>
                              <w:rPr>
                                <w:rFonts w:ascii="Cambria Math" w:hAnsi="Cambria Math" w:cs="Tahoma"/>
                                <w:sz w:val="18"/>
                                <w:szCs w:val="18"/>
                                <w:lang w:val="en-US"/>
                              </w:rPr>
                              <m:t>1-</m:t>
                            </m:r>
                            <m:f>
                              <m:fPr>
                                <m:ctrlPr>
                                  <w:rPr>
                                    <w:rFonts w:ascii="Cambria Math" w:hAnsi="Cambria Math" w:cs="Tahoma"/>
                                    <w:i/>
                                    <w:sz w:val="18"/>
                                    <w:szCs w:val="18"/>
                                    <w:lang w:val="en-US"/>
                                  </w:rPr>
                                </m:ctrlPr>
                              </m:fPr>
                              <m:num>
                                <m:sSub>
                                  <m:sSubPr>
                                    <m:ctrlPr>
                                      <w:rPr>
                                        <w:rFonts w:ascii="Cambria Math" w:hAnsi="Cambria Math" w:cs="Tahoma"/>
                                        <w:i/>
                                        <w:sz w:val="18"/>
                                        <w:szCs w:val="18"/>
                                        <w:lang w:val="en-US"/>
                                      </w:rPr>
                                    </m:ctrlPr>
                                  </m:sSubPr>
                                  <m:e>
                                    <m:r>
                                      <w:rPr>
                                        <w:rFonts w:ascii="Cambria Math" w:hAnsi="Cambria Math" w:cs="Tahoma"/>
                                        <w:sz w:val="18"/>
                                        <w:szCs w:val="18"/>
                                        <w:lang w:val="en-US"/>
                                      </w:rPr>
                                      <m:t>ρ</m:t>
                                    </m:r>
                                  </m:e>
                                  <m:sub>
                                    <m:r>
                                      <m:rPr>
                                        <m:sty m:val="p"/>
                                      </m:rPr>
                                      <w:rPr>
                                        <w:rFonts w:ascii="Cambria Math" w:hAnsi="Cambria Math" w:cs="Tahoma"/>
                                        <w:sz w:val="18"/>
                                        <w:szCs w:val="18"/>
                                        <w:lang w:val="en-US"/>
                                      </w:rPr>
                                      <m:t>amb</m:t>
                                    </m:r>
                                  </m:sub>
                                </m:sSub>
                              </m:num>
                              <m:den>
                                <m:sSub>
                                  <m:sSubPr>
                                    <m:ctrlPr>
                                      <w:rPr>
                                        <w:rFonts w:ascii="Cambria Math" w:hAnsi="Cambria Math" w:cs="Tahoma"/>
                                        <w:i/>
                                        <w:sz w:val="18"/>
                                        <w:szCs w:val="18"/>
                                        <w:lang w:val="en-US"/>
                                      </w:rPr>
                                    </m:ctrlPr>
                                  </m:sSubPr>
                                  <m:e>
                                    <m:r>
                                      <w:rPr>
                                        <w:rFonts w:ascii="Cambria Math" w:hAnsi="Cambria Math" w:cs="Tahoma"/>
                                        <w:sz w:val="18"/>
                                        <w:szCs w:val="18"/>
                                        <w:lang w:val="en-US"/>
                                      </w:rPr>
                                      <m:t>ρ</m:t>
                                    </m:r>
                                  </m:e>
                                  <m:sub>
                                    <m:r>
                                      <w:rPr>
                                        <w:rFonts w:ascii="Cambria Math" w:hAnsi="Cambria Math" w:cs="Tahoma"/>
                                        <w:sz w:val="18"/>
                                        <w:szCs w:val="18"/>
                                        <w:lang w:val="en-US"/>
                                      </w:rPr>
                                      <m:t>i</m:t>
                                    </m:r>
                                  </m:sub>
                                </m:sSub>
                              </m:den>
                            </m:f>
                          </m:e>
                        </m:d>
                        <m:r>
                          <w:rPr>
                            <w:rFonts w:ascii="Cambria Math" w:hAnsi="Cambria Math" w:cs="Tahoma"/>
                            <w:sz w:val="18"/>
                            <w:szCs w:val="18"/>
                            <w:lang w:val="en-US"/>
                          </w:rPr>
                          <m:t>+V(</m:t>
                        </m:r>
                        <m:sSub>
                          <m:sSubPr>
                            <m:ctrlPr>
                              <w:rPr>
                                <w:rFonts w:ascii="Cambria Math" w:hAnsi="Cambria Math" w:cs="Tahoma"/>
                                <w:i/>
                                <w:sz w:val="18"/>
                                <w:szCs w:val="18"/>
                                <w:lang w:val="en-US"/>
                              </w:rPr>
                            </m:ctrlPr>
                          </m:sSubPr>
                          <m:e>
                            <m:r>
                              <w:rPr>
                                <w:rFonts w:ascii="Cambria Math" w:hAnsi="Cambria Math" w:cs="Tahoma"/>
                                <w:sz w:val="18"/>
                                <w:szCs w:val="18"/>
                                <w:lang w:val="en-US"/>
                              </w:rPr>
                              <m:t>ρ</m:t>
                            </m:r>
                          </m:e>
                          <m:sub>
                            <m:r>
                              <m:rPr>
                                <m:sty m:val="p"/>
                              </m:rPr>
                              <w:rPr>
                                <w:rFonts w:ascii="Cambria Math" w:hAnsi="Cambria Math" w:cs="Tahoma"/>
                                <w:sz w:val="18"/>
                                <w:szCs w:val="18"/>
                                <w:lang w:val="en-US"/>
                              </w:rPr>
                              <m:t>l</m:t>
                            </m:r>
                          </m:sub>
                        </m:sSub>
                        <m:r>
                          <w:rPr>
                            <w:rFonts w:ascii="Cambria Math" w:hAnsi="Cambria Math" w:cs="Tahoma"/>
                            <w:sz w:val="18"/>
                            <w:szCs w:val="18"/>
                            <w:lang w:val="en-US"/>
                          </w:rPr>
                          <m:t>-</m:t>
                        </m:r>
                        <m:sSub>
                          <m:sSubPr>
                            <m:ctrlPr>
                              <w:rPr>
                                <w:rFonts w:ascii="Cambria Math" w:hAnsi="Cambria Math" w:cs="Tahoma"/>
                                <w:i/>
                                <w:sz w:val="18"/>
                                <w:szCs w:val="18"/>
                                <w:lang w:val="en-US"/>
                              </w:rPr>
                            </m:ctrlPr>
                          </m:sSubPr>
                          <m:e>
                            <m:r>
                              <w:rPr>
                                <w:rFonts w:ascii="Cambria Math" w:hAnsi="Cambria Math" w:cs="Tahoma"/>
                                <w:sz w:val="18"/>
                                <w:szCs w:val="18"/>
                                <w:lang w:val="en-US"/>
                              </w:rPr>
                              <m:t>ρ</m:t>
                            </m:r>
                          </m:e>
                          <m:sub>
                            <m:r>
                              <m:rPr>
                                <m:sty m:val="p"/>
                              </m:rPr>
                              <w:rPr>
                                <w:rFonts w:ascii="Cambria Math" w:hAnsi="Cambria Math" w:cs="Tahoma"/>
                                <w:sz w:val="18"/>
                                <w:szCs w:val="18"/>
                                <w:lang w:val="en-US"/>
                              </w:rPr>
                              <m:t>amb</m:t>
                            </m:r>
                          </m:sub>
                        </m:sSub>
                        <m:r>
                          <w:rPr>
                            <w:rFonts w:ascii="Cambria Math" w:hAnsi="Cambria Math" w:cs="Tahoma"/>
                            <w:sz w:val="18"/>
                            <w:szCs w:val="18"/>
                            <w:lang w:val="en-US"/>
                          </w:rPr>
                          <m:t>)</m:t>
                        </m:r>
                      </m:e>
                    </m:d>
                  </m:num>
                  <m:den>
                    <m:sSub>
                      <m:sSubPr>
                        <m:ctrlPr>
                          <w:rPr>
                            <w:rFonts w:ascii="Cambria Math" w:hAnsi="Cambria Math" w:cs="Tahoma"/>
                            <w:i/>
                            <w:sz w:val="18"/>
                            <w:szCs w:val="18"/>
                            <w:lang w:val="en-US"/>
                          </w:rPr>
                        </m:ctrlPr>
                      </m:sSubPr>
                      <m:e>
                        <m:r>
                          <w:rPr>
                            <w:rFonts w:ascii="Cambria Math" w:hAnsi="Cambria Math" w:cs="Tahoma"/>
                            <w:sz w:val="18"/>
                            <w:szCs w:val="18"/>
                            <w:lang w:val="en-US"/>
                          </w:rPr>
                          <m:t>A</m:t>
                        </m:r>
                      </m:e>
                      <m:sub>
                        <m:r>
                          <m:rPr>
                            <m:sty m:val="p"/>
                          </m:rPr>
                          <w:rPr>
                            <w:rFonts w:ascii="Cambria Math" w:hAnsi="Cambria Math" w:cs="Tahoma"/>
                            <w:sz w:val="18"/>
                            <w:szCs w:val="18"/>
                            <w:lang w:val="en-US"/>
                          </w:rPr>
                          <m:t>r</m:t>
                        </m:r>
                        <m:r>
                          <w:rPr>
                            <w:rFonts w:ascii="Cambria Math" w:hAnsi="Cambria Math" w:cs="Tahoma"/>
                            <w:sz w:val="18"/>
                            <w:szCs w:val="18"/>
                            <w:lang w:val="en-US"/>
                          </w:rPr>
                          <m:t>0</m:t>
                        </m:r>
                      </m:sub>
                    </m:sSub>
                    <m:r>
                      <w:rPr>
                        <w:rFonts w:ascii="Cambria Math" w:hAnsi="Cambria Math" w:cs="Tahoma"/>
                        <w:sz w:val="18"/>
                        <w:szCs w:val="18"/>
                        <w:lang w:val="en-US"/>
                      </w:rPr>
                      <m:t>∙</m:t>
                    </m:r>
                    <m:d>
                      <m:dPr>
                        <m:begChr m:val="["/>
                        <m:endChr m:val="]"/>
                        <m:ctrlPr>
                          <w:rPr>
                            <w:rFonts w:ascii="Cambria Math" w:hAnsi="Cambria Math" w:cs="Tahoma"/>
                            <w:i/>
                            <w:sz w:val="18"/>
                            <w:szCs w:val="18"/>
                            <w:lang w:val="en-US"/>
                          </w:rPr>
                        </m:ctrlPr>
                      </m:dPr>
                      <m:e>
                        <m:r>
                          <w:rPr>
                            <w:rFonts w:ascii="Cambria Math" w:hAnsi="Cambria Math" w:cs="Tahoma"/>
                            <w:sz w:val="18"/>
                            <w:szCs w:val="18"/>
                            <w:lang w:val="en-US"/>
                          </w:rPr>
                          <m:t>1+</m:t>
                        </m:r>
                        <m:d>
                          <m:dPr>
                            <m:ctrlPr>
                              <w:rPr>
                                <w:rFonts w:ascii="Cambria Math" w:hAnsi="Cambria Math" w:cs="Tahoma"/>
                                <w:i/>
                                <w:sz w:val="18"/>
                                <w:szCs w:val="18"/>
                                <w:lang w:val="en-US"/>
                              </w:rPr>
                            </m:ctrlPr>
                          </m:dPr>
                          <m:e>
                            <m:sSub>
                              <m:sSubPr>
                                <m:ctrlPr>
                                  <w:rPr>
                                    <w:rFonts w:ascii="Cambria Math" w:hAnsi="Cambria Math" w:cs="Tahoma"/>
                                    <w:i/>
                                    <w:sz w:val="18"/>
                                    <w:szCs w:val="18"/>
                                    <w:lang w:val="en-US"/>
                                  </w:rPr>
                                </m:ctrlPr>
                              </m:sSubPr>
                              <m:e>
                                <m:r>
                                  <w:rPr>
                                    <w:rFonts w:ascii="Cambria Math" w:hAnsi="Cambria Math" w:cs="Tahoma"/>
                                    <w:sz w:val="18"/>
                                    <w:szCs w:val="18"/>
                                    <w:lang w:val="en-US"/>
                                  </w:rPr>
                                  <m:t>α</m:t>
                                </m:r>
                              </m:e>
                              <m:sub>
                                <m:r>
                                  <m:rPr>
                                    <m:sty m:val="p"/>
                                  </m:rPr>
                                  <w:rPr>
                                    <w:rFonts w:ascii="Cambria Math" w:hAnsi="Cambria Math" w:cs="Tahoma"/>
                                    <w:sz w:val="18"/>
                                    <w:szCs w:val="18"/>
                                    <w:lang w:val="en-US"/>
                                  </w:rPr>
                                  <m:t>r</m:t>
                                </m:r>
                              </m:sub>
                            </m:sSub>
                            <m:r>
                              <w:rPr>
                                <w:rFonts w:ascii="Cambria Math" w:hAnsi="Cambria Math" w:cs="Tahoma"/>
                                <w:sz w:val="18"/>
                                <w:szCs w:val="18"/>
                                <w:lang w:val="en-US"/>
                              </w:rPr>
                              <m:t>+</m:t>
                            </m:r>
                            <m:sSub>
                              <m:sSubPr>
                                <m:ctrlPr>
                                  <w:rPr>
                                    <w:rFonts w:ascii="Cambria Math" w:hAnsi="Cambria Math" w:cs="Tahoma"/>
                                    <w:i/>
                                    <w:sz w:val="18"/>
                                    <w:szCs w:val="18"/>
                                    <w:lang w:val="en-US"/>
                                  </w:rPr>
                                </m:ctrlPr>
                              </m:sSubPr>
                              <m:e>
                                <m:r>
                                  <w:rPr>
                                    <w:rFonts w:ascii="Cambria Math" w:hAnsi="Cambria Math" w:cs="Tahoma"/>
                                    <w:sz w:val="18"/>
                                    <w:szCs w:val="18"/>
                                    <w:lang w:val="en-US"/>
                                  </w:rPr>
                                  <m:t>β</m:t>
                                </m:r>
                              </m:e>
                              <m:sub>
                                <m:r>
                                  <m:rPr>
                                    <m:sty m:val="p"/>
                                  </m:rPr>
                                  <w:rPr>
                                    <w:rFonts w:ascii="Cambria Math" w:hAnsi="Cambria Math" w:cs="Tahoma"/>
                                    <w:sz w:val="18"/>
                                    <w:szCs w:val="18"/>
                                    <w:lang w:val="en-US"/>
                                  </w:rPr>
                                  <m:t>r</m:t>
                                </m:r>
                              </m:sub>
                            </m:sSub>
                          </m:e>
                        </m:d>
                        <m:r>
                          <w:rPr>
                            <w:rFonts w:ascii="Cambria Math" w:hAnsi="Cambria Math" w:cs="Tahoma"/>
                            <w:sz w:val="18"/>
                            <w:szCs w:val="18"/>
                            <w:lang w:val="en-US"/>
                          </w:rPr>
                          <m:t>∙</m:t>
                        </m:r>
                        <m:d>
                          <m:dPr>
                            <m:ctrlPr>
                              <w:rPr>
                                <w:rFonts w:ascii="Cambria Math" w:hAnsi="Cambria Math" w:cs="Tahoma"/>
                                <w:i/>
                                <w:sz w:val="18"/>
                                <w:szCs w:val="18"/>
                                <w:lang w:val="en-US"/>
                              </w:rPr>
                            </m:ctrlPr>
                          </m:dPr>
                          <m:e>
                            <m:r>
                              <w:rPr>
                                <w:rFonts w:ascii="Cambria Math" w:hAnsi="Cambria Math" w:cs="Tahoma"/>
                                <w:sz w:val="18"/>
                                <w:szCs w:val="18"/>
                                <w:lang w:val="en-US"/>
                              </w:rPr>
                              <m:t>t-20</m:t>
                            </m:r>
                          </m:e>
                        </m:d>
                      </m:e>
                    </m:d>
                  </m:den>
                </m:f>
                <m:r>
                  <w:rPr>
                    <w:rFonts w:ascii="Cambria Math" w:hAnsi="Cambria Math" w:cs="Tahoma"/>
                    <w:sz w:val="18"/>
                    <w:szCs w:val="18"/>
                    <w:lang w:val="en-US"/>
                  </w:rPr>
                  <m:t>+</m:t>
                </m:r>
                <m:sSub>
                  <m:sSubPr>
                    <m:ctrlPr>
                      <w:rPr>
                        <w:rFonts w:ascii="Cambria Math" w:hAnsi="Cambria Math" w:cs="Tahoma"/>
                        <w:i/>
                        <w:sz w:val="18"/>
                        <w:szCs w:val="18"/>
                        <w:lang w:val="en-US"/>
                      </w:rPr>
                    </m:ctrlPr>
                  </m:sSubPr>
                  <m:e>
                    <m:r>
                      <w:rPr>
                        <w:rFonts w:ascii="Cambria Math" w:hAnsi="Cambria Math" w:cs="Tahoma"/>
                        <w:sz w:val="18"/>
                        <w:szCs w:val="18"/>
                        <w:lang w:val="en-US"/>
                      </w:rPr>
                      <m:t>p</m:t>
                    </m:r>
                  </m:e>
                  <m:sub>
                    <m:r>
                      <m:rPr>
                        <m:sty m:val="p"/>
                      </m:rPr>
                      <w:rPr>
                        <w:rFonts w:ascii="Cambria Math" w:hAnsi="Cambria Math" w:cs="Tahoma"/>
                        <w:sz w:val="18"/>
                        <w:szCs w:val="18"/>
                        <w:lang w:val="en-US"/>
                      </w:rPr>
                      <m:t>R.rest</m:t>
                    </m:r>
                  </m:sub>
                </m:sSub>
                <m:r>
                  <w:rPr>
                    <w:rFonts w:ascii="Cambria Math" w:hAnsi="Cambria Math" w:cs="Tahoma"/>
                    <w:sz w:val="18"/>
                    <w:szCs w:val="18"/>
                    <w:lang w:val="en-US"/>
                  </w:rPr>
                  <m:t>+g∙h∙</m:t>
                </m:r>
                <m:d>
                  <m:dPr>
                    <m:ctrlPr>
                      <w:rPr>
                        <w:rFonts w:ascii="Cambria Math" w:hAnsi="Cambria Math" w:cs="Tahoma"/>
                        <w:i/>
                        <w:sz w:val="18"/>
                        <w:szCs w:val="18"/>
                        <w:lang w:val="en-US"/>
                      </w:rPr>
                    </m:ctrlPr>
                  </m:dPr>
                  <m:e>
                    <m:sSub>
                      <m:sSubPr>
                        <m:ctrlPr>
                          <w:rPr>
                            <w:rFonts w:ascii="Cambria Math" w:hAnsi="Cambria Math" w:cs="Tahoma"/>
                            <w:i/>
                            <w:sz w:val="18"/>
                            <w:szCs w:val="18"/>
                            <w:lang w:val="en-US"/>
                          </w:rPr>
                        </m:ctrlPr>
                      </m:sSubPr>
                      <m:e>
                        <m:r>
                          <w:rPr>
                            <w:rFonts w:ascii="Cambria Math" w:hAnsi="Cambria Math" w:cs="Tahoma"/>
                            <w:sz w:val="18"/>
                            <w:szCs w:val="18"/>
                            <w:lang w:val="en-US"/>
                          </w:rPr>
                          <m:t>ρ</m:t>
                        </m:r>
                      </m:e>
                      <m:sub>
                        <m:r>
                          <m:rPr>
                            <m:sty m:val="p"/>
                          </m:rPr>
                          <w:rPr>
                            <w:rFonts w:ascii="Cambria Math" w:hAnsi="Cambria Math" w:cs="Tahoma"/>
                            <w:sz w:val="18"/>
                            <w:szCs w:val="18"/>
                            <w:lang w:val="en-US"/>
                          </w:rPr>
                          <m:t>l</m:t>
                        </m:r>
                      </m:sub>
                    </m:sSub>
                    <m:r>
                      <w:rPr>
                        <w:rFonts w:ascii="Cambria Math" w:hAnsi="Cambria Math" w:cs="Tahoma"/>
                        <w:sz w:val="18"/>
                        <w:szCs w:val="18"/>
                        <w:lang w:val="en-US"/>
                      </w:rPr>
                      <m:t>-</m:t>
                    </m:r>
                    <m:sSub>
                      <m:sSubPr>
                        <m:ctrlPr>
                          <w:rPr>
                            <w:rFonts w:ascii="Cambria Math" w:hAnsi="Cambria Math" w:cs="Tahoma"/>
                            <w:i/>
                            <w:sz w:val="18"/>
                            <w:szCs w:val="18"/>
                            <w:lang w:val="en-US"/>
                          </w:rPr>
                        </m:ctrlPr>
                      </m:sSubPr>
                      <m:e>
                        <m:r>
                          <w:rPr>
                            <w:rFonts w:ascii="Cambria Math" w:hAnsi="Cambria Math" w:cs="Tahoma"/>
                            <w:sz w:val="18"/>
                            <w:szCs w:val="18"/>
                            <w:lang w:val="en-US"/>
                          </w:rPr>
                          <m:t>ρ</m:t>
                        </m:r>
                      </m:e>
                      <m:sub>
                        <m:r>
                          <m:rPr>
                            <m:sty m:val="p"/>
                          </m:rPr>
                          <w:rPr>
                            <w:rFonts w:ascii="Cambria Math" w:hAnsi="Cambria Math" w:cs="Tahoma"/>
                            <w:sz w:val="18"/>
                            <w:szCs w:val="18"/>
                            <w:lang w:val="en-US"/>
                          </w:rPr>
                          <m:t>amb</m:t>
                        </m:r>
                      </m:sub>
                    </m:sSub>
                  </m:e>
                </m:d>
                <m:r>
                  <w:rPr>
                    <w:rFonts w:ascii="Cambria Math" w:hAnsi="Cambria Math" w:cs="Tahoma"/>
                    <w:sz w:val="18"/>
                    <w:szCs w:val="18"/>
                    <w:lang w:val="en-US"/>
                  </w:rPr>
                  <m:t>.</m:t>
                </m:r>
              </m:oMath>
            </m:oMathPara>
          </w:p>
        </w:tc>
        <w:tc>
          <w:tcPr>
            <w:tcW w:w="540" w:type="dxa"/>
            <w:vAlign w:val="center"/>
          </w:tcPr>
          <w:p w14:paraId="22370337" w14:textId="77777777" w:rsidR="00846B88" w:rsidRPr="0049786B" w:rsidRDefault="00846B88" w:rsidP="009333A7">
            <w:pPr>
              <w:pStyle w:val="absatz"/>
              <w:spacing w:beforeLines="50" w:before="120" w:afterLines="50" w:after="120" w:line="276" w:lineRule="auto"/>
              <w:jc w:val="center"/>
              <w:rPr>
                <w:sz w:val="20"/>
                <w:lang w:val="en-US"/>
              </w:rPr>
            </w:pPr>
            <w:r w:rsidRPr="0049786B">
              <w:rPr>
                <w:sz w:val="20"/>
                <w:lang w:val="en-US"/>
              </w:rPr>
              <w:t>(</w:t>
            </w:r>
            <w:r>
              <w:rPr>
                <w:sz w:val="20"/>
                <w:lang w:val="en-US"/>
              </w:rPr>
              <w:t>3</w:t>
            </w:r>
            <w:r w:rsidRPr="0049786B">
              <w:rPr>
                <w:sz w:val="20"/>
                <w:lang w:val="en-US"/>
              </w:rPr>
              <w:t>)</w:t>
            </w:r>
          </w:p>
        </w:tc>
      </w:tr>
    </w:tbl>
    <w:p w14:paraId="182E600B" w14:textId="7C452A1B" w:rsidR="0050533D" w:rsidRDefault="0050533D" w:rsidP="0050533D">
      <w:pPr>
        <w:pStyle w:val="Subsection"/>
      </w:pPr>
      <w:r>
        <w:t>2</w:t>
      </w:r>
      <w:r w:rsidRPr="00C303AF">
        <w:rPr>
          <w:rFonts w:hint="eastAsia"/>
        </w:rPr>
        <w:t>.</w:t>
      </w:r>
      <w:r>
        <w:t>2</w:t>
      </w:r>
      <w:r w:rsidRPr="00C303AF">
        <w:rPr>
          <w:rFonts w:hint="eastAsia"/>
        </w:rPr>
        <w:t xml:space="preserve"> </w:t>
      </w:r>
      <w:r w:rsidR="00C452B4">
        <w:t>FPG vs. mercury manometer</w:t>
      </w:r>
    </w:p>
    <w:p w14:paraId="487C7FFE" w14:textId="77777777" w:rsidR="002C76F1" w:rsidRDefault="00C452B4" w:rsidP="0006647E">
      <w:pPr>
        <w:pStyle w:val="BodyText"/>
        <w:widowControl w:val="0"/>
        <w:overflowPunct/>
        <w:autoSpaceDE/>
        <w:autoSpaceDN/>
        <w:adjustRightInd/>
        <w:snapToGrid w:val="0"/>
        <w:spacing w:after="0"/>
        <w:ind w:firstLine="240"/>
        <w:jc w:val="both"/>
        <w:textAlignment w:val="auto"/>
      </w:pPr>
      <w:r>
        <w:t xml:space="preserve">In this experiment, the </w:t>
      </w:r>
      <w:r w:rsidRPr="00D656C3">
        <w:t xml:space="preserve">FPG was calibrated against </w:t>
      </w:r>
      <w:r>
        <w:t>t</w:t>
      </w:r>
      <w:r w:rsidRPr="00D656C3">
        <w:t>he PTB mercury manometer (</w:t>
      </w:r>
      <w:proofErr w:type="spellStart"/>
      <w:r>
        <w:t>HgM</w:t>
      </w:r>
      <w:proofErr w:type="spellEnd"/>
      <w:r w:rsidRPr="00D656C3">
        <w:t>)</w:t>
      </w:r>
      <w:r>
        <w:t>,</w:t>
      </w:r>
      <w:r w:rsidRPr="00D656C3">
        <w:t xml:space="preserve"> model 1025B of the </w:t>
      </w:r>
      <w:proofErr w:type="spellStart"/>
      <w:r w:rsidRPr="00D656C3">
        <w:rPr>
          <w:i/>
        </w:rPr>
        <w:t>Schwien</w:t>
      </w:r>
      <w:proofErr w:type="spellEnd"/>
      <w:r w:rsidRPr="00D656C3">
        <w:rPr>
          <w:i/>
        </w:rPr>
        <w:t> Engineering</w:t>
      </w:r>
      <w:r w:rsidRPr="00D656C3">
        <w:t xml:space="preserve"> company</w:t>
      </w:r>
      <w:r>
        <w:t xml:space="preserve">, </w:t>
      </w:r>
      <w:r w:rsidRPr="00D656C3">
        <w:t xml:space="preserve">USA, </w:t>
      </w:r>
      <w:r>
        <w:t xml:space="preserve">which </w:t>
      </w:r>
      <w:r w:rsidRPr="00D656C3">
        <w:t xml:space="preserve">was modified </w:t>
      </w:r>
      <w:r>
        <w:t>at</w:t>
      </w:r>
      <w:r w:rsidRPr="00D656C3">
        <w:t xml:space="preserve"> PTB</w:t>
      </w:r>
      <w:r>
        <w:t xml:space="preserve"> and metrologically characterized as described in [7]</w:t>
      </w:r>
      <w:r w:rsidRPr="00D656C3">
        <w:t xml:space="preserve">. The </w:t>
      </w:r>
      <w:r>
        <w:t xml:space="preserve">design </w:t>
      </w:r>
      <w:r w:rsidRPr="00D656C3">
        <w:t xml:space="preserve">of this instrument </w:t>
      </w:r>
      <w:r>
        <w:t xml:space="preserve">is shown </w:t>
      </w:r>
      <w:r w:rsidRPr="00D656C3">
        <w:t>in Fig</w:t>
      </w:r>
      <w:r>
        <w:t>.</w:t>
      </w:r>
      <w:r w:rsidRPr="00D656C3">
        <w:t xml:space="preserve"> 2.</w:t>
      </w:r>
      <w:r>
        <w:t xml:space="preserve"> </w:t>
      </w:r>
    </w:p>
    <w:tbl>
      <w:tblPr>
        <w:tblW w:w="4479" w:type="dxa"/>
        <w:jc w:val="center"/>
        <w:tblCellMar>
          <w:left w:w="70" w:type="dxa"/>
          <w:right w:w="70" w:type="dxa"/>
        </w:tblCellMar>
        <w:tblLook w:val="04A0" w:firstRow="1" w:lastRow="0" w:firstColumn="1" w:lastColumn="0" w:noHBand="0" w:noVBand="1"/>
      </w:tblPr>
      <w:tblGrid>
        <w:gridCol w:w="5062"/>
        <w:gridCol w:w="28"/>
      </w:tblGrid>
      <w:tr w:rsidR="002C76F1" w:rsidRPr="003C4F94" w14:paraId="490F4AB3" w14:textId="77777777" w:rsidTr="00710FD0">
        <w:trPr>
          <w:trHeight w:val="2820"/>
          <w:jc w:val="center"/>
        </w:trPr>
        <w:tc>
          <w:tcPr>
            <w:tcW w:w="4479" w:type="dxa"/>
            <w:gridSpan w:val="2"/>
            <w:vAlign w:val="bottom"/>
          </w:tcPr>
          <w:p w14:paraId="439BBF86" w14:textId="77777777" w:rsidR="002C76F1" w:rsidRDefault="002C76F1" w:rsidP="002C76F1">
            <w:pPr>
              <w:pStyle w:val="absatz"/>
              <w:spacing w:line="240" w:lineRule="auto"/>
              <w:jc w:val="right"/>
              <w:rPr>
                <w:rFonts w:asciiTheme="majorBidi" w:hAnsiTheme="majorBidi" w:cstheme="majorBidi"/>
                <w:lang w:val="en-US"/>
              </w:rPr>
            </w:pPr>
            <w:r>
              <w:rPr>
                <w:noProof/>
                <w:lang w:val="en-GB"/>
              </w:rPr>
              <w:drawing>
                <wp:inline distT="0" distB="0" distL="0" distR="0" wp14:anchorId="7BA838BE" wp14:editId="280BF619">
                  <wp:extent cx="3142800" cy="2199600"/>
                  <wp:effectExtent l="0" t="0" r="635" b="0"/>
                  <wp:docPr id="23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2800" cy="2199600"/>
                          </a:xfrm>
                          <a:prstGeom prst="rect">
                            <a:avLst/>
                          </a:prstGeom>
                          <a:noFill/>
                          <a:ln>
                            <a:noFill/>
                          </a:ln>
                        </pic:spPr>
                      </pic:pic>
                    </a:graphicData>
                  </a:graphic>
                </wp:inline>
              </w:drawing>
            </w:r>
          </w:p>
        </w:tc>
      </w:tr>
      <w:tr w:rsidR="002C76F1" w:rsidRPr="0002681F" w14:paraId="3A3E1B40" w14:textId="77777777" w:rsidTr="00710FD0">
        <w:tblPrEx>
          <w:tblCellMar>
            <w:left w:w="108" w:type="dxa"/>
            <w:right w:w="108" w:type="dxa"/>
          </w:tblCellMar>
        </w:tblPrEx>
        <w:trPr>
          <w:gridAfter w:val="1"/>
          <w:wAfter w:w="20" w:type="dxa"/>
          <w:trHeight w:val="45"/>
          <w:jc w:val="center"/>
        </w:trPr>
        <w:tc>
          <w:tcPr>
            <w:tcW w:w="0" w:type="auto"/>
            <w:vAlign w:val="center"/>
          </w:tcPr>
          <w:p w14:paraId="6AB198C1" w14:textId="350EE153" w:rsidR="002C76F1" w:rsidRPr="00B54609" w:rsidRDefault="002C76F1" w:rsidP="002C76F1">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Pr>
                <w:sz w:val="20"/>
                <w:lang w:val="en"/>
              </w:rPr>
              <w:t>2</w:t>
            </w:r>
            <w:r w:rsidRPr="00B54609">
              <w:rPr>
                <w:sz w:val="20"/>
                <w:lang w:val="en"/>
              </w:rPr>
              <w:t xml:space="preserve"> </w:t>
            </w:r>
            <w:r w:rsidRPr="002C76F1">
              <w:rPr>
                <w:sz w:val="20"/>
                <w:lang w:val="en"/>
              </w:rPr>
              <w:t>PTB mercury manometer (</w:t>
            </w:r>
            <w:proofErr w:type="spellStart"/>
            <w:r w:rsidRPr="002C76F1">
              <w:rPr>
                <w:sz w:val="20"/>
                <w:lang w:val="en"/>
              </w:rPr>
              <w:t>HgM</w:t>
            </w:r>
            <w:proofErr w:type="spellEnd"/>
            <w:r w:rsidRPr="002C76F1">
              <w:rPr>
                <w:sz w:val="20"/>
                <w:lang w:val="en"/>
              </w:rPr>
              <w:t>)</w:t>
            </w:r>
            <w:r w:rsidRPr="00B54609">
              <w:rPr>
                <w:sz w:val="20"/>
                <w:lang w:val="en"/>
              </w:rPr>
              <w:t>.</w:t>
            </w:r>
          </w:p>
        </w:tc>
      </w:tr>
    </w:tbl>
    <w:p w14:paraId="2EAF8C81" w14:textId="77777777" w:rsidR="00C65773" w:rsidRDefault="00C452B4" w:rsidP="0006647E">
      <w:pPr>
        <w:pStyle w:val="BodyText"/>
        <w:widowControl w:val="0"/>
        <w:overflowPunct/>
        <w:autoSpaceDE/>
        <w:autoSpaceDN/>
        <w:adjustRightInd/>
        <w:snapToGrid w:val="0"/>
        <w:spacing w:after="0"/>
        <w:ind w:firstLine="240"/>
        <w:jc w:val="both"/>
        <w:textAlignment w:val="auto"/>
      </w:pPr>
      <w:r>
        <w:t>The manometer</w:t>
      </w:r>
      <w:r w:rsidRPr="00C452B4">
        <w:t xml:space="preserve"> </w:t>
      </w:r>
      <w:r>
        <w:t>comprises</w:t>
      </w:r>
      <w:r w:rsidRPr="00C452B4">
        <w:t xml:space="preserve"> two vessels filled </w:t>
      </w:r>
      <w:r>
        <w:t>with</w:t>
      </w:r>
      <w:r w:rsidRPr="00C452B4">
        <w:t xml:space="preserve"> mercury </w:t>
      </w:r>
      <w:r>
        <w:t xml:space="preserve">and </w:t>
      </w:r>
      <w:r w:rsidRPr="00C452B4">
        <w:t xml:space="preserve">connected by </w:t>
      </w:r>
      <w:r>
        <w:t xml:space="preserve">a </w:t>
      </w:r>
      <w:r w:rsidRPr="00C452B4">
        <w:t>flexible tube</w:t>
      </w:r>
      <w:r w:rsidR="001D6965">
        <w:t xml:space="preserve"> (A)</w:t>
      </w:r>
      <w:r w:rsidRPr="00C452B4">
        <w:t xml:space="preserve"> with the ability to </w:t>
      </w:r>
      <w:r>
        <w:t xml:space="preserve">change </w:t>
      </w:r>
      <w:r w:rsidRPr="00C452B4">
        <w:t xml:space="preserve">the height </w:t>
      </w:r>
      <w:r>
        <w:t>position of one of the vessels</w:t>
      </w:r>
      <w:r w:rsidRPr="00C452B4">
        <w:t xml:space="preserve"> mechanically</w:t>
      </w:r>
      <w:r>
        <w:t>. The height change of the movable vessel is measured by a laser interferometer</w:t>
      </w:r>
      <w:r w:rsidR="001D6965">
        <w:t xml:space="preserve"> (B)</w:t>
      </w:r>
      <w:r>
        <w:t xml:space="preserve">. The height levels of the mercury's free surface </w:t>
      </w:r>
      <w:r w:rsidR="00F02CE5">
        <w:t xml:space="preserve">in the vessels is </w:t>
      </w:r>
    </w:p>
    <w:tbl>
      <w:tblPr>
        <w:tblpPr w:leftFromText="142" w:rightFromText="142" w:vertAnchor="page" w:horzAnchor="margin" w:tblpY="1538"/>
        <w:tblOverlap w:val="never"/>
        <w:tblW w:w="9781" w:type="dxa"/>
        <w:tblCellMar>
          <w:left w:w="70" w:type="dxa"/>
          <w:right w:w="70" w:type="dxa"/>
        </w:tblCellMar>
        <w:tblLook w:val="04A0" w:firstRow="1" w:lastRow="0" w:firstColumn="1" w:lastColumn="0" w:noHBand="0" w:noVBand="1"/>
      </w:tblPr>
      <w:tblGrid>
        <w:gridCol w:w="5187"/>
        <w:gridCol w:w="4594"/>
      </w:tblGrid>
      <w:tr w:rsidR="00C65773" w:rsidRPr="003C4F94" w14:paraId="4B3B379C" w14:textId="77777777" w:rsidTr="00C65773">
        <w:trPr>
          <w:trHeight w:val="2820"/>
        </w:trPr>
        <w:tc>
          <w:tcPr>
            <w:tcW w:w="5187" w:type="dxa"/>
            <w:vAlign w:val="center"/>
          </w:tcPr>
          <w:p w14:paraId="1FAE0DDA" w14:textId="77777777" w:rsidR="00C65773" w:rsidRDefault="00C65773" w:rsidP="00C65773">
            <w:pPr>
              <w:pStyle w:val="absatz"/>
              <w:spacing w:line="240" w:lineRule="auto"/>
              <w:jc w:val="center"/>
              <w:rPr>
                <w:rFonts w:asciiTheme="majorBidi" w:hAnsiTheme="majorBidi" w:cstheme="majorBidi"/>
                <w:lang w:val="en-US"/>
              </w:rPr>
            </w:pPr>
            <w:r>
              <w:rPr>
                <w:rFonts w:asciiTheme="majorBidi" w:hAnsiTheme="majorBidi" w:cstheme="majorBidi"/>
                <w:noProof/>
                <w:lang w:val="en-US"/>
              </w:rPr>
              <w:drawing>
                <wp:inline distT="0" distB="0" distL="0" distR="0" wp14:anchorId="4ABD719B" wp14:editId="60BC2A83">
                  <wp:extent cx="3204000" cy="1850400"/>
                  <wp:effectExtent l="0" t="0" r="0" b="0"/>
                  <wp:docPr id="237" name="Picture 7" descr="O:\3-3\3-33\Aktuell\FPG_PTB\Messungen\2018-02 Schwien vs FPG 183_pe\FPG vs LK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O:\3-3\3-33\Aktuell\FPG_PTB\Messungen\2018-02 Schwien vs FPG 183_pe\FPG vs LKM.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4000" cy="1850400"/>
                          </a:xfrm>
                          <a:prstGeom prst="rect">
                            <a:avLst/>
                          </a:prstGeom>
                          <a:noFill/>
                          <a:ln>
                            <a:noFill/>
                          </a:ln>
                        </pic:spPr>
                      </pic:pic>
                    </a:graphicData>
                  </a:graphic>
                </wp:inline>
              </w:drawing>
            </w:r>
          </w:p>
        </w:tc>
        <w:tc>
          <w:tcPr>
            <w:tcW w:w="4594" w:type="dxa"/>
            <w:vAlign w:val="bottom"/>
          </w:tcPr>
          <w:p w14:paraId="735627A1" w14:textId="77777777" w:rsidR="00C65773" w:rsidRDefault="00C65773" w:rsidP="00C65773">
            <w:pPr>
              <w:pStyle w:val="absatz"/>
              <w:spacing w:line="240" w:lineRule="auto"/>
              <w:jc w:val="center"/>
              <w:rPr>
                <w:rFonts w:asciiTheme="majorBidi" w:hAnsiTheme="majorBidi" w:cstheme="majorBidi"/>
                <w:lang w:val="en-US"/>
              </w:rPr>
            </w:pPr>
            <w:r>
              <w:rPr>
                <w:rFonts w:asciiTheme="majorBidi" w:hAnsiTheme="majorBidi" w:cstheme="majorBidi"/>
                <w:noProof/>
                <w:lang w:val="en-US"/>
              </w:rPr>
              <w:drawing>
                <wp:inline distT="0" distB="0" distL="0" distR="0" wp14:anchorId="2DB7D050" wp14:editId="7FBF560A">
                  <wp:extent cx="2773680" cy="2316480"/>
                  <wp:effectExtent l="0" t="0" r="7620" b="762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3680" cy="2316480"/>
                          </a:xfrm>
                          <a:prstGeom prst="rect">
                            <a:avLst/>
                          </a:prstGeom>
                          <a:noFill/>
                        </pic:spPr>
                      </pic:pic>
                    </a:graphicData>
                  </a:graphic>
                </wp:inline>
              </w:drawing>
            </w:r>
          </w:p>
        </w:tc>
      </w:tr>
      <w:tr w:rsidR="00C65773" w:rsidRPr="0002681F" w14:paraId="2A9FAD05" w14:textId="77777777" w:rsidTr="00C65773">
        <w:tblPrEx>
          <w:tblCellMar>
            <w:left w:w="108" w:type="dxa"/>
            <w:right w:w="108" w:type="dxa"/>
          </w:tblCellMar>
        </w:tblPrEx>
        <w:trPr>
          <w:trHeight w:val="45"/>
        </w:trPr>
        <w:tc>
          <w:tcPr>
            <w:tcW w:w="9781" w:type="dxa"/>
            <w:gridSpan w:val="2"/>
            <w:vAlign w:val="center"/>
          </w:tcPr>
          <w:p w14:paraId="39D139B5" w14:textId="77777777" w:rsidR="00C65773" w:rsidRPr="00B54609" w:rsidRDefault="00C65773" w:rsidP="00C65773">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Pr>
                <w:sz w:val="20"/>
                <w:lang w:val="en"/>
              </w:rPr>
              <w:t>3</w:t>
            </w:r>
            <w:r w:rsidRPr="00B54609">
              <w:rPr>
                <w:sz w:val="20"/>
                <w:lang w:val="en"/>
              </w:rPr>
              <w:t xml:space="preserve"> Experimental </w:t>
            </w:r>
            <w:r>
              <w:rPr>
                <w:sz w:val="20"/>
                <w:lang w:val="en"/>
              </w:rPr>
              <w:t>s</w:t>
            </w:r>
            <w:r w:rsidRPr="00B54609">
              <w:rPr>
                <w:sz w:val="20"/>
                <w:lang w:val="en"/>
              </w:rPr>
              <w:t>etup for cross flo</w:t>
            </w:r>
            <w:r>
              <w:rPr>
                <w:sz w:val="20"/>
                <w:lang w:val="en"/>
              </w:rPr>
              <w:t>a</w:t>
            </w:r>
            <w:r w:rsidRPr="00B54609">
              <w:rPr>
                <w:sz w:val="20"/>
                <w:lang w:val="en"/>
              </w:rPr>
              <w:t xml:space="preserve">ting between FPG and </w:t>
            </w:r>
            <w:proofErr w:type="spellStart"/>
            <w:r>
              <w:rPr>
                <w:sz w:val="20"/>
                <w:lang w:val="en"/>
              </w:rPr>
              <w:t>HgM</w:t>
            </w:r>
            <w:proofErr w:type="spellEnd"/>
            <w:r>
              <w:rPr>
                <w:sz w:val="20"/>
                <w:lang w:val="en"/>
              </w:rPr>
              <w:t xml:space="preserve"> in gauge pressure mode</w:t>
            </w:r>
            <w:r w:rsidRPr="00B54609">
              <w:rPr>
                <w:sz w:val="20"/>
                <w:lang w:val="en"/>
              </w:rPr>
              <w:t>.</w:t>
            </w:r>
          </w:p>
        </w:tc>
      </w:tr>
    </w:tbl>
    <w:p w14:paraId="20A5EAD3" w14:textId="16B4677F" w:rsidR="0050533D" w:rsidRPr="0049786B" w:rsidRDefault="00F02CE5" w:rsidP="00C65773">
      <w:pPr>
        <w:pStyle w:val="BodyText"/>
        <w:widowControl w:val="0"/>
        <w:overflowPunct/>
        <w:autoSpaceDE/>
        <w:autoSpaceDN/>
        <w:adjustRightInd/>
        <w:snapToGrid w:val="0"/>
        <w:spacing w:after="0"/>
        <w:jc w:val="both"/>
        <w:textAlignment w:val="auto"/>
        <w:rPr>
          <w:rFonts w:eastAsia="MS UI Gothic"/>
          <w:kern w:val="2"/>
          <w:lang w:eastAsia="ja-JP"/>
        </w:rPr>
      </w:pPr>
      <w:r>
        <w:t>controlled by capacitance measurements</w:t>
      </w:r>
      <w:r w:rsidR="001D6965">
        <w:t xml:space="preserve"> (C1 and C2)</w:t>
      </w:r>
      <w:r>
        <w:t>.</w:t>
      </w:r>
    </w:p>
    <w:p w14:paraId="515C042C" w14:textId="09778720" w:rsidR="008F085B" w:rsidRDefault="000B301F" w:rsidP="00111CAD">
      <w:pPr>
        <w:pStyle w:val="Text"/>
      </w:pPr>
      <w:r>
        <w:t xml:space="preserve">In the experiments, the FPG </w:t>
      </w:r>
      <w:proofErr w:type="gramStart"/>
      <w:r>
        <w:t>was connected with</w:t>
      </w:r>
      <w:proofErr w:type="gramEnd"/>
      <w:r>
        <w:t xml:space="preserve"> the </w:t>
      </w:r>
      <w:proofErr w:type="spellStart"/>
      <w:r>
        <w:t>HgM</w:t>
      </w:r>
      <w:proofErr w:type="spellEnd"/>
      <w:r>
        <w:t xml:space="preserve"> directly, as Fig. 3 shows this for measurements in gauge mode</w:t>
      </w:r>
      <w:r w:rsidR="003F0BE3">
        <w:t>.</w:t>
      </w:r>
    </w:p>
    <w:p w14:paraId="7AB9F699" w14:textId="0A6F9BBE" w:rsidR="002C76F1" w:rsidRDefault="0094687E" w:rsidP="00111CAD">
      <w:pPr>
        <w:pStyle w:val="Text"/>
      </w:pPr>
      <w:r>
        <w:t>B</w:t>
      </w:r>
      <w:r w:rsidR="00A16713" w:rsidRPr="00A57B01">
        <w:t>etween</w:t>
      </w:r>
      <w:r>
        <w:t xml:space="preserve"> the two instruments</w:t>
      </w:r>
      <w:r w:rsidR="00A16713" w:rsidRPr="00A57B01">
        <w:t xml:space="preserve">, a CDG was </w:t>
      </w:r>
      <w:r>
        <w:t xml:space="preserve">placed to measure the pressure difference when changing the pressure in each of them. </w:t>
      </w:r>
      <w:r w:rsidRPr="00A57B01">
        <w:t xml:space="preserve">All connections </w:t>
      </w:r>
      <w:r>
        <w:t xml:space="preserve">were thermally </w:t>
      </w:r>
      <w:r w:rsidRPr="00A57B01">
        <w:t xml:space="preserve">isolated </w:t>
      </w:r>
      <w:r>
        <w:t xml:space="preserve">to minimize the effect of </w:t>
      </w:r>
      <w:r w:rsidRPr="00A57B01">
        <w:t xml:space="preserve">ambient temperature </w:t>
      </w:r>
      <w:r>
        <w:t>changes, even though all measurements were performed in an air-conditioned environment having temperature stability within 0.3 K. T</w:t>
      </w:r>
      <w:r w:rsidRPr="00A57B01">
        <w:t xml:space="preserve">he </w:t>
      </w:r>
      <w:r>
        <w:t xml:space="preserve">measurements were carried in the </w:t>
      </w:r>
      <w:r w:rsidRPr="00A57B01">
        <w:t xml:space="preserve">pressure </w:t>
      </w:r>
      <w:r>
        <w:t xml:space="preserve">range </w:t>
      </w:r>
      <w:r w:rsidRPr="00A57B01">
        <w:t xml:space="preserve">100 Pa to 15 kPa </w:t>
      </w:r>
      <w:r w:rsidR="001535F3">
        <w:t xml:space="preserve">in </w:t>
      </w:r>
      <w:r w:rsidR="00C44817">
        <w:t xml:space="preserve">the </w:t>
      </w:r>
      <w:r w:rsidR="001535F3">
        <w:t xml:space="preserve">gauge and between </w:t>
      </w:r>
      <w:r w:rsidR="001535F3" w:rsidRPr="00A57B01">
        <w:t xml:space="preserve">1 </w:t>
      </w:r>
      <w:r w:rsidR="001535F3">
        <w:t>k</w:t>
      </w:r>
      <w:r w:rsidR="001535F3" w:rsidRPr="00A57B01">
        <w:t>Pa to 15</w:t>
      </w:r>
      <w:r w:rsidR="00C44817">
        <w:t> </w:t>
      </w:r>
      <w:r w:rsidR="001535F3" w:rsidRPr="00A57B01">
        <w:t xml:space="preserve">kPa </w:t>
      </w:r>
      <w:r w:rsidR="001535F3">
        <w:t xml:space="preserve">in </w:t>
      </w:r>
      <w:r w:rsidR="00C44817">
        <w:t xml:space="preserve">the </w:t>
      </w:r>
      <w:r w:rsidR="001535F3">
        <w:t xml:space="preserve">absolute mode. </w:t>
      </w:r>
    </w:p>
    <w:p w14:paraId="7B936085" w14:textId="4AFAF642" w:rsidR="002C76F1" w:rsidRDefault="002F0BFE" w:rsidP="00111CAD">
      <w:pPr>
        <w:pStyle w:val="Text"/>
      </w:pPr>
      <w:r w:rsidRPr="00B86C6F">
        <w:rPr>
          <w:rFonts w:eastAsia="Batang"/>
          <w:lang w:eastAsia="en-US"/>
        </w:rPr>
        <w:t xml:space="preserve">In </w:t>
      </w:r>
      <w:r w:rsidR="00C44817">
        <w:rPr>
          <w:rFonts w:eastAsia="Batang"/>
          <w:lang w:eastAsia="en-US"/>
        </w:rPr>
        <w:t xml:space="preserve">the </w:t>
      </w:r>
      <w:r w:rsidRPr="00B86C6F">
        <w:rPr>
          <w:rFonts w:eastAsia="Batang"/>
          <w:lang w:eastAsia="en-US"/>
        </w:rPr>
        <w:t xml:space="preserve">gauge pressure mode, the VLPC </w:t>
      </w:r>
      <w:r>
        <w:rPr>
          <w:rFonts w:eastAsia="Batang"/>
          <w:lang w:eastAsia="en-US"/>
        </w:rPr>
        <w:t xml:space="preserve">was </w:t>
      </w:r>
      <w:r w:rsidRPr="00B86C6F">
        <w:rPr>
          <w:rFonts w:eastAsia="Batang"/>
          <w:lang w:eastAsia="en-US"/>
        </w:rPr>
        <w:t xml:space="preserve">used to control the FPG’s pressure </w:t>
      </w:r>
      <w:r>
        <w:rPr>
          <w:rFonts w:eastAsia="Batang"/>
          <w:lang w:eastAsia="en-US"/>
        </w:rPr>
        <w:t>at optimal</w:t>
      </w:r>
      <w:r>
        <w:t xml:space="preserve"> </w:t>
      </w:r>
      <w:r w:rsidRPr="00B86C6F">
        <w:rPr>
          <w:rFonts w:eastAsia="Batang"/>
          <w:lang w:eastAsia="en-US"/>
        </w:rPr>
        <w:t xml:space="preserve">stability </w:t>
      </w:r>
      <w:r>
        <w:rPr>
          <w:rFonts w:eastAsia="Batang"/>
          <w:lang w:eastAsia="en-US"/>
        </w:rPr>
        <w:t>level.</w:t>
      </w:r>
      <w:r w:rsidR="00766B78">
        <w:rPr>
          <w:rFonts w:eastAsia="Batang"/>
          <w:lang w:eastAsia="en-US"/>
        </w:rPr>
        <w:t xml:space="preserve"> At the beginning, zero pressures were set in b</w:t>
      </w:r>
      <w:r w:rsidRPr="00B86C6F">
        <w:rPr>
          <w:rFonts w:eastAsia="Batang"/>
          <w:lang w:eastAsia="en-US"/>
        </w:rPr>
        <w:t>oth instruments</w:t>
      </w:r>
      <w:r w:rsidR="00766B78">
        <w:rPr>
          <w:rFonts w:eastAsia="Batang"/>
          <w:lang w:eastAsia="en-US"/>
        </w:rPr>
        <w:t xml:space="preserve">, and both </w:t>
      </w:r>
      <w:r w:rsidR="00C44817" w:rsidRPr="00B86C6F">
        <w:rPr>
          <w:rFonts w:eastAsia="Batang"/>
          <w:lang w:eastAsia="en-US"/>
        </w:rPr>
        <w:t>instruments</w:t>
      </w:r>
      <w:r w:rsidR="00C44817">
        <w:rPr>
          <w:rFonts w:eastAsia="Batang"/>
          <w:lang w:eastAsia="en-US"/>
        </w:rPr>
        <w:t xml:space="preserve"> </w:t>
      </w:r>
      <w:r w:rsidR="00766B78">
        <w:rPr>
          <w:rFonts w:eastAsia="Batang"/>
          <w:lang w:eastAsia="en-US"/>
        </w:rPr>
        <w:t>were</w:t>
      </w:r>
      <w:r w:rsidRPr="00B86C6F">
        <w:rPr>
          <w:rFonts w:eastAsia="Batang"/>
          <w:lang w:eastAsia="en-US"/>
        </w:rPr>
        <w:t xml:space="preserve"> zeroed. </w:t>
      </w:r>
      <w:r w:rsidR="00083C34">
        <w:rPr>
          <w:rFonts w:eastAsia="Batang"/>
          <w:lang w:eastAsia="en-US"/>
        </w:rPr>
        <w:t>After zeroing, pressures</w:t>
      </w:r>
      <w:r w:rsidR="006F2178">
        <w:rPr>
          <w:rFonts w:eastAsia="Batang"/>
          <w:lang w:eastAsia="en-US"/>
        </w:rPr>
        <w:t xml:space="preserve"> in both instruments were generated separately. When generating the pressures,</w:t>
      </w:r>
      <w:r w:rsidR="00083C34">
        <w:rPr>
          <w:rFonts w:eastAsia="Batang"/>
          <w:lang w:eastAsia="en-US"/>
        </w:rPr>
        <w:t xml:space="preserve"> </w:t>
      </w:r>
      <w:r w:rsidRPr="00B86C6F">
        <w:rPr>
          <w:rFonts w:eastAsia="Batang"/>
          <w:lang w:eastAsia="en-US"/>
        </w:rPr>
        <w:t>valve V</w:t>
      </w:r>
      <w:r w:rsidRPr="00847C17">
        <w:rPr>
          <w:rFonts w:eastAsia="Batang"/>
          <w:vertAlign w:val="subscript"/>
          <w:lang w:eastAsia="en-US"/>
        </w:rPr>
        <w:t>1</w:t>
      </w:r>
      <w:r w:rsidR="00C44817" w:rsidRPr="00C44817">
        <w:rPr>
          <w:rFonts w:eastAsia="Batang"/>
          <w:lang w:eastAsia="en-US"/>
        </w:rPr>
        <w:t xml:space="preserve"> </w:t>
      </w:r>
      <w:r w:rsidRPr="00B86C6F">
        <w:rPr>
          <w:rFonts w:eastAsia="Batang"/>
          <w:lang w:eastAsia="en-US"/>
        </w:rPr>
        <w:t>separating both instruments</w:t>
      </w:r>
      <w:r w:rsidR="006F2178">
        <w:rPr>
          <w:rFonts w:eastAsia="Batang"/>
          <w:lang w:eastAsia="en-US"/>
        </w:rPr>
        <w:t xml:space="preserve"> stayed</w:t>
      </w:r>
      <w:r w:rsidRPr="00B86C6F">
        <w:rPr>
          <w:rFonts w:eastAsia="Batang"/>
          <w:lang w:eastAsia="en-US"/>
        </w:rPr>
        <w:t xml:space="preserve"> closed and valve V</w:t>
      </w:r>
      <w:r w:rsidRPr="00847C17">
        <w:rPr>
          <w:rFonts w:eastAsia="Batang"/>
          <w:vertAlign w:val="subscript"/>
          <w:lang w:eastAsia="en-US"/>
        </w:rPr>
        <w:t>2</w:t>
      </w:r>
      <w:r w:rsidRPr="00B86C6F">
        <w:rPr>
          <w:rFonts w:eastAsia="Batang"/>
          <w:lang w:eastAsia="en-US"/>
        </w:rPr>
        <w:t xml:space="preserve"> was open</w:t>
      </w:r>
      <w:r w:rsidR="00AF015A">
        <w:rPr>
          <w:rFonts w:eastAsia="Batang"/>
          <w:lang w:eastAsia="en-US"/>
        </w:rPr>
        <w:t xml:space="preserve">, allowing connection of the </w:t>
      </w:r>
      <w:proofErr w:type="spellStart"/>
      <w:r w:rsidR="00AF015A">
        <w:rPr>
          <w:rFonts w:eastAsia="Batang"/>
          <w:lang w:eastAsia="en-US"/>
        </w:rPr>
        <w:t>HgM</w:t>
      </w:r>
      <w:proofErr w:type="spellEnd"/>
      <w:r w:rsidR="00AF015A">
        <w:rPr>
          <w:rFonts w:eastAsia="Batang"/>
          <w:lang w:eastAsia="en-US"/>
        </w:rPr>
        <w:t xml:space="preserve"> with its pressure generator.</w:t>
      </w:r>
      <w:r w:rsidRPr="00B86C6F">
        <w:rPr>
          <w:rFonts w:eastAsia="Batang"/>
          <w:lang w:eastAsia="en-US"/>
        </w:rPr>
        <w:t xml:space="preserve"> </w:t>
      </w:r>
      <w:r w:rsidR="00AF015A">
        <w:rPr>
          <w:rFonts w:eastAsia="Batang"/>
          <w:lang w:eastAsia="en-US"/>
        </w:rPr>
        <w:t>Thus,</w:t>
      </w:r>
      <w:r w:rsidRPr="00B86C6F">
        <w:rPr>
          <w:rFonts w:eastAsia="Batang"/>
          <w:lang w:eastAsia="en-US"/>
        </w:rPr>
        <w:t xml:space="preserve"> </w:t>
      </w:r>
      <w:r w:rsidR="00AF015A">
        <w:rPr>
          <w:rFonts w:eastAsia="Batang"/>
          <w:lang w:eastAsia="en-US"/>
        </w:rPr>
        <w:t xml:space="preserve">the target </w:t>
      </w:r>
      <w:r w:rsidRPr="00B86C6F">
        <w:rPr>
          <w:rFonts w:eastAsia="Batang"/>
          <w:lang w:eastAsia="en-US"/>
        </w:rPr>
        <w:t xml:space="preserve">pressure </w:t>
      </w:r>
      <w:r w:rsidR="00AF015A">
        <w:rPr>
          <w:rFonts w:eastAsia="Batang"/>
          <w:lang w:eastAsia="en-US"/>
        </w:rPr>
        <w:t>was</w:t>
      </w:r>
      <w:r w:rsidRPr="00B86C6F">
        <w:rPr>
          <w:rFonts w:eastAsia="Batang"/>
          <w:lang w:eastAsia="en-US"/>
        </w:rPr>
        <w:t xml:space="preserve"> generated by VLPC </w:t>
      </w:r>
      <w:r w:rsidR="00AF015A">
        <w:rPr>
          <w:rFonts w:eastAsia="Batang"/>
          <w:lang w:eastAsia="en-US"/>
        </w:rPr>
        <w:t>within</w:t>
      </w:r>
      <w:r w:rsidRPr="00B86C6F">
        <w:rPr>
          <w:rFonts w:eastAsia="Batang"/>
          <w:lang w:eastAsia="en-US"/>
        </w:rPr>
        <w:t xml:space="preserve"> </w:t>
      </w:r>
      <w:r w:rsidR="00AF015A">
        <w:rPr>
          <w:rFonts w:eastAsia="Batang"/>
          <w:lang w:eastAsia="en-US"/>
        </w:rPr>
        <w:t xml:space="preserve">the </w:t>
      </w:r>
      <w:r w:rsidRPr="00B86C6F">
        <w:rPr>
          <w:rFonts w:eastAsia="Batang"/>
          <w:lang w:eastAsia="en-US"/>
        </w:rPr>
        <w:t xml:space="preserve">FPG and by </w:t>
      </w:r>
      <w:r w:rsidR="00AF015A">
        <w:rPr>
          <w:rFonts w:eastAsia="Batang"/>
          <w:lang w:eastAsia="en-US"/>
        </w:rPr>
        <w:t xml:space="preserve">the </w:t>
      </w:r>
      <w:r w:rsidRPr="00B86C6F">
        <w:rPr>
          <w:rFonts w:eastAsia="Batang"/>
          <w:lang w:eastAsia="en-US"/>
        </w:rPr>
        <w:t xml:space="preserve">pressure generator </w:t>
      </w:r>
      <w:r w:rsidR="00AF015A">
        <w:rPr>
          <w:rFonts w:eastAsia="Batang"/>
          <w:lang w:eastAsia="en-US"/>
        </w:rPr>
        <w:t xml:space="preserve">within the </w:t>
      </w:r>
      <w:proofErr w:type="spellStart"/>
      <w:r w:rsidRPr="00B86C6F">
        <w:rPr>
          <w:rFonts w:eastAsia="Batang"/>
          <w:lang w:eastAsia="en-US"/>
        </w:rPr>
        <w:t>HgM</w:t>
      </w:r>
      <w:proofErr w:type="spellEnd"/>
      <w:r w:rsidRPr="00B86C6F">
        <w:rPr>
          <w:rFonts w:eastAsia="Batang"/>
          <w:lang w:eastAsia="en-US"/>
        </w:rPr>
        <w:t xml:space="preserve">. The height </w:t>
      </w:r>
      <w:r w:rsidR="00AF015A">
        <w:rPr>
          <w:rFonts w:eastAsia="Batang"/>
          <w:lang w:eastAsia="en-US"/>
        </w:rPr>
        <w:t>of the movable vessel was adjusted to achieve equality of capacitances C1 and C2, see Fig.2.</w:t>
      </w:r>
      <w:r w:rsidRPr="00B86C6F">
        <w:rPr>
          <w:rFonts w:eastAsia="Batang"/>
          <w:lang w:eastAsia="en-US"/>
        </w:rPr>
        <w:t xml:space="preserve"> The</w:t>
      </w:r>
      <w:r w:rsidR="00D04DB7">
        <w:rPr>
          <w:rFonts w:eastAsia="Batang"/>
          <w:lang w:eastAsia="en-US"/>
        </w:rPr>
        <w:t>n,</w:t>
      </w:r>
      <w:r w:rsidRPr="00B86C6F">
        <w:rPr>
          <w:rFonts w:eastAsia="Batang"/>
          <w:lang w:eastAsia="en-US"/>
        </w:rPr>
        <w:t xml:space="preserve"> valve V</w:t>
      </w:r>
      <w:r w:rsidRPr="00847C17">
        <w:rPr>
          <w:rFonts w:eastAsia="Batang"/>
          <w:vertAlign w:val="subscript"/>
          <w:lang w:eastAsia="en-US"/>
        </w:rPr>
        <w:t>2</w:t>
      </w:r>
      <w:r w:rsidRPr="00B86C6F">
        <w:rPr>
          <w:rFonts w:eastAsia="Batang"/>
          <w:lang w:eastAsia="en-US"/>
        </w:rPr>
        <w:t xml:space="preserve"> </w:t>
      </w:r>
      <w:r w:rsidR="00D04DB7">
        <w:rPr>
          <w:rFonts w:eastAsia="Batang"/>
          <w:lang w:eastAsia="en-US"/>
        </w:rPr>
        <w:t xml:space="preserve">was </w:t>
      </w:r>
      <w:r w:rsidRPr="00B86C6F">
        <w:rPr>
          <w:rFonts w:eastAsia="Batang"/>
          <w:lang w:eastAsia="en-US"/>
        </w:rPr>
        <w:t>closed and</w:t>
      </w:r>
      <w:r w:rsidR="00D04DB7">
        <w:rPr>
          <w:rFonts w:eastAsia="Batang"/>
          <w:lang w:eastAsia="en-US"/>
        </w:rPr>
        <w:t>,</w:t>
      </w:r>
      <w:r w:rsidRPr="00B86C6F">
        <w:rPr>
          <w:rFonts w:eastAsia="Batang"/>
          <w:lang w:eastAsia="en-US"/>
        </w:rPr>
        <w:t xml:space="preserve"> using the VLPC</w:t>
      </w:r>
      <w:r w:rsidR="0042085E">
        <w:rPr>
          <w:rFonts w:eastAsia="Batang"/>
          <w:lang w:eastAsia="en-US"/>
        </w:rPr>
        <w:t xml:space="preserve"> for a fine adjustment of pressure in the FPG</w:t>
      </w:r>
      <w:r w:rsidRPr="00B86C6F">
        <w:rPr>
          <w:rFonts w:eastAsia="Batang"/>
          <w:lang w:eastAsia="en-US"/>
        </w:rPr>
        <w:t xml:space="preserve">, </w:t>
      </w:r>
      <w:r w:rsidR="0042085E">
        <w:rPr>
          <w:rFonts w:eastAsia="Batang"/>
          <w:lang w:eastAsia="en-US"/>
        </w:rPr>
        <w:t xml:space="preserve">a </w:t>
      </w:r>
      <w:r w:rsidR="00D04DB7">
        <w:rPr>
          <w:rFonts w:eastAsia="Batang"/>
          <w:lang w:eastAsia="en-US"/>
        </w:rPr>
        <w:t xml:space="preserve">nearly </w:t>
      </w:r>
      <w:r w:rsidRPr="00B86C6F">
        <w:rPr>
          <w:rFonts w:eastAsia="Batang"/>
          <w:lang w:eastAsia="en-US"/>
        </w:rPr>
        <w:t>zero</w:t>
      </w:r>
      <w:r w:rsidR="00D04DB7">
        <w:rPr>
          <w:rFonts w:eastAsia="Batang"/>
          <w:lang w:eastAsia="en-US"/>
        </w:rPr>
        <w:t xml:space="preserve"> </w:t>
      </w:r>
      <w:r w:rsidR="00D04DB7" w:rsidRPr="00B86C6F">
        <w:rPr>
          <w:rFonts w:eastAsia="Batang"/>
          <w:lang w:eastAsia="en-US"/>
        </w:rPr>
        <w:t xml:space="preserve">indication </w:t>
      </w:r>
      <w:r w:rsidR="00D04DB7">
        <w:rPr>
          <w:rFonts w:eastAsia="Batang"/>
          <w:lang w:eastAsia="en-US"/>
        </w:rPr>
        <w:t>of</w:t>
      </w:r>
      <w:r w:rsidR="00D04DB7" w:rsidRPr="00B86C6F">
        <w:rPr>
          <w:rFonts w:eastAsia="Batang"/>
          <w:lang w:eastAsia="en-US"/>
        </w:rPr>
        <w:t xml:space="preserve"> </w:t>
      </w:r>
      <w:r w:rsidR="00D04DB7">
        <w:rPr>
          <w:rFonts w:eastAsia="Batang"/>
          <w:lang w:eastAsia="en-US"/>
        </w:rPr>
        <w:t xml:space="preserve">the </w:t>
      </w:r>
      <w:r w:rsidR="00D04DB7" w:rsidRPr="00B86C6F">
        <w:rPr>
          <w:rFonts w:eastAsia="Batang"/>
          <w:lang w:eastAsia="en-US"/>
        </w:rPr>
        <w:t xml:space="preserve">CDG was </w:t>
      </w:r>
      <w:r w:rsidR="0042085E">
        <w:rPr>
          <w:rFonts w:eastAsia="Batang"/>
          <w:lang w:eastAsia="en-US"/>
        </w:rPr>
        <w:t>reached</w:t>
      </w:r>
      <w:r w:rsidR="00D04DB7" w:rsidRPr="00B86C6F">
        <w:rPr>
          <w:rFonts w:eastAsia="Batang"/>
          <w:lang w:eastAsia="en-US"/>
        </w:rPr>
        <w:t xml:space="preserve">. </w:t>
      </w:r>
      <w:r w:rsidR="00A647D8">
        <w:rPr>
          <w:rFonts w:eastAsia="Batang"/>
          <w:lang w:eastAsia="en-US"/>
        </w:rPr>
        <w:t xml:space="preserve">After that, </w:t>
      </w:r>
      <w:r w:rsidR="00D04DB7" w:rsidRPr="00B86C6F">
        <w:rPr>
          <w:rFonts w:eastAsia="Batang"/>
          <w:lang w:eastAsia="en-US"/>
        </w:rPr>
        <w:t>bypath valve V</w:t>
      </w:r>
      <w:r w:rsidR="00D04DB7" w:rsidRPr="00847C17">
        <w:rPr>
          <w:rFonts w:eastAsia="Batang"/>
          <w:vertAlign w:val="subscript"/>
          <w:lang w:eastAsia="en-US"/>
        </w:rPr>
        <w:t>1</w:t>
      </w:r>
      <w:r w:rsidR="00D04DB7" w:rsidRPr="00B86C6F">
        <w:rPr>
          <w:rFonts w:eastAsia="Batang"/>
          <w:lang w:eastAsia="en-US"/>
        </w:rPr>
        <w:t xml:space="preserve"> was opened to have a</w:t>
      </w:r>
      <w:r w:rsidR="00A647D8">
        <w:rPr>
          <w:rFonts w:eastAsia="Batang"/>
          <w:lang w:eastAsia="en-US"/>
        </w:rPr>
        <w:t xml:space="preserve"> direct connection and a pressure</w:t>
      </w:r>
      <w:r w:rsidR="00D04DB7" w:rsidRPr="00B86C6F">
        <w:rPr>
          <w:rFonts w:eastAsia="Batang"/>
          <w:lang w:eastAsia="en-US"/>
        </w:rPr>
        <w:t xml:space="preserve"> equilibrium between both systems. </w:t>
      </w:r>
      <w:r w:rsidR="00A647D8">
        <w:rPr>
          <w:rFonts w:eastAsia="Batang"/>
          <w:lang w:eastAsia="en-US"/>
        </w:rPr>
        <w:t xml:space="preserve">When the equilibrium was achieved and all relevant indications became stable, their values and all </w:t>
      </w:r>
      <w:r w:rsidR="00D04DB7" w:rsidRPr="00B86C6F">
        <w:rPr>
          <w:rFonts w:eastAsia="Batang"/>
          <w:lang w:eastAsia="en-US"/>
        </w:rPr>
        <w:t xml:space="preserve">conditions </w:t>
      </w:r>
      <w:r w:rsidR="00A647D8">
        <w:rPr>
          <w:rFonts w:eastAsia="Batang"/>
          <w:lang w:eastAsia="en-US"/>
        </w:rPr>
        <w:t>were</w:t>
      </w:r>
      <w:r w:rsidR="00D04DB7" w:rsidRPr="00B86C6F">
        <w:rPr>
          <w:rFonts w:eastAsia="Batang"/>
          <w:lang w:eastAsia="en-US"/>
        </w:rPr>
        <w:t xml:space="preserve"> recorded.</w:t>
      </w:r>
    </w:p>
    <w:p w14:paraId="4F35284D" w14:textId="0D019737" w:rsidR="002C76F1" w:rsidRDefault="00CC4DEE" w:rsidP="00111CAD">
      <w:pPr>
        <w:pStyle w:val="Text"/>
      </w:pPr>
      <w:r w:rsidRPr="00B86C6F">
        <w:rPr>
          <w:rFonts w:eastAsia="Batang"/>
          <w:lang w:eastAsia="en-US"/>
        </w:rPr>
        <w:t xml:space="preserve">In </w:t>
      </w:r>
      <w:r>
        <w:rPr>
          <w:rFonts w:eastAsia="Batang"/>
          <w:lang w:eastAsia="en-US"/>
        </w:rPr>
        <w:t xml:space="preserve">the </w:t>
      </w:r>
      <w:r w:rsidRPr="00B86C6F">
        <w:rPr>
          <w:rFonts w:eastAsia="Batang"/>
          <w:lang w:eastAsia="en-US"/>
        </w:rPr>
        <w:t xml:space="preserve">absolute pressure mode, the VLPC </w:t>
      </w:r>
      <w:r>
        <w:rPr>
          <w:rFonts w:eastAsia="Batang"/>
          <w:lang w:eastAsia="en-US"/>
        </w:rPr>
        <w:t xml:space="preserve">was </w:t>
      </w:r>
      <w:r w:rsidRPr="00B86C6F">
        <w:rPr>
          <w:rFonts w:eastAsia="Batang"/>
          <w:lang w:eastAsia="en-US"/>
        </w:rPr>
        <w:t xml:space="preserve">replaced by </w:t>
      </w:r>
      <w:r w:rsidR="00C22F88">
        <w:rPr>
          <w:rFonts w:eastAsia="Batang"/>
          <w:lang w:eastAsia="en-US"/>
        </w:rPr>
        <w:t xml:space="preserve">a finely </w:t>
      </w:r>
      <w:r w:rsidRPr="00B86C6F">
        <w:rPr>
          <w:rFonts w:eastAsia="Batang"/>
          <w:lang w:eastAsia="en-US"/>
        </w:rPr>
        <w:t xml:space="preserve">opening </w:t>
      </w:r>
      <w:r w:rsidR="00C22F88">
        <w:rPr>
          <w:rFonts w:eastAsia="Batang"/>
          <w:lang w:eastAsia="en-US"/>
        </w:rPr>
        <w:t xml:space="preserve">needle </w:t>
      </w:r>
      <w:r w:rsidRPr="00B86C6F">
        <w:rPr>
          <w:rFonts w:eastAsia="Batang"/>
          <w:lang w:eastAsia="en-US"/>
        </w:rPr>
        <w:t>valve</w:t>
      </w:r>
      <w:r w:rsidR="00C22F88">
        <w:rPr>
          <w:rFonts w:eastAsia="Batang"/>
          <w:lang w:eastAsia="en-US"/>
        </w:rPr>
        <w:t xml:space="preserve"> (V</w:t>
      </w:r>
      <w:r w:rsidR="00C22F88" w:rsidRPr="00C22F88">
        <w:rPr>
          <w:rFonts w:eastAsia="Batang"/>
          <w:vertAlign w:val="subscript"/>
          <w:lang w:eastAsia="en-US"/>
        </w:rPr>
        <w:t>4</w:t>
      </w:r>
      <w:r w:rsidR="00C22F88">
        <w:rPr>
          <w:rFonts w:eastAsia="Batang"/>
          <w:lang w:eastAsia="en-US"/>
        </w:rPr>
        <w:t>)</w:t>
      </w:r>
      <w:r w:rsidRPr="00B86C6F">
        <w:rPr>
          <w:rFonts w:eastAsia="Batang"/>
          <w:lang w:eastAsia="en-US"/>
        </w:rPr>
        <w:t xml:space="preserve"> </w:t>
      </w:r>
      <w:r>
        <w:rPr>
          <w:rFonts w:eastAsia="Batang"/>
          <w:lang w:eastAsia="en-US"/>
        </w:rPr>
        <w:t>in combination with a turbopump behind it</w:t>
      </w:r>
      <w:r w:rsidR="00547053">
        <w:rPr>
          <w:rFonts w:eastAsia="Batang"/>
          <w:lang w:eastAsia="en-US"/>
        </w:rPr>
        <w:t>, see Fig. 4</w:t>
      </w:r>
      <w:r>
        <w:rPr>
          <w:rFonts w:eastAsia="Batang"/>
          <w:lang w:eastAsia="en-US"/>
        </w:rPr>
        <w:t>.</w:t>
      </w:r>
      <w:r w:rsidRPr="00B86C6F">
        <w:rPr>
          <w:rFonts w:eastAsia="Batang"/>
          <w:lang w:eastAsia="en-US"/>
        </w:rPr>
        <w:t xml:space="preserve"> </w:t>
      </w:r>
      <w:r w:rsidR="00C22F88">
        <w:rPr>
          <w:rFonts w:eastAsia="Batang"/>
          <w:lang w:eastAsia="en-US"/>
        </w:rPr>
        <w:t>Thanks to the lubrication pressure being equal to 40 kPa, t</w:t>
      </w:r>
      <w:r w:rsidRPr="00B86C6F">
        <w:rPr>
          <w:rFonts w:eastAsia="Batang"/>
          <w:lang w:eastAsia="en-US"/>
        </w:rPr>
        <w:t xml:space="preserve">he </w:t>
      </w:r>
      <w:r w:rsidR="00C22F88">
        <w:rPr>
          <w:rFonts w:eastAsia="Batang"/>
          <w:lang w:eastAsia="en-US"/>
        </w:rPr>
        <w:t>measurement</w:t>
      </w:r>
      <w:r w:rsidRPr="00B86C6F">
        <w:rPr>
          <w:rFonts w:eastAsia="Batang"/>
          <w:lang w:eastAsia="en-US"/>
        </w:rPr>
        <w:t xml:space="preserve"> pressure inside the FPG </w:t>
      </w:r>
      <w:r w:rsidR="00C22F88">
        <w:rPr>
          <w:rFonts w:eastAsia="Batang"/>
          <w:lang w:eastAsia="en-US"/>
        </w:rPr>
        <w:t>was achieved by changing the</w:t>
      </w:r>
      <w:r w:rsidRPr="00B86C6F">
        <w:rPr>
          <w:rFonts w:eastAsia="Batang"/>
          <w:lang w:eastAsia="en-US"/>
        </w:rPr>
        <w:t xml:space="preserve"> opening of </w:t>
      </w:r>
      <w:r w:rsidR="00C22F88">
        <w:rPr>
          <w:rFonts w:eastAsia="Batang"/>
          <w:lang w:eastAsia="en-US"/>
        </w:rPr>
        <w:t xml:space="preserve">valve </w:t>
      </w:r>
      <w:r w:rsidRPr="00B86C6F">
        <w:rPr>
          <w:rFonts w:eastAsia="Batang"/>
          <w:lang w:eastAsia="en-US"/>
        </w:rPr>
        <w:t>V</w:t>
      </w:r>
      <w:r w:rsidRPr="00847C17">
        <w:rPr>
          <w:rFonts w:eastAsia="Batang"/>
          <w:vertAlign w:val="subscript"/>
          <w:lang w:eastAsia="en-US"/>
        </w:rPr>
        <w:t>4</w:t>
      </w:r>
      <w:r w:rsidRPr="00B86C6F">
        <w:rPr>
          <w:rFonts w:eastAsia="Batang"/>
          <w:lang w:eastAsia="en-US"/>
        </w:rPr>
        <w:t>.</w:t>
      </w:r>
    </w:p>
    <w:p w14:paraId="582C85AD" w14:textId="3AF108E8" w:rsidR="002C76F1" w:rsidRDefault="00C22F88" w:rsidP="00111CAD">
      <w:pPr>
        <w:pStyle w:val="Text"/>
      </w:pPr>
      <w:r w:rsidRPr="00B86C6F">
        <w:rPr>
          <w:rFonts w:eastAsia="Batang"/>
          <w:lang w:eastAsia="en-US"/>
        </w:rPr>
        <w:t xml:space="preserve">The </w:t>
      </w:r>
      <w:proofErr w:type="spellStart"/>
      <w:r w:rsidRPr="00B86C6F">
        <w:rPr>
          <w:rFonts w:eastAsia="Batang"/>
          <w:lang w:eastAsia="en-US"/>
        </w:rPr>
        <w:t>HgM</w:t>
      </w:r>
      <w:proofErr w:type="spellEnd"/>
      <w:r w:rsidRPr="00B86C6F">
        <w:rPr>
          <w:rFonts w:eastAsia="Batang"/>
          <w:lang w:eastAsia="en-US"/>
        </w:rPr>
        <w:t xml:space="preserve"> pressure was calculated by means of </w:t>
      </w:r>
      <w:r>
        <w:rPr>
          <w:rFonts w:eastAsia="Batang"/>
          <w:lang w:eastAsia="en-US"/>
        </w:rPr>
        <w:t>Eq.</w:t>
      </w:r>
      <w:r w:rsidR="00065097">
        <w:rPr>
          <w:rFonts w:eastAsia="Batang"/>
          <w:lang w:eastAsia="en-US"/>
        </w:rPr>
        <w:t> </w:t>
      </w:r>
      <w:r w:rsidRPr="00B86C6F">
        <w:rPr>
          <w:rFonts w:eastAsia="Batang"/>
          <w:lang w:eastAsia="en-US"/>
        </w:rPr>
        <w:t>(4)</w:t>
      </w:r>
      <w:r w:rsidR="00065097">
        <w:rPr>
          <w:rFonts w:eastAsia="Batang"/>
          <w:lang w:eastAsia="en-US"/>
        </w:rPr>
        <w:t>,</w:t>
      </w:r>
    </w:p>
    <w:tbl>
      <w:tblPr>
        <w:tblW w:w="4566" w:type="dxa"/>
        <w:jc w:val="center"/>
        <w:tblLayout w:type="fixed"/>
        <w:tblLook w:val="04A0" w:firstRow="1" w:lastRow="0" w:firstColumn="1" w:lastColumn="0" w:noHBand="0" w:noVBand="1"/>
      </w:tblPr>
      <w:tblGrid>
        <w:gridCol w:w="4026"/>
        <w:gridCol w:w="540"/>
      </w:tblGrid>
      <w:tr w:rsidR="00C22F88" w:rsidRPr="0049786B" w14:paraId="03C71516" w14:textId="77777777" w:rsidTr="009333A7">
        <w:trPr>
          <w:trHeight w:val="433"/>
          <w:jc w:val="center"/>
        </w:trPr>
        <w:tc>
          <w:tcPr>
            <w:tcW w:w="4026" w:type="dxa"/>
            <w:vAlign w:val="center"/>
          </w:tcPr>
          <w:p w14:paraId="5006D075" w14:textId="79EA0FDE" w:rsidR="00C22F88" w:rsidRPr="00C22F88" w:rsidRDefault="00C97D41" w:rsidP="009333A7">
            <w:pPr>
              <w:pStyle w:val="absatz"/>
              <w:spacing w:beforeLines="50" w:before="120" w:afterLines="50" w:after="120" w:line="276" w:lineRule="auto"/>
              <w:jc w:val="center"/>
              <w:rPr>
                <w:rFonts w:asciiTheme="majorBidi" w:hAnsiTheme="majorBidi" w:cstheme="majorBidi"/>
                <w:sz w:val="18"/>
                <w:szCs w:val="18"/>
                <w:lang w:val="en-US"/>
              </w:rPr>
            </w:pPr>
            <m:oMathPara>
              <m:oMathParaPr>
                <m:jc m:val="center"/>
              </m:oMathParaPr>
              <m:oMath>
                <m:sSub>
                  <m:sSubPr>
                    <m:ctrlPr>
                      <w:rPr>
                        <w:rFonts w:ascii="Cambria Math" w:hAnsi="Cambria Math"/>
                        <w:sz w:val="20"/>
                        <w:lang w:val="en-US"/>
                      </w:rPr>
                    </m:ctrlPr>
                  </m:sSubPr>
                  <m:e>
                    <m:r>
                      <w:rPr>
                        <w:rFonts w:ascii="Cambria Math" w:hAnsi="Cambria Math"/>
                        <w:sz w:val="20"/>
                        <w:lang w:val="en-US"/>
                      </w:rPr>
                      <m:t>p</m:t>
                    </m:r>
                  </m:e>
                  <m:sub>
                    <m:r>
                      <m:rPr>
                        <m:sty m:val="p"/>
                      </m:rPr>
                      <w:rPr>
                        <w:rFonts w:ascii="Cambria Math" w:hAnsi="Cambria Math"/>
                        <w:sz w:val="20"/>
                        <w:lang w:val="en-US"/>
                      </w:rPr>
                      <m:t>HgM</m:t>
                    </m:r>
                  </m:sub>
                </m:sSub>
                <m:r>
                  <m:rPr>
                    <m:sty m:val="p"/>
                  </m:rPr>
                  <w:rPr>
                    <w:rFonts w:ascii="Cambria Math" w:hAnsi="Cambria Math"/>
                    <w:sz w:val="20"/>
                    <w:lang w:val="en-US"/>
                  </w:rPr>
                  <m:t>=</m:t>
                </m:r>
                <m:r>
                  <w:rPr>
                    <w:rFonts w:ascii="Cambria Math" w:hAnsi="Cambria Math"/>
                    <w:sz w:val="20"/>
                    <w:lang w:val="en-US"/>
                  </w:rPr>
                  <m:t>g</m:t>
                </m:r>
                <m:r>
                  <m:rPr>
                    <m:sty m:val="p"/>
                  </m:rP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m:rPr>
                        <m:sty m:val="p"/>
                      </m:rPr>
                      <w:rPr>
                        <w:rFonts w:ascii="Cambria Math" w:hAnsi="Cambria Math"/>
                        <w:sz w:val="20"/>
                        <w:lang w:val="en-US"/>
                      </w:rPr>
                      <m:t>Hg</m:t>
                    </m:r>
                  </m:sub>
                </m:sSub>
                <m:r>
                  <m:rPr>
                    <m:sty m:val="p"/>
                  </m:rPr>
                  <w:rPr>
                    <w:rFonts w:ascii="Cambria Math" w:hAnsi="Cambria Math"/>
                    <w:sz w:val="20"/>
                    <w:lang w:val="en-US"/>
                  </w:rPr>
                  <m:t>∙</m:t>
                </m:r>
                <m:sSub>
                  <m:sSubPr>
                    <m:ctrlPr>
                      <w:rPr>
                        <w:rFonts w:ascii="Cambria Math" w:hAnsi="Cambria Math"/>
                        <w:sz w:val="20"/>
                        <w:lang w:val="en-US"/>
                      </w:rPr>
                    </m:ctrlPr>
                  </m:sSubPr>
                  <m:e>
                    <m:r>
                      <w:rPr>
                        <w:rFonts w:ascii="Cambria Math" w:hAnsi="Cambria Math"/>
                        <w:sz w:val="20"/>
                        <w:lang w:val="en-US"/>
                      </w:rPr>
                      <m:t>ρ</m:t>
                    </m:r>
                  </m:e>
                  <m:sub>
                    <m:r>
                      <m:rPr>
                        <m:sty m:val="p"/>
                      </m:rPr>
                      <w:rPr>
                        <w:rFonts w:ascii="Cambria Math" w:hAnsi="Cambria Math"/>
                        <w:sz w:val="20"/>
                        <w:lang w:val="en-US"/>
                      </w:rPr>
                      <m:t>Hg</m:t>
                    </m:r>
                  </m:sub>
                </m:sSub>
                <m:r>
                  <m:rPr>
                    <m:sty m:val="p"/>
                  </m:rPr>
                  <w:rPr>
                    <w:rFonts w:ascii="Cambria Math" w:hAnsi="Cambria Math"/>
                    <w:sz w:val="20"/>
                    <w:lang w:val="en-US"/>
                  </w:rPr>
                  <m:t>+</m:t>
                </m:r>
                <m:sSub>
                  <m:sSubPr>
                    <m:ctrlPr>
                      <w:rPr>
                        <w:rFonts w:ascii="Cambria Math" w:hAnsi="Cambria Math"/>
                        <w:sz w:val="20"/>
                        <w:lang w:val="en-US"/>
                      </w:rPr>
                    </m:ctrlPr>
                  </m:sSubPr>
                  <m:e>
                    <m:r>
                      <w:rPr>
                        <w:rFonts w:ascii="Cambria Math" w:hAnsi="Cambria Math"/>
                        <w:sz w:val="20"/>
                        <w:lang w:val="en-US"/>
                      </w:rPr>
                      <m:t>p</m:t>
                    </m:r>
                  </m:e>
                  <m:sub>
                    <m:r>
                      <m:rPr>
                        <m:sty m:val="p"/>
                      </m:rPr>
                      <w:rPr>
                        <w:rFonts w:ascii="Cambria Math" w:hAnsi="Cambria Math"/>
                        <w:sz w:val="20"/>
                        <w:lang w:val="en-US"/>
                      </w:rPr>
                      <m:t>M.rest</m:t>
                    </m:r>
                  </m:sub>
                </m:sSub>
                <m:r>
                  <m:rPr>
                    <m:sty m:val="p"/>
                  </m:rPr>
                  <w:rPr>
                    <w:rFonts w:ascii="Cambria Math" w:hAnsi="Cambria Math"/>
                    <w:sz w:val="20"/>
                    <w:lang w:val="en-US"/>
                  </w:rPr>
                  <m:t>-</m:t>
                </m:r>
                <m:r>
                  <w:rPr>
                    <w:rFonts w:ascii="Cambria Math" w:hAnsi="Cambria Math"/>
                    <w:sz w:val="20"/>
                    <w:lang w:val="en-US"/>
                  </w:rPr>
                  <m:t>g</m:t>
                </m:r>
                <m:r>
                  <m:rPr>
                    <m:sty m:val="p"/>
                  </m:rPr>
                  <w:rPr>
                    <w:rFonts w:ascii="Cambria Math" w:hAnsi="Cambria Math"/>
                    <w:sz w:val="20"/>
                    <w:lang w:val="en-US"/>
                  </w:rPr>
                  <m:t>∙</m:t>
                </m:r>
                <m:r>
                  <w:rPr>
                    <w:rFonts w:ascii="Cambria Math" w:hAnsi="Cambria Math"/>
                    <w:sz w:val="20"/>
                    <w:lang w:val="en-US"/>
                  </w:rPr>
                  <m:t>l</m:t>
                </m:r>
                <m:r>
                  <m:rPr>
                    <m:sty m:val="p"/>
                  </m:rPr>
                  <w:rPr>
                    <w:rFonts w:ascii="Cambria Math" w:hAnsi="Cambria Math"/>
                    <w:sz w:val="20"/>
                    <w:lang w:val="en-US"/>
                  </w:rPr>
                  <m:t>∙</m:t>
                </m:r>
                <m:sSub>
                  <m:sSubPr>
                    <m:ctrlPr>
                      <w:rPr>
                        <w:rFonts w:ascii="Cambria Math" w:hAnsi="Cambria Math"/>
                        <w:sz w:val="20"/>
                        <w:lang w:val="en-US"/>
                      </w:rPr>
                    </m:ctrlPr>
                  </m:sSubPr>
                  <m:e>
                    <m:r>
                      <w:rPr>
                        <w:rFonts w:ascii="Cambria Math" w:hAnsi="Cambria Math"/>
                        <w:sz w:val="20"/>
                        <w:lang w:val="en-US"/>
                      </w:rPr>
                      <m:t>ρ</m:t>
                    </m:r>
                  </m:e>
                  <m:sub>
                    <m:r>
                      <w:rPr>
                        <w:rFonts w:ascii="Cambria Math" w:hAnsi="Cambria Math"/>
                        <w:sz w:val="20"/>
                        <w:lang w:val="en-US"/>
                      </w:rPr>
                      <m:t>l</m:t>
                    </m:r>
                  </m:sub>
                </m:sSub>
                <m:r>
                  <m:rPr>
                    <m:sty m:val="p"/>
                  </m:rPr>
                  <w:rPr>
                    <w:rFonts w:ascii="Cambria Math" w:hAnsi="Cambria Math"/>
                    <w:sz w:val="20"/>
                    <w:lang w:val="en-US"/>
                  </w:rPr>
                  <m:t>,</m:t>
                </m:r>
              </m:oMath>
            </m:oMathPara>
          </w:p>
        </w:tc>
        <w:tc>
          <w:tcPr>
            <w:tcW w:w="540" w:type="dxa"/>
            <w:vAlign w:val="center"/>
          </w:tcPr>
          <w:p w14:paraId="3077ECE0" w14:textId="46A0E137" w:rsidR="00C22F88" w:rsidRPr="0049786B" w:rsidRDefault="00C22F88" w:rsidP="009333A7">
            <w:pPr>
              <w:pStyle w:val="absatz"/>
              <w:spacing w:beforeLines="50" w:before="120" w:afterLines="50" w:after="120" w:line="276" w:lineRule="auto"/>
              <w:jc w:val="center"/>
              <w:rPr>
                <w:sz w:val="20"/>
                <w:lang w:val="en-US"/>
              </w:rPr>
            </w:pPr>
            <w:r w:rsidRPr="0049786B">
              <w:rPr>
                <w:sz w:val="20"/>
                <w:lang w:val="en-US"/>
              </w:rPr>
              <w:t>(</w:t>
            </w:r>
            <w:r>
              <w:rPr>
                <w:sz w:val="20"/>
                <w:lang w:val="en-US"/>
              </w:rPr>
              <w:t>4</w:t>
            </w:r>
            <w:r w:rsidRPr="0049786B">
              <w:rPr>
                <w:sz w:val="20"/>
                <w:lang w:val="en-US"/>
              </w:rPr>
              <w:t>)</w:t>
            </w:r>
          </w:p>
        </w:tc>
      </w:tr>
    </w:tbl>
    <w:p w14:paraId="1324F066" w14:textId="7FE5E932" w:rsidR="002C76F1" w:rsidRDefault="003F37D3" w:rsidP="00111CAD">
      <w:pPr>
        <w:pStyle w:val="Text"/>
      </w:pPr>
      <w:r>
        <w:rPr>
          <w:rFonts w:eastAsia="Batang"/>
          <w:lang w:eastAsia="en-US"/>
        </w:rPr>
        <w:t>in which</w:t>
      </w:r>
      <w:r w:rsidRPr="00B86C6F">
        <w:rPr>
          <w:rFonts w:eastAsia="Batang"/>
          <w:lang w:eastAsia="en-US"/>
        </w:rPr>
        <w:t xml:space="preserve"> </w:t>
      </w:r>
      <m:oMath>
        <m:sSub>
          <m:sSubPr>
            <m:ctrlPr>
              <w:rPr>
                <w:rFonts w:ascii="Cambria Math" w:eastAsia="Times New Roman" w:hAnsi="Cambria Math" w:cs="Times New Roman"/>
                <w:i/>
                <w:kern w:val="0"/>
                <w:lang w:eastAsia="de-DE"/>
              </w:rPr>
            </m:ctrlPr>
          </m:sSubPr>
          <m:e>
            <m:r>
              <w:rPr>
                <w:rFonts w:ascii="Cambria Math" w:hAnsi="Cambria Math"/>
              </w:rPr>
              <m:t>h</m:t>
            </m:r>
          </m:e>
          <m:sub>
            <m:r>
              <m:rPr>
                <m:sty m:val="p"/>
              </m:rPr>
              <w:rPr>
                <w:rFonts w:ascii="Cambria Math" w:hAnsi="Cambria Math"/>
              </w:rPr>
              <m:t>Hg</m:t>
            </m:r>
          </m:sub>
        </m:sSub>
      </m:oMath>
      <w:r w:rsidRPr="00B86C6F">
        <w:rPr>
          <w:rFonts w:eastAsia="Batang"/>
          <w:lang w:eastAsia="en-US"/>
        </w:rPr>
        <w:t xml:space="preserve"> is the height difference between the mercury levels </w:t>
      </w:r>
      <w:r>
        <w:rPr>
          <w:rFonts w:eastAsia="Batang"/>
          <w:lang w:eastAsia="en-US"/>
        </w:rPr>
        <w:t>in the two vessels,</w:t>
      </w:r>
      <w:r w:rsidRPr="00B86C6F">
        <w:rPr>
          <w:rFonts w:eastAsia="Batang"/>
          <w:lang w:eastAsia="en-US"/>
        </w:rPr>
        <w:t xml:space="preserve"> </w:t>
      </w:r>
      <w:r w:rsidRPr="003F37D3">
        <w:rPr>
          <w:rFonts w:eastAsia="Batang"/>
          <w:i/>
          <w:lang w:eastAsia="en-US"/>
        </w:rPr>
        <w:t>l</w:t>
      </w:r>
      <w:r w:rsidRPr="00B86C6F">
        <w:rPr>
          <w:rFonts w:eastAsia="Batang"/>
          <w:lang w:eastAsia="en-US"/>
        </w:rPr>
        <w:t xml:space="preserve"> is the </w:t>
      </w:r>
      <w:r>
        <w:rPr>
          <w:rFonts w:eastAsia="Batang"/>
          <w:lang w:eastAsia="en-US"/>
        </w:rPr>
        <w:t xml:space="preserve">height difference between the reference level of the </w:t>
      </w:r>
      <w:proofErr w:type="spellStart"/>
      <w:r w:rsidR="005441FA">
        <w:rPr>
          <w:rFonts w:eastAsia="Batang"/>
          <w:lang w:eastAsia="en-US"/>
        </w:rPr>
        <w:t>HgM</w:t>
      </w:r>
      <w:proofErr w:type="spellEnd"/>
      <w:r w:rsidR="005441FA">
        <w:rPr>
          <w:rFonts w:eastAsia="Batang"/>
          <w:lang w:eastAsia="en-US"/>
        </w:rPr>
        <w:t xml:space="preserve"> and the mercury surface in the lower vessel</w:t>
      </w:r>
      <w:r>
        <w:rPr>
          <w:rFonts w:eastAsia="Batang"/>
          <w:lang w:eastAsia="en-US"/>
        </w:rPr>
        <w:t>,</w:t>
      </w:r>
      <w:r w:rsidRPr="00B86C6F">
        <w:rPr>
          <w:rFonts w:eastAsia="Batang"/>
          <w:lang w:eastAsia="en-US"/>
        </w:rPr>
        <w:t xml:space="preserve"> </w:t>
      </w:r>
      <m:oMath>
        <m:sSub>
          <m:sSubPr>
            <m:ctrlPr>
              <w:rPr>
                <w:rFonts w:ascii="Cambria Math" w:eastAsia="Batang" w:hAnsi="Cambria Math"/>
                <w:lang w:eastAsia="en-US"/>
              </w:rPr>
            </m:ctrlPr>
          </m:sSubPr>
          <m:e>
            <m:r>
              <w:rPr>
                <w:rFonts w:ascii="Cambria Math" w:eastAsia="Batang" w:hAnsi="Cambria Math"/>
                <w:lang w:eastAsia="en-US"/>
              </w:rPr>
              <m:t>ρ</m:t>
            </m:r>
          </m:e>
          <m:sub>
            <m:r>
              <m:rPr>
                <m:sty m:val="p"/>
              </m:rPr>
              <w:rPr>
                <w:rFonts w:ascii="Cambria Math" w:eastAsia="Batang" w:hAnsi="Cambria Math"/>
                <w:lang w:eastAsia="en-US"/>
              </w:rPr>
              <m:t>Hg</m:t>
            </m:r>
          </m:sub>
        </m:sSub>
      </m:oMath>
      <w:r w:rsidRPr="00B86C6F">
        <w:rPr>
          <w:rFonts w:eastAsia="Batang"/>
          <w:lang w:eastAsia="en-US"/>
        </w:rPr>
        <w:t xml:space="preserve"> is the density of mercury</w:t>
      </w:r>
      <w:r>
        <w:rPr>
          <w:rFonts w:eastAsia="Batang"/>
          <w:lang w:eastAsia="en-US"/>
        </w:rPr>
        <w:t xml:space="preserve">, </w:t>
      </w:r>
      <m:oMath>
        <m:sSub>
          <m:sSubPr>
            <m:ctrlPr>
              <w:rPr>
                <w:rFonts w:ascii="Cambria Math" w:hAnsi="Cambria Math"/>
              </w:rPr>
            </m:ctrlPr>
          </m:sSubPr>
          <m:e>
            <m:r>
              <w:rPr>
                <w:rFonts w:ascii="Cambria Math" w:hAnsi="Cambria Math"/>
              </w:rPr>
              <m:t>ρ</m:t>
            </m:r>
          </m:e>
          <m:sub>
            <m:r>
              <w:rPr>
                <w:rFonts w:ascii="Cambria Math" w:hAnsi="Cambria Math"/>
              </w:rPr>
              <m:t>l</m:t>
            </m:r>
          </m:sub>
        </m:sSub>
      </m:oMath>
      <w:r>
        <w:rPr>
          <w:rFonts w:eastAsia="Batang"/>
          <w:lang w:eastAsia="en-US"/>
        </w:rPr>
        <w:t xml:space="preserve"> is the density of the pressure-transmitting gas and </w:t>
      </w:r>
      <m:oMath>
        <m:sSub>
          <m:sSubPr>
            <m:ctrlPr>
              <w:rPr>
                <w:rFonts w:ascii="Cambria Math" w:hAnsi="Cambria Math"/>
              </w:rPr>
            </m:ctrlPr>
          </m:sSubPr>
          <m:e>
            <m:r>
              <w:rPr>
                <w:rFonts w:ascii="Cambria Math" w:hAnsi="Cambria Math"/>
              </w:rPr>
              <m:t>p</m:t>
            </m:r>
          </m:e>
          <m:sub>
            <m:r>
              <m:rPr>
                <m:sty m:val="p"/>
              </m:rPr>
              <w:rPr>
                <w:rFonts w:ascii="Cambria Math" w:hAnsi="Cambria Math"/>
              </w:rPr>
              <m:t>M.rest</m:t>
            </m:r>
          </m:sub>
        </m:sSub>
      </m:oMath>
      <w:r>
        <w:rPr>
          <w:rFonts w:eastAsia="Batang"/>
          <w:lang w:eastAsia="en-US"/>
        </w:rPr>
        <w:t xml:space="preserve"> is the residual pressure in the upper vessel of the </w:t>
      </w:r>
      <w:proofErr w:type="spellStart"/>
      <w:r>
        <w:rPr>
          <w:rFonts w:eastAsia="Batang"/>
          <w:lang w:eastAsia="en-US"/>
        </w:rPr>
        <w:t>HgM</w:t>
      </w:r>
      <w:proofErr w:type="spellEnd"/>
      <w:r w:rsidRPr="00B86C6F">
        <w:rPr>
          <w:rFonts w:eastAsia="Batang"/>
          <w:lang w:eastAsia="en-US"/>
        </w:rPr>
        <w:t>.</w:t>
      </w:r>
    </w:p>
    <w:tbl>
      <w:tblPr>
        <w:tblW w:w="5240" w:type="dxa"/>
        <w:jc w:val="center"/>
        <w:tblCellMar>
          <w:left w:w="70" w:type="dxa"/>
          <w:right w:w="70" w:type="dxa"/>
        </w:tblCellMar>
        <w:tblLook w:val="04A0" w:firstRow="1" w:lastRow="0" w:firstColumn="1" w:lastColumn="0" w:noHBand="0" w:noVBand="1"/>
      </w:tblPr>
      <w:tblGrid>
        <w:gridCol w:w="5240"/>
      </w:tblGrid>
      <w:tr w:rsidR="00CC4DEE" w:rsidRPr="003C4F94" w14:paraId="6B5F4A5B" w14:textId="77777777" w:rsidTr="009333A7">
        <w:trPr>
          <w:trHeight w:val="2820"/>
          <w:jc w:val="center"/>
        </w:trPr>
        <w:tc>
          <w:tcPr>
            <w:tcW w:w="5240" w:type="dxa"/>
            <w:vAlign w:val="bottom"/>
          </w:tcPr>
          <w:p w14:paraId="17B08EB4" w14:textId="546CA8E5" w:rsidR="00CC4DEE" w:rsidRDefault="00CC4DEE" w:rsidP="00547053">
            <w:pPr>
              <w:pStyle w:val="absatz"/>
              <w:spacing w:beforeLines="50" w:before="120" w:line="240" w:lineRule="auto"/>
              <w:jc w:val="right"/>
              <w:rPr>
                <w:rFonts w:asciiTheme="majorBidi" w:hAnsiTheme="majorBidi" w:cstheme="majorBidi"/>
                <w:lang w:val="en-US"/>
              </w:rPr>
            </w:pPr>
            <w:r>
              <w:rPr>
                <w:noProof/>
                <w:lang w:eastAsia="ko-KR"/>
              </w:rPr>
              <w:drawing>
                <wp:inline distT="0" distB="0" distL="0" distR="0" wp14:anchorId="67983E1E" wp14:editId="7CC664E4">
                  <wp:extent cx="3229200" cy="1861200"/>
                  <wp:effectExtent l="0" t="0" r="9525" b="5715"/>
                  <wp:docPr id="17" name="Picture 17" descr="O:\3-3\3-33\Aktuell\FPG_PTB\Messungen\2017-12 Schwien vs FPG 183_pabs\FPG vs LK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O:\3-3\3-33\Aktuell\FPG_PTB\Messungen\2017-12 Schwien vs FPG 183_pabs\FPG vs LKM.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9200" cy="1861200"/>
                          </a:xfrm>
                          <a:prstGeom prst="rect">
                            <a:avLst/>
                          </a:prstGeom>
                          <a:noFill/>
                          <a:ln>
                            <a:noFill/>
                          </a:ln>
                        </pic:spPr>
                      </pic:pic>
                    </a:graphicData>
                  </a:graphic>
                </wp:inline>
              </w:drawing>
            </w:r>
          </w:p>
        </w:tc>
      </w:tr>
      <w:tr w:rsidR="009333A7" w:rsidRPr="0002681F" w14:paraId="45215065" w14:textId="77777777" w:rsidTr="009333A7">
        <w:tblPrEx>
          <w:tblCellMar>
            <w:left w:w="108" w:type="dxa"/>
            <w:right w:w="108" w:type="dxa"/>
          </w:tblCellMar>
        </w:tblPrEx>
        <w:trPr>
          <w:trHeight w:val="45"/>
          <w:jc w:val="center"/>
        </w:trPr>
        <w:tc>
          <w:tcPr>
            <w:tcW w:w="5240" w:type="dxa"/>
            <w:vAlign w:val="center"/>
          </w:tcPr>
          <w:p w14:paraId="41B48363" w14:textId="1EB320EE" w:rsidR="00CC4DEE" w:rsidRPr="00B54609" w:rsidRDefault="00CC4DEE" w:rsidP="009333A7">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sidR="00547053">
              <w:rPr>
                <w:sz w:val="20"/>
                <w:lang w:val="en"/>
              </w:rPr>
              <w:t>4</w:t>
            </w:r>
            <w:r w:rsidRPr="00B54609">
              <w:rPr>
                <w:sz w:val="20"/>
                <w:lang w:val="en"/>
              </w:rPr>
              <w:t xml:space="preserve"> </w:t>
            </w:r>
            <w:r w:rsidR="00710FD0" w:rsidRPr="00B54609">
              <w:rPr>
                <w:sz w:val="20"/>
                <w:lang w:val="en"/>
              </w:rPr>
              <w:t xml:space="preserve">Experimental </w:t>
            </w:r>
            <w:r w:rsidR="00710FD0">
              <w:rPr>
                <w:sz w:val="20"/>
                <w:lang w:val="en"/>
              </w:rPr>
              <w:t>s</w:t>
            </w:r>
            <w:r w:rsidR="00710FD0" w:rsidRPr="00B54609">
              <w:rPr>
                <w:sz w:val="20"/>
                <w:lang w:val="en"/>
              </w:rPr>
              <w:t>etup for cross flo</w:t>
            </w:r>
            <w:r w:rsidR="00710FD0">
              <w:rPr>
                <w:sz w:val="20"/>
                <w:lang w:val="en"/>
              </w:rPr>
              <w:t>a</w:t>
            </w:r>
            <w:r w:rsidR="00710FD0" w:rsidRPr="00B54609">
              <w:rPr>
                <w:sz w:val="20"/>
                <w:lang w:val="en"/>
              </w:rPr>
              <w:t xml:space="preserve">ting between </w:t>
            </w:r>
            <w:proofErr w:type="gramStart"/>
            <w:r w:rsidR="00710FD0" w:rsidRPr="00B54609">
              <w:rPr>
                <w:sz w:val="20"/>
                <w:lang w:val="en"/>
              </w:rPr>
              <w:t>FPG</w:t>
            </w:r>
            <w:r w:rsidR="003A35F0">
              <w:rPr>
                <w:sz w:val="20"/>
                <w:lang w:val="en"/>
              </w:rPr>
              <w:t> </w:t>
            </w:r>
            <w:r w:rsidR="00710FD0" w:rsidRPr="00B54609">
              <w:rPr>
                <w:sz w:val="20"/>
                <w:lang w:val="en"/>
              </w:rPr>
              <w:t xml:space="preserve"> and</w:t>
            </w:r>
            <w:proofErr w:type="gramEnd"/>
            <w:r w:rsidR="003A35F0">
              <w:rPr>
                <w:sz w:val="20"/>
                <w:lang w:val="en"/>
              </w:rPr>
              <w:t> </w:t>
            </w:r>
            <w:r w:rsidR="00710FD0" w:rsidRPr="00B54609">
              <w:rPr>
                <w:sz w:val="20"/>
                <w:lang w:val="en"/>
              </w:rPr>
              <w:t xml:space="preserve"> </w:t>
            </w:r>
            <w:proofErr w:type="spellStart"/>
            <w:r w:rsidR="00710FD0">
              <w:rPr>
                <w:sz w:val="20"/>
                <w:lang w:val="en"/>
              </w:rPr>
              <w:t>HgM</w:t>
            </w:r>
            <w:proofErr w:type="spellEnd"/>
            <w:r w:rsidR="00710FD0">
              <w:rPr>
                <w:sz w:val="20"/>
                <w:lang w:val="en"/>
              </w:rPr>
              <w:t xml:space="preserve"> in absolute mode</w:t>
            </w:r>
            <w:r w:rsidR="00710FD0" w:rsidRPr="00B54609">
              <w:rPr>
                <w:sz w:val="20"/>
                <w:lang w:val="en"/>
              </w:rPr>
              <w:t>.</w:t>
            </w:r>
          </w:p>
        </w:tc>
      </w:tr>
    </w:tbl>
    <w:p w14:paraId="69DBEC20" w14:textId="22D3FD9D" w:rsidR="002C76F1" w:rsidRDefault="005441FA" w:rsidP="00111CAD">
      <w:pPr>
        <w:pStyle w:val="Text"/>
      </w:pPr>
      <w:r>
        <w:rPr>
          <w:rFonts w:eastAsia="Batang"/>
          <w:lang w:eastAsia="en-US"/>
        </w:rPr>
        <w:t xml:space="preserve">The FPG pressure </w:t>
      </w:r>
      <w:r w:rsidR="005F7104">
        <w:rPr>
          <w:rFonts w:eastAsia="Batang"/>
          <w:lang w:eastAsia="en-US"/>
        </w:rPr>
        <w:t xml:space="preserve">was </w:t>
      </w:r>
      <w:r>
        <w:rPr>
          <w:rFonts w:eastAsia="Batang"/>
          <w:lang w:eastAsia="en-US"/>
        </w:rPr>
        <w:t xml:space="preserve">calculated by means of Eq. (5) with </w:t>
      </w:r>
      <w:r w:rsidR="008F4FB4">
        <w:rPr>
          <w:rFonts w:eastAsia="Batang"/>
          <w:lang w:eastAsia="en-US"/>
        </w:rPr>
        <w:t>two</w:t>
      </w:r>
      <w:r w:rsidR="005F7104">
        <w:rPr>
          <w:rFonts w:eastAsia="Batang"/>
          <w:lang w:eastAsia="en-US"/>
        </w:rPr>
        <w:t xml:space="preserve"> </w:t>
      </w:r>
      <w:r>
        <w:rPr>
          <w:rFonts w:eastAsia="Batang"/>
          <w:lang w:eastAsia="en-US"/>
        </w:rPr>
        <w:t xml:space="preserve">additional </w:t>
      </w:r>
      <w:r w:rsidR="005F7104">
        <w:rPr>
          <w:rFonts w:eastAsia="Batang"/>
          <w:lang w:eastAsia="en-US"/>
        </w:rPr>
        <w:t>component</w:t>
      </w:r>
      <w:r w:rsidR="008F4FB4">
        <w:rPr>
          <w:rFonts w:eastAsia="Batang"/>
          <w:lang w:eastAsia="en-US"/>
        </w:rPr>
        <w:t>s</w:t>
      </w:r>
      <w:r w:rsidR="005F7104">
        <w:rPr>
          <w:rFonts w:eastAsia="Batang"/>
          <w:lang w:eastAsia="en-US"/>
        </w:rPr>
        <w:t xml:space="preserve"> containing the </w:t>
      </w:r>
      <w:r>
        <w:rPr>
          <w:rFonts w:eastAsia="Batang"/>
          <w:lang w:eastAsia="en-US"/>
        </w:rPr>
        <w:t xml:space="preserve">height difference </w:t>
      </w:r>
      <w:r w:rsidR="008F4FB4">
        <w:rPr>
          <w:rFonts w:eastAsia="Batang"/>
          <w:lang w:eastAsia="en-US"/>
        </w:rPr>
        <w:t>(</w:t>
      </w:r>
      <w:r w:rsidRPr="00847C17">
        <w:rPr>
          <w:rFonts w:eastAsia="Batang"/>
          <w:i/>
          <w:iCs/>
          <w:lang w:eastAsia="en-US"/>
        </w:rPr>
        <w:t>h</w:t>
      </w:r>
      <w:r w:rsidR="008F4FB4">
        <w:rPr>
          <w:rFonts w:eastAsia="Batang"/>
          <w:lang w:eastAsia="en-US"/>
        </w:rPr>
        <w:t xml:space="preserve">) </w:t>
      </w:r>
      <w:r>
        <w:rPr>
          <w:rFonts w:eastAsia="Batang"/>
          <w:lang w:eastAsia="en-US"/>
        </w:rPr>
        <w:t xml:space="preserve">between the </w:t>
      </w:r>
      <w:r w:rsidR="008F4FB4">
        <w:rPr>
          <w:rFonts w:eastAsia="Batang"/>
          <w:lang w:eastAsia="en-US"/>
        </w:rPr>
        <w:t xml:space="preserve">pressure reference levels of the FPG and </w:t>
      </w:r>
      <w:proofErr w:type="spellStart"/>
      <w:r w:rsidR="008F4FB4">
        <w:rPr>
          <w:rFonts w:eastAsia="Batang"/>
          <w:lang w:eastAsia="en-US"/>
        </w:rPr>
        <w:t>HgM</w:t>
      </w:r>
      <w:proofErr w:type="spellEnd"/>
      <w:r w:rsidR="008F4FB4">
        <w:rPr>
          <w:rFonts w:eastAsia="Batang"/>
          <w:lang w:eastAsia="en-US"/>
        </w:rPr>
        <w:t xml:space="preserve">, and the </w:t>
      </w:r>
      <w:r>
        <w:rPr>
          <w:rFonts w:eastAsia="Batang"/>
          <w:lang w:eastAsia="en-US"/>
        </w:rPr>
        <w:t xml:space="preserve">residual pressure </w:t>
      </w:r>
      <m:oMath>
        <m:sSub>
          <m:sSubPr>
            <m:ctrlPr>
              <w:rPr>
                <w:rFonts w:ascii="Cambria Math" w:hAnsi="Cambria Math"/>
              </w:rPr>
            </m:ctrlPr>
          </m:sSubPr>
          <m:e>
            <m:r>
              <w:rPr>
                <w:rFonts w:ascii="Cambria Math" w:hAnsi="Cambria Math"/>
              </w:rPr>
              <m:t>p</m:t>
            </m:r>
          </m:e>
          <m:sub>
            <m:r>
              <m:rPr>
                <m:sty m:val="p"/>
              </m:rPr>
              <w:rPr>
                <w:rFonts w:ascii="Cambria Math" w:hAnsi="Cambria Math"/>
              </w:rPr>
              <m:t>res.</m:t>
            </m:r>
          </m:sub>
        </m:sSub>
      </m:oMath>
      <w:r>
        <w:rPr>
          <w:rFonts w:eastAsia="Batang"/>
        </w:rPr>
        <w:t xml:space="preserve"> o</w:t>
      </w:r>
      <w:r w:rsidR="008F4FB4">
        <w:rPr>
          <w:rFonts w:eastAsia="Batang"/>
        </w:rPr>
        <w:t>n</w:t>
      </w:r>
      <w:r>
        <w:rPr>
          <w:rFonts w:eastAsia="Batang"/>
        </w:rPr>
        <w:t xml:space="preserve"> the reference side of FPG, </w:t>
      </w:r>
      <w:r w:rsidR="008F4FB4">
        <w:rPr>
          <w:rFonts w:eastAsia="Batang"/>
        </w:rPr>
        <w:t xml:space="preserve">which </w:t>
      </w:r>
      <w:r>
        <w:rPr>
          <w:rFonts w:eastAsia="Batang"/>
        </w:rPr>
        <w:t>appears on</w:t>
      </w:r>
      <w:r w:rsidR="008F4FB4">
        <w:rPr>
          <w:rFonts w:eastAsia="Batang"/>
        </w:rPr>
        <w:t>ly</w:t>
      </w:r>
      <w:r>
        <w:rPr>
          <w:rFonts w:eastAsia="Batang"/>
        </w:rPr>
        <w:t xml:space="preserve"> in </w:t>
      </w:r>
      <w:r w:rsidR="008F4FB4">
        <w:rPr>
          <w:rFonts w:eastAsia="Batang"/>
        </w:rPr>
        <w:t xml:space="preserve">the </w:t>
      </w:r>
      <w:r>
        <w:rPr>
          <w:rFonts w:eastAsia="Batang"/>
        </w:rPr>
        <w:t>absolute pressure mode</w:t>
      </w:r>
      <w:r w:rsidR="008F4FB4">
        <w:rPr>
          <w:rFonts w:eastAsia="Batang"/>
        </w:rPr>
        <w:t>,</w:t>
      </w:r>
    </w:p>
    <w:tbl>
      <w:tblPr>
        <w:tblW w:w="4566" w:type="dxa"/>
        <w:jc w:val="center"/>
        <w:tblLayout w:type="fixed"/>
        <w:tblLook w:val="04A0" w:firstRow="1" w:lastRow="0" w:firstColumn="1" w:lastColumn="0" w:noHBand="0" w:noVBand="1"/>
      </w:tblPr>
      <w:tblGrid>
        <w:gridCol w:w="4026"/>
        <w:gridCol w:w="540"/>
      </w:tblGrid>
      <w:tr w:rsidR="005F7104" w:rsidRPr="0049786B" w14:paraId="76B5BAAA" w14:textId="77777777" w:rsidTr="00243541">
        <w:trPr>
          <w:trHeight w:val="433"/>
          <w:jc w:val="center"/>
        </w:trPr>
        <w:tc>
          <w:tcPr>
            <w:tcW w:w="4026" w:type="dxa"/>
            <w:vAlign w:val="center"/>
          </w:tcPr>
          <w:p w14:paraId="09A6BFDD" w14:textId="650494A3" w:rsidR="005F7104" w:rsidRPr="00C22F88" w:rsidRDefault="00C97D41" w:rsidP="00243541">
            <w:pPr>
              <w:pStyle w:val="absatz"/>
              <w:spacing w:beforeLines="50" w:before="120" w:afterLines="50" w:after="120" w:line="276" w:lineRule="auto"/>
              <w:jc w:val="center"/>
              <w:rPr>
                <w:rFonts w:asciiTheme="majorBidi" w:hAnsiTheme="majorBidi" w:cstheme="majorBidi"/>
                <w:sz w:val="18"/>
                <w:szCs w:val="18"/>
                <w:lang w:val="en-US"/>
              </w:rPr>
            </w:pPr>
            <m:oMathPara>
              <m:oMathParaPr>
                <m:jc m:val="center"/>
              </m:oMathParaPr>
              <m:oMath>
                <m:sSub>
                  <m:sSubPr>
                    <m:ctrlPr>
                      <w:rPr>
                        <w:rFonts w:ascii="Cambria Math" w:hAnsi="Cambria Math"/>
                        <w:sz w:val="20"/>
                        <w:lang w:val="en-US"/>
                      </w:rPr>
                    </m:ctrlPr>
                  </m:sSubPr>
                  <m:e>
                    <m:r>
                      <w:rPr>
                        <w:rFonts w:ascii="Cambria Math" w:hAnsi="Cambria Math"/>
                        <w:sz w:val="20"/>
                        <w:lang w:val="en-US"/>
                      </w:rPr>
                      <m:t>p</m:t>
                    </m:r>
                  </m:e>
                  <m:sub>
                    <m:r>
                      <m:rPr>
                        <m:sty m:val="p"/>
                      </m:rPr>
                      <w:rPr>
                        <w:rFonts w:ascii="Cambria Math" w:hAnsi="Cambria Math"/>
                        <w:sz w:val="20"/>
                        <w:lang w:val="en-US"/>
                      </w:rPr>
                      <m:t>FPG</m:t>
                    </m:r>
                  </m:sub>
                </m:sSub>
                <m:r>
                  <m:rPr>
                    <m:sty m:val="p"/>
                  </m:rPr>
                  <w:rPr>
                    <w:rFonts w:ascii="Cambria Math" w:hAnsi="Cambria Math"/>
                    <w:sz w:val="20"/>
                    <w:lang w:val="en-US"/>
                  </w:rPr>
                  <m:t>=</m:t>
                </m:r>
                <m:f>
                  <m:fPr>
                    <m:ctrlPr>
                      <w:rPr>
                        <w:rFonts w:ascii="Cambria Math" w:hAnsi="Cambria Math" w:cstheme="majorBidi"/>
                        <w:i/>
                        <w:iCs/>
                        <w:sz w:val="20"/>
                        <w:lang w:val="en-US"/>
                      </w:rPr>
                    </m:ctrlPr>
                  </m:fPr>
                  <m:num>
                    <m:sSub>
                      <m:sSubPr>
                        <m:ctrlPr>
                          <w:rPr>
                            <w:rFonts w:ascii="Cambria Math" w:hAnsi="Cambria Math" w:cstheme="majorBidi"/>
                            <w:i/>
                            <w:iCs/>
                            <w:sz w:val="20"/>
                            <w:lang w:val="en-US"/>
                          </w:rPr>
                        </m:ctrlPr>
                      </m:sSubPr>
                      <m:e>
                        <m:r>
                          <w:rPr>
                            <w:rFonts w:ascii="Cambria Math" w:hAnsi="Cambria Math" w:cstheme="majorBidi"/>
                            <w:sz w:val="20"/>
                            <w:lang w:val="en-US"/>
                          </w:rPr>
                          <m:t>F</m:t>
                        </m:r>
                      </m:e>
                      <m:sub>
                        <m:r>
                          <m:rPr>
                            <m:sty m:val="p"/>
                          </m:rPr>
                          <w:rPr>
                            <w:rFonts w:ascii="Cambria Math" w:hAnsi="Cambria Math" w:cstheme="majorBidi"/>
                            <w:sz w:val="20"/>
                            <w:lang w:val="en-US"/>
                          </w:rPr>
                          <m:t>lc</m:t>
                        </m:r>
                      </m:sub>
                    </m:sSub>
                  </m:num>
                  <m:den>
                    <m:r>
                      <w:rPr>
                        <w:rFonts w:ascii="Cambria Math" w:hAnsi="Cambria Math" w:cs="Tahoma"/>
                        <w:sz w:val="20"/>
                        <w:lang w:val="en-US"/>
                      </w:rPr>
                      <m:t>A∙</m:t>
                    </m:r>
                    <m:r>
                      <w:rPr>
                        <w:rFonts w:ascii="Cambria Math" w:hAnsi="Cambria Math" w:cstheme="majorBidi"/>
                        <w:sz w:val="20"/>
                        <w:lang w:val="en-US"/>
                      </w:rPr>
                      <m:t>[1+(α+β)</m:t>
                    </m:r>
                    <m:r>
                      <w:rPr>
                        <w:rFonts w:ascii="Cambria Math" w:hAnsi="Cambria Math" w:cs="Tahoma"/>
                        <w:sz w:val="20"/>
                        <w:lang w:val="en-US"/>
                      </w:rPr>
                      <m:t>∙</m:t>
                    </m:r>
                    <m:r>
                      <w:rPr>
                        <w:rFonts w:ascii="Cambria Math" w:hAnsi="Cambria Math" w:cstheme="majorBidi"/>
                        <w:sz w:val="20"/>
                        <w:lang w:val="en-US"/>
                      </w:rPr>
                      <m:t>(t-20)]</m:t>
                    </m:r>
                  </m:den>
                </m:f>
                <m:r>
                  <w:rPr>
                    <w:rFonts w:ascii="Cambria Math" w:hAnsi="Cambria Math" w:cstheme="majorBidi"/>
                    <w:sz w:val="20"/>
                    <w:lang w:val="en-US"/>
                  </w:rPr>
                  <m:t>+</m:t>
                </m:r>
                <m:sSub>
                  <m:sSubPr>
                    <m:ctrlPr>
                      <w:rPr>
                        <w:rFonts w:ascii="Cambria Math" w:hAnsi="Cambria Math"/>
                        <w:sz w:val="20"/>
                        <w:lang w:val="en-US"/>
                      </w:rPr>
                    </m:ctrlPr>
                  </m:sSubPr>
                  <m:e>
                    <m:r>
                      <w:rPr>
                        <w:rFonts w:ascii="Cambria Math" w:hAnsi="Cambria Math"/>
                        <w:sz w:val="20"/>
                        <w:lang w:val="en-US"/>
                      </w:rPr>
                      <m:t>p</m:t>
                    </m:r>
                  </m:e>
                  <m:sub>
                    <m:r>
                      <m:rPr>
                        <m:sty m:val="p"/>
                      </m:rPr>
                      <w:rPr>
                        <w:rFonts w:ascii="Cambria Math" w:hAnsi="Cambria Math"/>
                        <w:sz w:val="20"/>
                        <w:lang w:val="en-US"/>
                      </w:rPr>
                      <m:t>res.</m:t>
                    </m:r>
                  </m:sub>
                </m:sSub>
                <m:r>
                  <w:rPr>
                    <w:rFonts w:ascii="Cambria Math" w:hAnsi="Cambria Math"/>
                    <w:sz w:val="20"/>
                    <w:lang w:val="en-US"/>
                  </w:rPr>
                  <m:t>-g∙h∙</m:t>
                </m:r>
                <m:sSub>
                  <m:sSubPr>
                    <m:ctrlPr>
                      <w:rPr>
                        <w:rFonts w:ascii="Cambria Math" w:hAnsi="Cambria Math"/>
                        <w:i/>
                        <w:sz w:val="20"/>
                        <w:lang w:val="en-US"/>
                      </w:rPr>
                    </m:ctrlPr>
                  </m:sSubPr>
                  <m:e>
                    <m:r>
                      <w:rPr>
                        <w:rFonts w:ascii="Cambria Math" w:hAnsi="Cambria Math"/>
                        <w:sz w:val="20"/>
                        <w:lang w:val="en-US"/>
                      </w:rPr>
                      <m:t>ρ</m:t>
                    </m:r>
                  </m:e>
                  <m:sub>
                    <m:r>
                      <w:rPr>
                        <w:rFonts w:ascii="Cambria Math" w:hAnsi="Cambria Math"/>
                        <w:sz w:val="20"/>
                        <w:lang w:val="en-US"/>
                      </w:rPr>
                      <m:t>l</m:t>
                    </m:r>
                  </m:sub>
                </m:sSub>
                <m:r>
                  <w:rPr>
                    <w:rFonts w:ascii="Cambria Math" w:hAnsi="Cambria Math"/>
                    <w:sz w:val="20"/>
                    <w:lang w:val="en-US"/>
                  </w:rPr>
                  <m:t>.</m:t>
                </m:r>
              </m:oMath>
            </m:oMathPara>
          </w:p>
        </w:tc>
        <w:tc>
          <w:tcPr>
            <w:tcW w:w="540" w:type="dxa"/>
            <w:vAlign w:val="center"/>
          </w:tcPr>
          <w:p w14:paraId="5D1B2DB7" w14:textId="3BC05D0C" w:rsidR="005F7104" w:rsidRPr="0049786B" w:rsidRDefault="005F7104" w:rsidP="00243541">
            <w:pPr>
              <w:pStyle w:val="absatz"/>
              <w:spacing w:beforeLines="50" w:before="120" w:afterLines="50" w:after="120" w:line="276" w:lineRule="auto"/>
              <w:jc w:val="center"/>
              <w:rPr>
                <w:sz w:val="20"/>
                <w:lang w:val="en-US"/>
              </w:rPr>
            </w:pPr>
            <w:r w:rsidRPr="0049786B">
              <w:rPr>
                <w:sz w:val="20"/>
                <w:lang w:val="en-US"/>
              </w:rPr>
              <w:t>(</w:t>
            </w:r>
            <w:r>
              <w:rPr>
                <w:sz w:val="20"/>
                <w:lang w:val="en-US"/>
              </w:rPr>
              <w:t>5</w:t>
            </w:r>
            <w:r w:rsidRPr="0049786B">
              <w:rPr>
                <w:sz w:val="20"/>
                <w:lang w:val="en-US"/>
              </w:rPr>
              <w:t>)</w:t>
            </w:r>
          </w:p>
        </w:tc>
      </w:tr>
    </w:tbl>
    <w:p w14:paraId="7A5FFDC7" w14:textId="23708C8B" w:rsidR="00CD2F63" w:rsidRDefault="00CD2F63" w:rsidP="00CD2F63">
      <w:pPr>
        <w:pStyle w:val="Subsection"/>
      </w:pPr>
      <w:r>
        <w:t>2</w:t>
      </w:r>
      <w:r w:rsidRPr="00C303AF">
        <w:rPr>
          <w:rFonts w:hint="eastAsia"/>
        </w:rPr>
        <w:t>.</w:t>
      </w:r>
      <w:r>
        <w:t>3</w:t>
      </w:r>
      <w:r w:rsidRPr="00C303AF">
        <w:rPr>
          <w:rFonts w:hint="eastAsia"/>
        </w:rPr>
        <w:t xml:space="preserve"> </w:t>
      </w:r>
      <w:r>
        <w:t>FPG vs. static expansion system</w:t>
      </w:r>
    </w:p>
    <w:p w14:paraId="4B9B7F57" w14:textId="470FBC52" w:rsidR="00E42448" w:rsidRDefault="000323AF" w:rsidP="00CD2F63">
      <w:pPr>
        <w:pStyle w:val="BodyText"/>
        <w:widowControl w:val="0"/>
        <w:overflowPunct/>
        <w:autoSpaceDE/>
        <w:autoSpaceDN/>
        <w:adjustRightInd/>
        <w:snapToGrid w:val="0"/>
        <w:spacing w:after="0"/>
        <w:ind w:firstLine="240"/>
        <w:jc w:val="both"/>
        <w:textAlignment w:val="auto"/>
      </w:pPr>
      <w:r w:rsidRPr="00CF0C80">
        <w:t>The static expansion system SES (Vacuum 40 293-304)</w:t>
      </w:r>
      <w:r w:rsidR="00885200">
        <w:t xml:space="preserve"> </w:t>
      </w:r>
      <w:r w:rsidR="00885200" w:rsidRPr="005E185E">
        <w:fldChar w:fldCharType="begin" w:fldLock="1"/>
      </w:r>
      <w:r w:rsidR="00885200" w:rsidRPr="005E185E">
        <w:instrText>ADDIN CSL_CITATION {"citationItems":[{"id":"ITEM-1","itemData":{"DOI":"10.1088/0026-1394/46/5/001","ISSN":"0026-1394","abstract":"This paper describes the metrological characterization of a new large area piston gauge (FRS5, Furness Rosenberg Standard) installed at the vacuum metrology laboratory of the Physikalisch-Technische Bundesanstalt (PTB). The operational procedure and the uncertainty budget for pressures between 30 Pa and 11 kPa are given. Comparisons between the FRS5 and a mercury manometer, a rotary piston gauge and a force-balanced piston gauge are described. We show that the reproducibility of the calibration values of capacitance diaphragm gauges is enhanced by a factor of 6 compared with a static expansion primary standard (SE2). Improvements of the SE2 performance by reducing the number of expansions and smaller uncertainties of expansion ratios are discussed. © 2009 BIPM and IOP Publishing Ltd.","author":[{"dropping-particle":"","family":"Bock","given":"Th","non-dropping-particle":"","parse-names":false,"suffix":""},{"dropping-particle":"","family":"Ahrendt","given":"H","non-dropping-particle":"","parse-names":false,"suffix":""},{"dropping-particle":"","family":"Jousten","given":"K","non-dropping-particle":"","parse-names":false,"suffix":""}],"container-title":"Metrologia","id":"ITEM-1","issue":"5","issued":{"date-parts":[["2009"]]},"page":"389-396","title":"Reduction of the uncertainty of the PTB vacuum pressure scale by a new large area non-rotating piston gauge","type":"article-journal","volume":"46"},"uris":["http://www.mendeley.com/documents/?uuid=0bf111ec-0ef2-4428-b9aa-1e8b6204c4a1"]}],"mendeley":{"formattedCitation":"[2]","manualFormatting":"[8]","plainTextFormattedCitation":"[2]","previouslyFormattedCitation":"[2]"},"properties":{"noteIndex":0},"schema":"https://github.com/citation-style-language/schema/raw/master/csl-citation.json"}</w:instrText>
      </w:r>
      <w:r w:rsidR="00885200" w:rsidRPr="005E185E">
        <w:fldChar w:fldCharType="separate"/>
      </w:r>
      <w:r w:rsidR="00885200" w:rsidRPr="005E185E">
        <w:rPr>
          <w:noProof/>
        </w:rPr>
        <w:t>[8]</w:t>
      </w:r>
      <w:r w:rsidR="00885200" w:rsidRPr="005E185E">
        <w:fldChar w:fldCharType="end"/>
      </w:r>
      <w:r w:rsidRPr="005E185E">
        <w:t xml:space="preserve"> is</w:t>
      </w:r>
      <w:r w:rsidRPr="00CF0C80">
        <w:t xml:space="preserve"> a primary vacuum standard consisting of two stages of expansions starting with small volumes </w:t>
      </w:r>
      <w:r w:rsidRPr="00CF0C80">
        <w:rPr>
          <w:i/>
          <w:iCs/>
        </w:rPr>
        <w:t>Vol.</w:t>
      </w:r>
      <w:r w:rsidRPr="00CF0C80">
        <w:t xml:space="preserve">1 and </w:t>
      </w:r>
      <w:r w:rsidRPr="00CF0C80">
        <w:rPr>
          <w:i/>
          <w:iCs/>
        </w:rPr>
        <w:t>Vol.</w:t>
      </w:r>
      <w:r w:rsidRPr="00CF0C80">
        <w:t>2</w:t>
      </w:r>
      <w:r w:rsidR="00C268AD">
        <w:t xml:space="preserve">, </w:t>
      </w:r>
      <w:r w:rsidRPr="00CF0C80">
        <w:t xml:space="preserve">intermediate volumes </w:t>
      </w:r>
      <w:r w:rsidRPr="00CF0C80">
        <w:rPr>
          <w:i/>
          <w:iCs/>
        </w:rPr>
        <w:t>Vol.</w:t>
      </w:r>
      <w:r w:rsidRPr="00CF0C80">
        <w:t xml:space="preserve">4 and </w:t>
      </w:r>
      <w:r w:rsidRPr="00CF0C80">
        <w:rPr>
          <w:i/>
          <w:iCs/>
        </w:rPr>
        <w:t>Vol.</w:t>
      </w:r>
      <w:r w:rsidRPr="00CF0C80">
        <w:t>5</w:t>
      </w:r>
      <w:r w:rsidR="00C268AD">
        <w:t>, and,</w:t>
      </w:r>
      <w:r w:rsidRPr="00CF0C80">
        <w:t xml:space="preserve"> at the end, calibration vessel </w:t>
      </w:r>
      <w:r w:rsidRPr="00CF0C80">
        <w:rPr>
          <w:i/>
          <w:iCs/>
        </w:rPr>
        <w:t>Vol.</w:t>
      </w:r>
      <w:r w:rsidRPr="00CF0C80">
        <w:t>6</w:t>
      </w:r>
      <w:r w:rsidR="00C268AD">
        <w:t>,</w:t>
      </w:r>
      <w:r w:rsidRPr="00CF0C80">
        <w:t xml:space="preserve"> which has a nominal volume of 100 liter</w:t>
      </w:r>
      <w:r w:rsidR="00E42448">
        <w:t xml:space="preserve"> (Fig. 5)</w:t>
      </w:r>
      <w:r w:rsidRPr="00CF0C80">
        <w:t xml:space="preserve">. </w:t>
      </w:r>
    </w:p>
    <w:tbl>
      <w:tblPr>
        <w:tblW w:w="0" w:type="auto"/>
        <w:jc w:val="center"/>
        <w:tblCellMar>
          <w:left w:w="70" w:type="dxa"/>
          <w:right w:w="70" w:type="dxa"/>
        </w:tblCellMar>
        <w:tblLook w:val="04A0" w:firstRow="1" w:lastRow="0" w:firstColumn="1" w:lastColumn="0" w:noHBand="0" w:noVBand="1"/>
      </w:tblPr>
      <w:tblGrid>
        <w:gridCol w:w="4459"/>
      </w:tblGrid>
      <w:tr w:rsidR="00D225E5" w:rsidRPr="003C4F94" w14:paraId="64320E45" w14:textId="77777777" w:rsidTr="00D225E5">
        <w:trPr>
          <w:trHeight w:val="2820"/>
          <w:jc w:val="center"/>
        </w:trPr>
        <w:tc>
          <w:tcPr>
            <w:tcW w:w="0" w:type="auto"/>
            <w:vAlign w:val="bottom"/>
          </w:tcPr>
          <w:p w14:paraId="66F1C57C" w14:textId="68BDE339" w:rsidR="00D225E5" w:rsidRDefault="001569C1" w:rsidP="00243541">
            <w:pPr>
              <w:pStyle w:val="absatz"/>
              <w:spacing w:beforeLines="50" w:before="120" w:line="240" w:lineRule="auto"/>
              <w:jc w:val="right"/>
              <w:rPr>
                <w:rFonts w:asciiTheme="majorBidi" w:hAnsiTheme="majorBidi" w:cstheme="majorBidi"/>
                <w:lang w:val="en-US"/>
              </w:rPr>
            </w:pPr>
            <w:r w:rsidRPr="001569C1">
              <w:rPr>
                <w:noProof/>
              </w:rPr>
              <w:drawing>
                <wp:inline distT="0" distB="0" distL="0" distR="0" wp14:anchorId="6057D4EF" wp14:editId="3FC7A2D0">
                  <wp:extent cx="2831465" cy="2704465"/>
                  <wp:effectExtent l="0" t="0" r="6985" b="635"/>
                  <wp:docPr id="2" name="Picture 2" descr="E:\hashad work\FPG\FPG_PTB calibrations\Messungen\FPG Vs. SE2\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ashad work\FPG\FPG_PTB calibrations\Messungen\FPG Vs. SE2\SE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1465" cy="2704465"/>
                          </a:xfrm>
                          <a:prstGeom prst="rect">
                            <a:avLst/>
                          </a:prstGeom>
                          <a:noFill/>
                          <a:ln>
                            <a:noFill/>
                          </a:ln>
                        </pic:spPr>
                      </pic:pic>
                    </a:graphicData>
                  </a:graphic>
                </wp:inline>
              </w:drawing>
            </w:r>
          </w:p>
        </w:tc>
      </w:tr>
      <w:tr w:rsidR="00D225E5" w:rsidRPr="0002681F" w14:paraId="792D781C" w14:textId="77777777" w:rsidTr="00D225E5">
        <w:tblPrEx>
          <w:tblCellMar>
            <w:left w:w="108" w:type="dxa"/>
            <w:right w:w="108" w:type="dxa"/>
          </w:tblCellMar>
        </w:tblPrEx>
        <w:trPr>
          <w:trHeight w:val="45"/>
          <w:jc w:val="center"/>
        </w:trPr>
        <w:tc>
          <w:tcPr>
            <w:tcW w:w="0" w:type="auto"/>
            <w:vAlign w:val="center"/>
          </w:tcPr>
          <w:p w14:paraId="6F5A604E" w14:textId="38C4B825" w:rsidR="00D225E5" w:rsidRPr="00B54609" w:rsidRDefault="00D225E5" w:rsidP="00D225E5">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Pr>
                <w:sz w:val="20"/>
                <w:lang w:val="en"/>
              </w:rPr>
              <w:t>5</w:t>
            </w:r>
            <w:r w:rsidRPr="00B54609">
              <w:rPr>
                <w:sz w:val="20"/>
                <w:lang w:val="en"/>
              </w:rPr>
              <w:t xml:space="preserve"> </w:t>
            </w:r>
            <w:r>
              <w:rPr>
                <w:sz w:val="20"/>
                <w:lang w:val="en"/>
              </w:rPr>
              <w:t xml:space="preserve">Design of </w:t>
            </w:r>
            <w:r>
              <w:rPr>
                <w:sz w:val="20"/>
                <w:lang w:val="en-US"/>
              </w:rPr>
              <w:t>SES</w:t>
            </w:r>
            <w:r w:rsidRPr="00B54609">
              <w:rPr>
                <w:sz w:val="20"/>
                <w:lang w:val="en"/>
              </w:rPr>
              <w:t>.</w:t>
            </w:r>
          </w:p>
        </w:tc>
      </w:tr>
    </w:tbl>
    <w:tbl>
      <w:tblPr>
        <w:tblpPr w:leftFromText="142" w:rightFromText="142" w:vertAnchor="page" w:horzAnchor="margin" w:tblpX="-112" w:tblpY="10774"/>
        <w:tblOverlap w:val="never"/>
        <w:tblW w:w="9938" w:type="dxa"/>
        <w:tblCellMar>
          <w:left w:w="70" w:type="dxa"/>
          <w:right w:w="70" w:type="dxa"/>
        </w:tblCellMar>
        <w:tblLook w:val="04A0" w:firstRow="1" w:lastRow="0" w:firstColumn="1" w:lastColumn="0" w:noHBand="0" w:noVBand="1"/>
      </w:tblPr>
      <w:tblGrid>
        <w:gridCol w:w="5331"/>
        <w:gridCol w:w="4607"/>
      </w:tblGrid>
      <w:tr w:rsidR="006D5E3B" w:rsidRPr="003C4F94" w14:paraId="2154F31B" w14:textId="77777777" w:rsidTr="0064765E">
        <w:trPr>
          <w:trHeight w:val="3332"/>
        </w:trPr>
        <w:tc>
          <w:tcPr>
            <w:tcW w:w="5331" w:type="dxa"/>
            <w:vAlign w:val="bottom"/>
          </w:tcPr>
          <w:p w14:paraId="4C17B064" w14:textId="314410F9" w:rsidR="006D5E3B" w:rsidRDefault="00617E00" w:rsidP="00617E00">
            <w:pPr>
              <w:pStyle w:val="absatz"/>
              <w:spacing w:line="240" w:lineRule="auto"/>
              <w:jc w:val="center"/>
              <w:rPr>
                <w:rFonts w:asciiTheme="majorBidi" w:hAnsiTheme="majorBidi" w:cstheme="majorBidi"/>
                <w:lang w:val="en-US"/>
              </w:rPr>
            </w:pPr>
            <w:r>
              <w:rPr>
                <w:noProof/>
                <w:sz w:val="20"/>
                <w:lang w:val="en-US" w:eastAsia="ko-KR"/>
              </w:rPr>
              <w:drawing>
                <wp:inline distT="0" distB="0" distL="0" distR="0" wp14:anchorId="1B4BEF49" wp14:editId="7E092B4B">
                  <wp:extent cx="3270694" cy="1777790"/>
                  <wp:effectExtent l="0" t="0" r="6350" b="0"/>
                  <wp:docPr id="235" name="Picture 235" descr="E:\hashad work\FPG\FPG_PTB calibrations\Messungen\FPG Vs. SE2\FPG vs 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ashad work\FPG\FPG_PTB calibrations\Messungen\FPG Vs. SE2\FPG vs SE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70694" cy="1777790"/>
                          </a:xfrm>
                          <a:prstGeom prst="rect">
                            <a:avLst/>
                          </a:prstGeom>
                          <a:noFill/>
                          <a:ln>
                            <a:noFill/>
                          </a:ln>
                        </pic:spPr>
                      </pic:pic>
                    </a:graphicData>
                  </a:graphic>
                </wp:inline>
              </w:drawing>
            </w:r>
          </w:p>
        </w:tc>
        <w:tc>
          <w:tcPr>
            <w:tcW w:w="4606" w:type="dxa"/>
            <w:vAlign w:val="bottom"/>
          </w:tcPr>
          <w:p w14:paraId="43D6C51E" w14:textId="47A5A2C3" w:rsidR="006D5E3B" w:rsidRDefault="00617E00" w:rsidP="00617E00">
            <w:pPr>
              <w:pStyle w:val="absatz"/>
              <w:spacing w:line="240" w:lineRule="auto"/>
              <w:jc w:val="center"/>
              <w:rPr>
                <w:rFonts w:asciiTheme="majorBidi" w:hAnsiTheme="majorBidi" w:cstheme="majorBidi"/>
                <w:lang w:val="en-US"/>
              </w:rPr>
            </w:pPr>
            <w:r w:rsidRPr="001961A6">
              <w:rPr>
                <w:noProof/>
                <w:sz w:val="20"/>
                <w:lang w:eastAsia="ko-KR"/>
              </w:rPr>
              <w:drawing>
                <wp:inline distT="0" distB="0" distL="0" distR="0" wp14:anchorId="3861E5B6" wp14:editId="26855854">
                  <wp:extent cx="2811780" cy="1791704"/>
                  <wp:effectExtent l="0" t="0" r="7620" b="0"/>
                  <wp:docPr id="245" name="Picture 24" descr="E:\hashad work\Work photos\20180222_08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hashad work\Work photos\20180222_08195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6671" cy="1801193"/>
                          </a:xfrm>
                          <a:prstGeom prst="rect">
                            <a:avLst/>
                          </a:prstGeom>
                          <a:noFill/>
                          <a:ln>
                            <a:noFill/>
                          </a:ln>
                        </pic:spPr>
                      </pic:pic>
                    </a:graphicData>
                  </a:graphic>
                </wp:inline>
              </w:drawing>
            </w:r>
          </w:p>
        </w:tc>
      </w:tr>
      <w:tr w:rsidR="006D5E3B" w:rsidRPr="0002681F" w14:paraId="1F754F9B" w14:textId="77777777" w:rsidTr="0064765E">
        <w:tblPrEx>
          <w:tblCellMar>
            <w:left w:w="108" w:type="dxa"/>
            <w:right w:w="108" w:type="dxa"/>
          </w:tblCellMar>
        </w:tblPrEx>
        <w:trPr>
          <w:trHeight w:val="812"/>
        </w:trPr>
        <w:tc>
          <w:tcPr>
            <w:tcW w:w="9938" w:type="dxa"/>
            <w:gridSpan w:val="2"/>
            <w:vAlign w:val="center"/>
          </w:tcPr>
          <w:p w14:paraId="52FF192A" w14:textId="13CA52C8" w:rsidR="006D5E3B" w:rsidRPr="00B54609" w:rsidRDefault="006D5E3B" w:rsidP="00617E00">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sidR="008046C8">
              <w:rPr>
                <w:sz w:val="20"/>
                <w:lang w:val="en"/>
              </w:rPr>
              <w:t>6</w:t>
            </w:r>
            <w:r w:rsidRPr="00B54609">
              <w:rPr>
                <w:sz w:val="20"/>
                <w:lang w:val="en"/>
              </w:rPr>
              <w:t xml:space="preserve"> Experimental </w:t>
            </w:r>
            <w:r>
              <w:rPr>
                <w:sz w:val="20"/>
                <w:lang w:val="en"/>
              </w:rPr>
              <w:t>s</w:t>
            </w:r>
            <w:r w:rsidRPr="00B54609">
              <w:rPr>
                <w:sz w:val="20"/>
                <w:lang w:val="en"/>
              </w:rPr>
              <w:t xml:space="preserve">etup for </w:t>
            </w:r>
            <w:r w:rsidR="00617E00" w:rsidRPr="001961A6">
              <w:rPr>
                <w:sz w:val="20"/>
                <w:lang w:val="en"/>
              </w:rPr>
              <w:t>comparison between FPG and SES</w:t>
            </w:r>
            <w:r w:rsidRPr="00B54609">
              <w:rPr>
                <w:sz w:val="20"/>
                <w:lang w:val="en"/>
              </w:rPr>
              <w:t>.</w:t>
            </w:r>
          </w:p>
        </w:tc>
      </w:tr>
    </w:tbl>
    <w:p w14:paraId="4F97AE02" w14:textId="46BD1F38" w:rsidR="00CD2F63" w:rsidRDefault="001569C1" w:rsidP="00D225E5">
      <w:pPr>
        <w:pStyle w:val="BodyText"/>
        <w:widowControl w:val="0"/>
        <w:overflowPunct/>
        <w:autoSpaceDE/>
        <w:autoSpaceDN/>
        <w:adjustRightInd/>
        <w:snapToGrid w:val="0"/>
        <w:spacing w:after="0"/>
        <w:jc w:val="both"/>
        <w:textAlignment w:val="auto"/>
      </w:pPr>
      <w:r>
        <w:t xml:space="preserve">UUC is the unit under calibration. </w:t>
      </w:r>
      <w:r w:rsidR="000323AF" w:rsidRPr="00CF0C80">
        <w:t>This set of volumes enable</w:t>
      </w:r>
      <w:r w:rsidR="00DD7E6F">
        <w:t>s</w:t>
      </w:r>
      <w:r w:rsidR="000323AF" w:rsidRPr="00CF0C80">
        <w:t xml:space="preserve"> realiz</w:t>
      </w:r>
      <w:r w:rsidR="00DD7E6F">
        <w:t>ation of</w:t>
      </w:r>
      <w:r w:rsidR="000323AF" w:rsidRPr="00CF0C80">
        <w:t xml:space="preserve"> the expansion ratios </w:t>
      </w:r>
      <w:r w:rsidR="000323AF" w:rsidRPr="00CF0C80">
        <w:rPr>
          <w:i/>
          <w:iCs/>
        </w:rPr>
        <w:t>f</w:t>
      </w:r>
      <w:r w:rsidR="000323AF" w:rsidRPr="00CF0C80">
        <w:rPr>
          <w:i/>
          <w:iCs/>
          <w:vertAlign w:val="subscript"/>
        </w:rPr>
        <w:t>i</w:t>
      </w:r>
      <w:r w:rsidR="00DD7E6F">
        <w:t xml:space="preserve">, </w:t>
      </w:r>
      <w:r w:rsidR="000323AF" w:rsidRPr="00CF0C80">
        <w:t xml:space="preserve">which </w:t>
      </w:r>
      <w:r w:rsidR="00DD7E6F">
        <w:t>are presented in</w:t>
      </w:r>
      <w:r w:rsidR="000323AF" w:rsidRPr="00CF0C80">
        <w:t xml:space="preserve"> Table 1.</w:t>
      </w:r>
    </w:p>
    <w:p w14:paraId="3C32207A" w14:textId="44BA43B8" w:rsidR="00885200" w:rsidRPr="00EF6C27" w:rsidRDefault="00885200" w:rsidP="003925D2">
      <w:pPr>
        <w:pStyle w:val="10"/>
        <w:keepNext/>
        <w:keepLines/>
        <w:widowControl/>
        <w:ind w:firstLine="0"/>
      </w:pPr>
      <w:r w:rsidRPr="00A150BE">
        <w:t xml:space="preserve">Table 1 </w:t>
      </w:r>
      <w:r w:rsidR="00DD7E6F">
        <w:t>E</w:t>
      </w:r>
      <w:r w:rsidR="00DD7E6F" w:rsidRPr="00CF0C80">
        <w:t>xpansion ratios</w:t>
      </w:r>
      <w:r>
        <w:t xml:space="preserve"> </w:t>
      </w:r>
      <w:r w:rsidR="00C268AD">
        <w:t>of SES</w:t>
      </w:r>
      <w:r w:rsidRPr="00A150BE">
        <w:t>.</w:t>
      </w:r>
    </w:p>
    <w:tbl>
      <w:tblPr>
        <w:tblStyle w:val="PlainTable5"/>
        <w:tblW w:w="4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656"/>
        <w:gridCol w:w="1251"/>
      </w:tblGrid>
      <w:tr w:rsidR="00694F58" w:rsidRPr="0024788B" w14:paraId="494E9E25" w14:textId="77777777" w:rsidTr="006538D9">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832" w:type="dxa"/>
            <w:noWrap/>
            <w:vAlign w:val="center"/>
            <w:hideMark/>
          </w:tcPr>
          <w:p w14:paraId="20FACD96" w14:textId="77777777" w:rsidR="00DD7E6F" w:rsidRPr="00DD7E6F" w:rsidRDefault="00DD7E6F" w:rsidP="00984691">
            <w:pPr>
              <w:keepNext/>
              <w:keepLines/>
              <w:overflowPunct/>
              <w:autoSpaceDE/>
              <w:autoSpaceDN/>
              <w:adjustRightInd/>
              <w:jc w:val="center"/>
              <w:textAlignment w:val="auto"/>
              <w:rPr>
                <w:rFonts w:eastAsia="Times New Roman"/>
                <w:i w:val="0"/>
                <w:color w:val="000000"/>
              </w:rPr>
            </w:pPr>
            <w:r w:rsidRPr="00DD7E6F">
              <w:rPr>
                <w:rFonts w:eastAsia="Times New Roman"/>
                <w:i w:val="0"/>
                <w:color w:val="000000"/>
              </w:rPr>
              <w:t>Symbol</w:t>
            </w:r>
          </w:p>
        </w:tc>
        <w:tc>
          <w:tcPr>
            <w:tcW w:w="2656" w:type="dxa"/>
            <w:noWrap/>
            <w:vAlign w:val="center"/>
            <w:hideMark/>
          </w:tcPr>
          <w:p w14:paraId="50ADB02F" w14:textId="77777777" w:rsidR="00DD7E6F" w:rsidRPr="00DD7E6F" w:rsidRDefault="00DD7E6F" w:rsidP="00984691">
            <w:pPr>
              <w:keepNext/>
              <w:keepLines/>
              <w:overflowPunct/>
              <w:autoSpaceDE/>
              <w:autoSpaceDN/>
              <w:adjustRightInd/>
              <w:jc w:val="center"/>
              <w:textAlignment w:val="auto"/>
              <w:cnfStyle w:val="100000000000" w:firstRow="1" w:lastRow="0" w:firstColumn="0" w:lastColumn="0" w:oddVBand="0" w:evenVBand="0" w:oddHBand="0" w:evenHBand="0" w:firstRowFirstColumn="0" w:firstRowLastColumn="0" w:lastRowFirstColumn="0" w:lastRowLastColumn="0"/>
              <w:rPr>
                <w:rFonts w:eastAsia="Times New Roman"/>
                <w:i w:val="0"/>
                <w:color w:val="000000"/>
              </w:rPr>
            </w:pPr>
            <w:r w:rsidRPr="00DD7E6F">
              <w:rPr>
                <w:rFonts w:eastAsia="Times New Roman"/>
                <w:i w:val="0"/>
                <w:color w:val="000000"/>
              </w:rPr>
              <w:t>Expansion ratio</w:t>
            </w:r>
          </w:p>
        </w:tc>
        <w:tc>
          <w:tcPr>
            <w:tcW w:w="1258" w:type="dxa"/>
            <w:vAlign w:val="center"/>
          </w:tcPr>
          <w:p w14:paraId="324CD9DC" w14:textId="77777777" w:rsidR="00DD7E6F" w:rsidRPr="00694F58" w:rsidRDefault="00DD7E6F" w:rsidP="00984691">
            <w:pPr>
              <w:keepNext/>
              <w:keepLines/>
              <w:overflowPunct/>
              <w:autoSpaceDE/>
              <w:autoSpaceDN/>
              <w:adjustRightInd/>
              <w:jc w:val="center"/>
              <w:textAlignment w:val="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694F58">
              <w:rPr>
                <w:rFonts w:eastAsia="Times New Roman"/>
                <w:color w:val="000000"/>
              </w:rPr>
              <w:t>f</w:t>
            </w:r>
          </w:p>
        </w:tc>
      </w:tr>
      <w:tr w:rsidR="00694F58" w:rsidRPr="0024788B" w14:paraId="26422977" w14:textId="77777777" w:rsidTr="006538D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832" w:type="dxa"/>
            <w:shd w:val="clear" w:color="auto" w:fill="auto"/>
            <w:noWrap/>
            <w:vAlign w:val="center"/>
            <w:hideMark/>
          </w:tcPr>
          <w:p w14:paraId="6815C762" w14:textId="77777777" w:rsidR="00DD7E6F" w:rsidRPr="00AA55C3" w:rsidRDefault="00DD7E6F" w:rsidP="00984691">
            <w:pPr>
              <w:keepNext/>
              <w:keepLines/>
              <w:overflowPunct/>
              <w:autoSpaceDE/>
              <w:autoSpaceDN/>
              <w:adjustRightInd/>
              <w:jc w:val="center"/>
              <w:textAlignment w:val="auto"/>
              <w:rPr>
                <w:rFonts w:eastAsia="Times New Roman"/>
                <w:color w:val="000000"/>
              </w:rPr>
            </w:pPr>
            <w:r w:rsidRPr="00AA55C3">
              <w:rPr>
                <w:rFonts w:eastAsia="Times New Roman"/>
                <w:color w:val="000000"/>
              </w:rPr>
              <w:t>f</w:t>
            </w:r>
            <w:r w:rsidRPr="00694F58">
              <w:rPr>
                <w:rFonts w:eastAsia="Times New Roman"/>
                <w:i w:val="0"/>
                <w:color w:val="000000"/>
                <w:vertAlign w:val="subscript"/>
              </w:rPr>
              <w:t>1</w:t>
            </w:r>
          </w:p>
        </w:tc>
        <w:tc>
          <w:tcPr>
            <w:tcW w:w="2656" w:type="dxa"/>
            <w:shd w:val="clear" w:color="auto" w:fill="auto"/>
            <w:noWrap/>
            <w:vAlign w:val="center"/>
            <w:hideMark/>
          </w:tcPr>
          <w:p w14:paraId="268EE18E" w14:textId="77777777" w:rsidR="00DD7E6F" w:rsidRPr="00694F58" w:rsidRDefault="00C97D41" w:rsidP="00984691">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18"/>
                <w:szCs w:val="18"/>
              </w:rPr>
            </w:pPr>
            <m:oMathPara>
              <m:oMath>
                <m:f>
                  <m:fPr>
                    <m:ctrlPr>
                      <w:rPr>
                        <w:rFonts w:ascii="Cambria Math" w:eastAsia="Times New Roman" w:hAnsi="Cambria Math"/>
                        <w:i/>
                        <w:color w:val="000000"/>
                        <w:sz w:val="18"/>
                        <w:szCs w:val="18"/>
                      </w:rPr>
                    </m:ctrlPr>
                  </m:fPr>
                  <m:num>
                    <m:r>
                      <w:rPr>
                        <w:rFonts w:ascii="Cambria Math" w:eastAsia="Times New Roman" w:hAnsi="Cambria Math"/>
                        <w:color w:val="000000"/>
                        <w:sz w:val="18"/>
                        <w:szCs w:val="18"/>
                      </w:rPr>
                      <m:t>Vol. 1</m:t>
                    </m:r>
                  </m:num>
                  <m:den>
                    <m:r>
                      <w:rPr>
                        <w:rFonts w:ascii="Cambria Math" w:eastAsia="Times New Roman" w:hAnsi="Cambria Math"/>
                        <w:color w:val="000000"/>
                        <w:sz w:val="18"/>
                        <w:szCs w:val="18"/>
                      </w:rPr>
                      <m:t>Vol.1+Vol.3+Vol.6</m:t>
                    </m:r>
                  </m:den>
                </m:f>
              </m:oMath>
            </m:oMathPara>
          </w:p>
        </w:tc>
        <w:tc>
          <w:tcPr>
            <w:tcW w:w="1258" w:type="dxa"/>
            <w:shd w:val="clear" w:color="auto" w:fill="auto"/>
            <w:vAlign w:val="center"/>
          </w:tcPr>
          <w:p w14:paraId="526FCE17" w14:textId="5204C714" w:rsidR="00DD7E6F" w:rsidRPr="00A43A93" w:rsidRDefault="00DD7E6F" w:rsidP="00984691">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color w:val="000000"/>
              </w:rPr>
            </w:pPr>
            <w:r w:rsidRPr="00A43A93">
              <w:rPr>
                <w:color w:val="000000"/>
              </w:rPr>
              <w:t>9.1732</w:t>
            </w:r>
            <w:r w:rsidR="00694F58" w:rsidRPr="00A43A93">
              <w:rPr>
                <w:color w:val="000000"/>
              </w:rPr>
              <w:sym w:font="Symbol" w:char="F0D7"/>
            </w:r>
            <w:r w:rsidRPr="00A43A93">
              <w:rPr>
                <w:color w:val="000000"/>
              </w:rPr>
              <w:t>10</w:t>
            </w:r>
            <w:r w:rsidR="00694F58" w:rsidRPr="00A43A93">
              <w:rPr>
                <w:color w:val="000000"/>
                <w:vertAlign w:val="superscript"/>
              </w:rPr>
              <w:t>-3</w:t>
            </w:r>
          </w:p>
        </w:tc>
      </w:tr>
      <w:tr w:rsidR="00694F58" w:rsidRPr="00694F58" w14:paraId="0A45F264" w14:textId="77777777" w:rsidTr="006538D9">
        <w:trPr>
          <w:trHeight w:val="448"/>
        </w:trPr>
        <w:tc>
          <w:tcPr>
            <w:cnfStyle w:val="001000000000" w:firstRow="0" w:lastRow="0" w:firstColumn="1" w:lastColumn="0" w:oddVBand="0" w:evenVBand="0" w:oddHBand="0" w:evenHBand="0" w:firstRowFirstColumn="0" w:firstRowLastColumn="0" w:lastRowFirstColumn="0" w:lastRowLastColumn="0"/>
            <w:tcW w:w="832" w:type="dxa"/>
            <w:shd w:val="clear" w:color="auto" w:fill="auto"/>
            <w:noWrap/>
            <w:vAlign w:val="center"/>
            <w:hideMark/>
          </w:tcPr>
          <w:p w14:paraId="533D7D4A" w14:textId="77777777" w:rsidR="00DD7E6F" w:rsidRPr="00AA55C3" w:rsidRDefault="00DD7E6F" w:rsidP="00984691">
            <w:pPr>
              <w:keepNext/>
              <w:keepLines/>
              <w:overflowPunct/>
              <w:autoSpaceDE/>
              <w:autoSpaceDN/>
              <w:adjustRightInd/>
              <w:jc w:val="center"/>
              <w:textAlignment w:val="auto"/>
              <w:rPr>
                <w:rFonts w:eastAsia="Times New Roman"/>
                <w:color w:val="000000"/>
              </w:rPr>
            </w:pPr>
            <w:r w:rsidRPr="00AA55C3">
              <w:rPr>
                <w:rFonts w:eastAsia="Times New Roman"/>
                <w:color w:val="000000"/>
              </w:rPr>
              <w:t>f</w:t>
            </w:r>
            <w:r w:rsidRPr="00694F58">
              <w:rPr>
                <w:rFonts w:eastAsia="Times New Roman"/>
                <w:i w:val="0"/>
                <w:color w:val="000000"/>
                <w:vertAlign w:val="subscript"/>
              </w:rPr>
              <w:t>2</w:t>
            </w:r>
          </w:p>
        </w:tc>
        <w:tc>
          <w:tcPr>
            <w:tcW w:w="2656" w:type="dxa"/>
            <w:shd w:val="clear" w:color="auto" w:fill="auto"/>
            <w:noWrap/>
            <w:vAlign w:val="center"/>
            <w:hideMark/>
          </w:tcPr>
          <w:p w14:paraId="78FC6F86" w14:textId="77777777" w:rsidR="00DD7E6F" w:rsidRPr="00694F58" w:rsidRDefault="00C97D41" w:rsidP="00984691">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18"/>
                <w:szCs w:val="18"/>
              </w:rPr>
            </w:pPr>
            <m:oMathPara>
              <m:oMath>
                <m:f>
                  <m:fPr>
                    <m:ctrlPr>
                      <w:rPr>
                        <w:rFonts w:ascii="Cambria Math" w:eastAsia="Times New Roman" w:hAnsi="Cambria Math"/>
                        <w:i/>
                        <w:color w:val="000000"/>
                        <w:sz w:val="18"/>
                        <w:szCs w:val="18"/>
                      </w:rPr>
                    </m:ctrlPr>
                  </m:fPr>
                  <m:num>
                    <m:r>
                      <w:rPr>
                        <w:rFonts w:ascii="Cambria Math" w:eastAsia="Times New Roman" w:hAnsi="Cambria Math"/>
                        <w:color w:val="000000"/>
                        <w:sz w:val="18"/>
                        <w:szCs w:val="18"/>
                      </w:rPr>
                      <m:t>Vol. 2</m:t>
                    </m:r>
                  </m:num>
                  <m:den>
                    <m:r>
                      <w:rPr>
                        <w:rFonts w:ascii="Cambria Math" w:eastAsia="Times New Roman" w:hAnsi="Cambria Math"/>
                        <w:color w:val="000000"/>
                        <w:sz w:val="18"/>
                        <w:szCs w:val="18"/>
                      </w:rPr>
                      <m:t>Vol.2+Vol.3+Vol.6</m:t>
                    </m:r>
                  </m:den>
                </m:f>
              </m:oMath>
            </m:oMathPara>
          </w:p>
        </w:tc>
        <w:tc>
          <w:tcPr>
            <w:tcW w:w="1258" w:type="dxa"/>
            <w:shd w:val="clear" w:color="auto" w:fill="auto"/>
            <w:vAlign w:val="center"/>
          </w:tcPr>
          <w:p w14:paraId="074F5A40" w14:textId="3F6B882A" w:rsidR="00DD7E6F" w:rsidRPr="00A43A93" w:rsidRDefault="00DD7E6F" w:rsidP="00984691">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A43A93">
              <w:rPr>
                <w:color w:val="000000"/>
              </w:rPr>
              <w:t>7.4231</w:t>
            </w:r>
            <w:r w:rsidR="00694F58" w:rsidRPr="00A43A93">
              <w:rPr>
                <w:color w:val="000000"/>
              </w:rPr>
              <w:sym w:font="Symbol" w:char="F0D7"/>
            </w:r>
            <w:r w:rsidRPr="00A43A93">
              <w:rPr>
                <w:color w:val="000000"/>
              </w:rPr>
              <w:t>10</w:t>
            </w:r>
            <w:r w:rsidR="00694F58" w:rsidRPr="00A43A93">
              <w:rPr>
                <w:color w:val="000000"/>
                <w:vertAlign w:val="superscript"/>
              </w:rPr>
              <w:t>-</w:t>
            </w:r>
            <w:r w:rsidRPr="00A43A93">
              <w:rPr>
                <w:color w:val="000000"/>
                <w:vertAlign w:val="superscript"/>
              </w:rPr>
              <w:t>4</w:t>
            </w:r>
          </w:p>
        </w:tc>
      </w:tr>
      <w:tr w:rsidR="00694F58" w:rsidRPr="00694F58" w14:paraId="7DB25FA0" w14:textId="77777777" w:rsidTr="006538D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832" w:type="dxa"/>
            <w:shd w:val="clear" w:color="auto" w:fill="auto"/>
            <w:noWrap/>
            <w:vAlign w:val="center"/>
            <w:hideMark/>
          </w:tcPr>
          <w:p w14:paraId="38708F17" w14:textId="77777777" w:rsidR="00DD7E6F" w:rsidRPr="00AA55C3" w:rsidRDefault="00DD7E6F" w:rsidP="00984691">
            <w:pPr>
              <w:keepNext/>
              <w:keepLines/>
              <w:overflowPunct/>
              <w:autoSpaceDE/>
              <w:autoSpaceDN/>
              <w:adjustRightInd/>
              <w:jc w:val="center"/>
              <w:textAlignment w:val="auto"/>
              <w:rPr>
                <w:rFonts w:eastAsia="Times New Roman"/>
                <w:color w:val="000000"/>
              </w:rPr>
            </w:pPr>
            <w:r w:rsidRPr="00AA55C3">
              <w:rPr>
                <w:rFonts w:eastAsia="Times New Roman"/>
                <w:color w:val="000000"/>
              </w:rPr>
              <w:t>f</w:t>
            </w:r>
            <w:r w:rsidRPr="00694F58">
              <w:rPr>
                <w:rFonts w:eastAsia="Times New Roman"/>
                <w:i w:val="0"/>
                <w:color w:val="000000"/>
                <w:vertAlign w:val="subscript"/>
              </w:rPr>
              <w:t>3</w:t>
            </w:r>
          </w:p>
        </w:tc>
        <w:tc>
          <w:tcPr>
            <w:tcW w:w="2656" w:type="dxa"/>
            <w:shd w:val="clear" w:color="auto" w:fill="auto"/>
            <w:noWrap/>
            <w:vAlign w:val="center"/>
            <w:hideMark/>
          </w:tcPr>
          <w:p w14:paraId="512E3800" w14:textId="77777777" w:rsidR="00DD7E6F" w:rsidRPr="00694F58" w:rsidRDefault="00C97D41" w:rsidP="00984691">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18"/>
                <w:szCs w:val="18"/>
              </w:rPr>
            </w:pPr>
            <m:oMathPara>
              <m:oMath>
                <m:f>
                  <m:fPr>
                    <m:ctrlPr>
                      <w:rPr>
                        <w:rFonts w:ascii="Cambria Math" w:eastAsia="Times New Roman" w:hAnsi="Cambria Math"/>
                        <w:i/>
                        <w:color w:val="000000"/>
                        <w:sz w:val="18"/>
                        <w:szCs w:val="18"/>
                      </w:rPr>
                    </m:ctrlPr>
                  </m:fPr>
                  <m:num>
                    <m:r>
                      <w:rPr>
                        <w:rFonts w:ascii="Cambria Math" w:eastAsia="Times New Roman" w:hAnsi="Cambria Math"/>
                        <w:color w:val="000000"/>
                        <w:sz w:val="18"/>
                        <w:szCs w:val="18"/>
                      </w:rPr>
                      <m:t>Vol. 1</m:t>
                    </m:r>
                  </m:num>
                  <m:den>
                    <m:r>
                      <w:rPr>
                        <w:rFonts w:ascii="Cambria Math" w:eastAsia="Times New Roman" w:hAnsi="Cambria Math"/>
                        <w:color w:val="000000"/>
                        <w:sz w:val="18"/>
                        <w:szCs w:val="18"/>
                      </w:rPr>
                      <m:t>Vol.1+Vol.3+Vol.4+Vol.5</m:t>
                    </m:r>
                  </m:den>
                </m:f>
              </m:oMath>
            </m:oMathPara>
          </w:p>
        </w:tc>
        <w:tc>
          <w:tcPr>
            <w:tcW w:w="1258" w:type="dxa"/>
            <w:shd w:val="clear" w:color="auto" w:fill="auto"/>
            <w:vAlign w:val="center"/>
          </w:tcPr>
          <w:p w14:paraId="75273F40" w14:textId="70168137" w:rsidR="00DD7E6F" w:rsidRPr="00A43A93" w:rsidRDefault="00DD7E6F" w:rsidP="00984691">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A43A93">
              <w:rPr>
                <w:color w:val="000000"/>
              </w:rPr>
              <w:t>9.1978</w:t>
            </w:r>
            <w:r w:rsidR="00694F58" w:rsidRPr="00A43A93">
              <w:rPr>
                <w:color w:val="000000"/>
              </w:rPr>
              <w:sym w:font="Symbol" w:char="F0D7"/>
            </w:r>
            <w:r w:rsidRPr="00A43A93">
              <w:rPr>
                <w:color w:val="000000"/>
              </w:rPr>
              <w:t>10</w:t>
            </w:r>
            <w:r w:rsidR="00694F58" w:rsidRPr="00A43A93">
              <w:rPr>
                <w:color w:val="000000"/>
                <w:vertAlign w:val="superscript"/>
              </w:rPr>
              <w:t>-</w:t>
            </w:r>
            <w:r w:rsidRPr="00A43A93">
              <w:rPr>
                <w:color w:val="000000"/>
                <w:vertAlign w:val="superscript"/>
              </w:rPr>
              <w:t>3</w:t>
            </w:r>
          </w:p>
        </w:tc>
      </w:tr>
      <w:tr w:rsidR="00694F58" w:rsidRPr="00694F58" w14:paraId="23747F65" w14:textId="77777777" w:rsidTr="006538D9">
        <w:trPr>
          <w:trHeight w:val="448"/>
        </w:trPr>
        <w:tc>
          <w:tcPr>
            <w:cnfStyle w:val="001000000000" w:firstRow="0" w:lastRow="0" w:firstColumn="1" w:lastColumn="0" w:oddVBand="0" w:evenVBand="0" w:oddHBand="0" w:evenHBand="0" w:firstRowFirstColumn="0" w:firstRowLastColumn="0" w:lastRowFirstColumn="0" w:lastRowLastColumn="0"/>
            <w:tcW w:w="832" w:type="dxa"/>
            <w:shd w:val="clear" w:color="auto" w:fill="auto"/>
            <w:noWrap/>
            <w:vAlign w:val="center"/>
            <w:hideMark/>
          </w:tcPr>
          <w:p w14:paraId="3F0B7430" w14:textId="77777777" w:rsidR="00DD7E6F" w:rsidRPr="00AA55C3" w:rsidRDefault="00DD7E6F" w:rsidP="00984691">
            <w:pPr>
              <w:keepNext/>
              <w:keepLines/>
              <w:overflowPunct/>
              <w:autoSpaceDE/>
              <w:autoSpaceDN/>
              <w:adjustRightInd/>
              <w:jc w:val="center"/>
              <w:textAlignment w:val="auto"/>
              <w:rPr>
                <w:rFonts w:eastAsia="Times New Roman"/>
                <w:color w:val="000000"/>
              </w:rPr>
            </w:pPr>
            <w:r w:rsidRPr="00AA55C3">
              <w:rPr>
                <w:rFonts w:eastAsia="Times New Roman"/>
                <w:color w:val="000000"/>
              </w:rPr>
              <w:t>f</w:t>
            </w:r>
            <w:r w:rsidRPr="00694F58">
              <w:rPr>
                <w:rFonts w:eastAsia="Times New Roman"/>
                <w:i w:val="0"/>
                <w:color w:val="000000"/>
                <w:vertAlign w:val="subscript"/>
              </w:rPr>
              <w:t>4</w:t>
            </w:r>
          </w:p>
        </w:tc>
        <w:tc>
          <w:tcPr>
            <w:tcW w:w="2656" w:type="dxa"/>
            <w:shd w:val="clear" w:color="auto" w:fill="auto"/>
            <w:noWrap/>
            <w:vAlign w:val="center"/>
            <w:hideMark/>
          </w:tcPr>
          <w:p w14:paraId="3575210B" w14:textId="77777777" w:rsidR="00DD7E6F" w:rsidRPr="00694F58" w:rsidRDefault="00C97D41" w:rsidP="00984691">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18"/>
                <w:szCs w:val="18"/>
              </w:rPr>
            </w:pPr>
            <m:oMathPara>
              <m:oMath>
                <m:f>
                  <m:fPr>
                    <m:ctrlPr>
                      <w:rPr>
                        <w:rFonts w:ascii="Cambria Math" w:eastAsia="Times New Roman" w:hAnsi="Cambria Math"/>
                        <w:i/>
                        <w:color w:val="000000"/>
                        <w:sz w:val="18"/>
                        <w:szCs w:val="18"/>
                      </w:rPr>
                    </m:ctrlPr>
                  </m:fPr>
                  <m:num>
                    <m:r>
                      <w:rPr>
                        <w:rFonts w:ascii="Cambria Math" w:eastAsia="Times New Roman" w:hAnsi="Cambria Math"/>
                        <w:color w:val="000000"/>
                        <w:sz w:val="18"/>
                        <w:szCs w:val="18"/>
                      </w:rPr>
                      <m:t>Vol. 2</m:t>
                    </m:r>
                  </m:num>
                  <m:den>
                    <m:r>
                      <w:rPr>
                        <w:rFonts w:ascii="Cambria Math" w:eastAsia="Times New Roman" w:hAnsi="Cambria Math"/>
                        <w:color w:val="000000"/>
                        <w:sz w:val="18"/>
                        <w:szCs w:val="18"/>
                      </w:rPr>
                      <m:t>Vol.2+Vol.3+Vol.4+Vol.5</m:t>
                    </m:r>
                  </m:den>
                </m:f>
              </m:oMath>
            </m:oMathPara>
          </w:p>
        </w:tc>
        <w:tc>
          <w:tcPr>
            <w:tcW w:w="1258" w:type="dxa"/>
            <w:shd w:val="clear" w:color="auto" w:fill="auto"/>
            <w:vAlign w:val="center"/>
          </w:tcPr>
          <w:p w14:paraId="69816109" w14:textId="7652328B" w:rsidR="00DD7E6F" w:rsidRPr="00A43A93" w:rsidRDefault="00DD7E6F" w:rsidP="00984691">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A43A93">
              <w:rPr>
                <w:color w:val="000000"/>
              </w:rPr>
              <w:t>7.4378</w:t>
            </w:r>
            <w:r w:rsidR="00694F58" w:rsidRPr="00A43A93">
              <w:rPr>
                <w:color w:val="000000"/>
              </w:rPr>
              <w:sym w:font="Symbol" w:char="F0D7"/>
            </w:r>
            <w:r w:rsidRPr="00A43A93">
              <w:rPr>
                <w:color w:val="000000"/>
              </w:rPr>
              <w:t>10</w:t>
            </w:r>
            <w:r w:rsidR="00694F58" w:rsidRPr="00A43A93">
              <w:rPr>
                <w:color w:val="000000"/>
                <w:vertAlign w:val="superscript"/>
              </w:rPr>
              <w:t>-</w:t>
            </w:r>
            <w:r w:rsidRPr="00A43A93">
              <w:rPr>
                <w:color w:val="000000"/>
                <w:vertAlign w:val="superscript"/>
              </w:rPr>
              <w:t>4</w:t>
            </w:r>
          </w:p>
        </w:tc>
      </w:tr>
      <w:tr w:rsidR="00694F58" w:rsidRPr="00694F58" w14:paraId="652AB8D5" w14:textId="77777777" w:rsidTr="006538D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832" w:type="dxa"/>
            <w:shd w:val="clear" w:color="auto" w:fill="auto"/>
            <w:noWrap/>
            <w:vAlign w:val="center"/>
            <w:hideMark/>
          </w:tcPr>
          <w:p w14:paraId="47481976" w14:textId="77777777" w:rsidR="00DD7E6F" w:rsidRPr="00AA55C3" w:rsidRDefault="00DD7E6F" w:rsidP="00984691">
            <w:pPr>
              <w:keepNext/>
              <w:keepLines/>
              <w:overflowPunct/>
              <w:autoSpaceDE/>
              <w:autoSpaceDN/>
              <w:adjustRightInd/>
              <w:jc w:val="center"/>
              <w:textAlignment w:val="auto"/>
              <w:rPr>
                <w:rFonts w:eastAsia="Times New Roman"/>
                <w:color w:val="000000"/>
              </w:rPr>
            </w:pPr>
            <w:r w:rsidRPr="00AA55C3">
              <w:rPr>
                <w:rFonts w:eastAsia="Times New Roman"/>
                <w:color w:val="000000"/>
              </w:rPr>
              <w:t>f</w:t>
            </w:r>
            <w:r w:rsidRPr="00694F58">
              <w:rPr>
                <w:rFonts w:eastAsia="Times New Roman"/>
                <w:i w:val="0"/>
                <w:color w:val="000000"/>
                <w:vertAlign w:val="subscript"/>
              </w:rPr>
              <w:t>5</w:t>
            </w:r>
          </w:p>
        </w:tc>
        <w:tc>
          <w:tcPr>
            <w:tcW w:w="2656" w:type="dxa"/>
            <w:shd w:val="clear" w:color="auto" w:fill="auto"/>
            <w:noWrap/>
            <w:vAlign w:val="center"/>
            <w:hideMark/>
          </w:tcPr>
          <w:p w14:paraId="3405A08E" w14:textId="77777777" w:rsidR="00DD7E6F" w:rsidRPr="00694F58" w:rsidRDefault="00C97D41" w:rsidP="00984691">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18"/>
                <w:szCs w:val="18"/>
              </w:rPr>
            </w:pPr>
            <m:oMathPara>
              <m:oMath>
                <m:f>
                  <m:fPr>
                    <m:ctrlPr>
                      <w:rPr>
                        <w:rFonts w:ascii="Cambria Math" w:eastAsia="Times New Roman" w:hAnsi="Cambria Math"/>
                        <w:i/>
                        <w:color w:val="000000"/>
                        <w:sz w:val="18"/>
                        <w:szCs w:val="18"/>
                      </w:rPr>
                    </m:ctrlPr>
                  </m:fPr>
                  <m:num>
                    <m:r>
                      <w:rPr>
                        <w:rFonts w:ascii="Cambria Math" w:eastAsia="Times New Roman" w:hAnsi="Cambria Math"/>
                        <w:color w:val="000000"/>
                        <w:sz w:val="18"/>
                        <w:szCs w:val="18"/>
                      </w:rPr>
                      <m:t>Vol. 5</m:t>
                    </m:r>
                  </m:num>
                  <m:den>
                    <m:r>
                      <w:rPr>
                        <w:rFonts w:ascii="Cambria Math" w:eastAsia="Times New Roman" w:hAnsi="Cambria Math"/>
                        <w:color w:val="000000"/>
                        <w:sz w:val="18"/>
                        <w:szCs w:val="18"/>
                      </w:rPr>
                      <m:t>Vol.5+Vol.6</m:t>
                    </m:r>
                  </m:den>
                </m:f>
              </m:oMath>
            </m:oMathPara>
          </w:p>
        </w:tc>
        <w:tc>
          <w:tcPr>
            <w:tcW w:w="1258" w:type="dxa"/>
            <w:shd w:val="clear" w:color="auto" w:fill="auto"/>
            <w:vAlign w:val="center"/>
          </w:tcPr>
          <w:p w14:paraId="56ED3583" w14:textId="5DF59B03" w:rsidR="00DD7E6F" w:rsidRPr="00A43A93" w:rsidRDefault="00DD7E6F" w:rsidP="00984691">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A43A93">
              <w:rPr>
                <w:color w:val="000000"/>
              </w:rPr>
              <w:t>9.170</w:t>
            </w:r>
            <w:r w:rsidR="00694F58" w:rsidRPr="00A43A93">
              <w:rPr>
                <w:color w:val="000000"/>
              </w:rPr>
              <w:sym w:font="Symbol" w:char="F0D7"/>
            </w:r>
            <w:r w:rsidRPr="00A43A93">
              <w:rPr>
                <w:color w:val="000000"/>
              </w:rPr>
              <w:t>10</w:t>
            </w:r>
            <w:r w:rsidR="00694F58" w:rsidRPr="00A43A93">
              <w:rPr>
                <w:color w:val="000000"/>
                <w:vertAlign w:val="superscript"/>
              </w:rPr>
              <w:t>-</w:t>
            </w:r>
            <w:r w:rsidRPr="00A43A93">
              <w:rPr>
                <w:color w:val="000000"/>
                <w:vertAlign w:val="superscript"/>
              </w:rPr>
              <w:t>3</w:t>
            </w:r>
          </w:p>
        </w:tc>
      </w:tr>
    </w:tbl>
    <w:p w14:paraId="32DC0519" w14:textId="77777777" w:rsidR="00DD7E6F" w:rsidRDefault="00DD7E6F" w:rsidP="00DD7E6F">
      <w:pPr>
        <w:pStyle w:val="Text"/>
        <w:ind w:firstLine="0"/>
      </w:pPr>
    </w:p>
    <w:p w14:paraId="2043C901" w14:textId="2008F8C3" w:rsidR="002C76F1" w:rsidRDefault="004B31AE" w:rsidP="00984691">
      <w:pPr>
        <w:pStyle w:val="Text"/>
        <w:ind w:firstLine="0"/>
      </w:pPr>
      <w:r>
        <w:t>A</w:t>
      </w:r>
      <w:r w:rsidRPr="00460B9B">
        <w:t xml:space="preserve"> Quartz Bourdon Spiral</w:t>
      </w:r>
      <w:r>
        <w:t xml:space="preserve"> (QBS) is used to control </w:t>
      </w:r>
      <w:r w:rsidR="002C5FDE">
        <w:t xml:space="preserve">and measure </w:t>
      </w:r>
      <w:r>
        <w:t xml:space="preserve">the initial pressure value </w:t>
      </w:r>
      <w:proofErr w:type="spellStart"/>
      <w:r w:rsidRPr="00585633">
        <w:rPr>
          <w:i/>
          <w:iCs/>
        </w:rPr>
        <w:t>p</w:t>
      </w:r>
      <w:r w:rsidRPr="00906F3F">
        <w:rPr>
          <w:iCs/>
          <w:vertAlign w:val="subscript"/>
        </w:rPr>
        <w:t>fill</w:t>
      </w:r>
      <w:proofErr w:type="spellEnd"/>
      <w:r w:rsidRPr="004B31AE">
        <w:t xml:space="preserve"> </w:t>
      </w:r>
      <w:r>
        <w:t>when filling the first volume with the nitrogen gas in a range between 1 kPa to 100 kPa. The final</w:t>
      </w:r>
      <w:r w:rsidRPr="00460B9B">
        <w:t xml:space="preserve"> pressures </w:t>
      </w:r>
      <w:r>
        <w:t>produced by SES (</w:t>
      </w:r>
      <w:proofErr w:type="spellStart"/>
      <w:r w:rsidRPr="00847C17">
        <w:rPr>
          <w:i/>
          <w:iCs/>
        </w:rPr>
        <w:t>p</w:t>
      </w:r>
      <w:r>
        <w:rPr>
          <w:vertAlign w:val="subscript"/>
        </w:rPr>
        <w:t>S.ref</w:t>
      </w:r>
      <w:proofErr w:type="spellEnd"/>
      <w:r>
        <w:t xml:space="preserve">) </w:t>
      </w:r>
      <w:r w:rsidRPr="00460B9B">
        <w:t xml:space="preserve">in the range </w:t>
      </w:r>
      <w:r>
        <w:t>of 10 m</w:t>
      </w:r>
      <w:r w:rsidRPr="00460B9B">
        <w:t>Pa and 1</w:t>
      </w:r>
      <w:r>
        <w:t xml:space="preserve"> </w:t>
      </w:r>
      <w:r w:rsidRPr="00460B9B">
        <w:t xml:space="preserve">kPa can be calculated </w:t>
      </w:r>
      <w:r>
        <w:t>with the mean of Eq. (6)</w:t>
      </w:r>
      <w:r w:rsidR="00611226">
        <w:t>,</w:t>
      </w:r>
    </w:p>
    <w:tbl>
      <w:tblPr>
        <w:tblW w:w="4566" w:type="dxa"/>
        <w:jc w:val="center"/>
        <w:tblLayout w:type="fixed"/>
        <w:tblLook w:val="04A0" w:firstRow="1" w:lastRow="0" w:firstColumn="1" w:lastColumn="0" w:noHBand="0" w:noVBand="1"/>
      </w:tblPr>
      <w:tblGrid>
        <w:gridCol w:w="4026"/>
        <w:gridCol w:w="540"/>
      </w:tblGrid>
      <w:tr w:rsidR="0088627F" w:rsidRPr="0049786B" w14:paraId="166AB710" w14:textId="77777777" w:rsidTr="00243541">
        <w:trPr>
          <w:trHeight w:val="433"/>
          <w:jc w:val="center"/>
        </w:trPr>
        <w:tc>
          <w:tcPr>
            <w:tcW w:w="4026" w:type="dxa"/>
            <w:vAlign w:val="center"/>
          </w:tcPr>
          <w:p w14:paraId="195B39C7" w14:textId="2F1AB1E2" w:rsidR="0088627F" w:rsidRPr="00C22F88" w:rsidRDefault="00C97D41" w:rsidP="00243541">
            <w:pPr>
              <w:pStyle w:val="absatz"/>
              <w:spacing w:beforeLines="50" w:before="120" w:afterLines="50" w:after="120" w:line="276" w:lineRule="auto"/>
              <w:jc w:val="center"/>
              <w:rPr>
                <w:rFonts w:asciiTheme="majorBidi" w:hAnsiTheme="majorBidi" w:cstheme="majorBidi"/>
                <w:sz w:val="18"/>
                <w:szCs w:val="18"/>
                <w:lang w:val="en-US"/>
              </w:rPr>
            </w:pPr>
            <m:oMathPara>
              <m:oMathParaPr>
                <m:jc m:val="center"/>
              </m:oMathParaPr>
              <m:oMath>
                <m:sSub>
                  <m:sSubPr>
                    <m:ctrlPr>
                      <w:rPr>
                        <w:rFonts w:ascii="Cambria Math" w:hAnsi="Cambria Math"/>
                        <w:sz w:val="20"/>
                        <w:lang w:val="en-US"/>
                      </w:rPr>
                    </m:ctrlPr>
                  </m:sSubPr>
                  <m:e>
                    <m:r>
                      <w:rPr>
                        <w:rFonts w:ascii="Cambria Math" w:hAnsi="Cambria Math"/>
                        <w:sz w:val="20"/>
                        <w:lang w:val="en-US"/>
                      </w:rPr>
                      <m:t>p</m:t>
                    </m:r>
                  </m:e>
                  <m:sub>
                    <m:r>
                      <m:rPr>
                        <m:sty m:val="p"/>
                      </m:rPr>
                      <w:rPr>
                        <w:rFonts w:ascii="Cambria Math" w:hAnsi="Cambria Math"/>
                        <w:sz w:val="20"/>
                        <w:lang w:val="en-US"/>
                      </w:rPr>
                      <m:t>S.ref</m:t>
                    </m:r>
                  </m:sub>
                </m:sSub>
                <m:r>
                  <m:rPr>
                    <m:sty m:val="p"/>
                  </m:rPr>
                  <w:rPr>
                    <w:rFonts w:ascii="Cambria Math" w:hAnsi="Cambria Math"/>
                    <w:sz w:val="20"/>
                    <w:lang w:val="en-US"/>
                  </w:rPr>
                  <m:t>=</m:t>
                </m:r>
                <m:f>
                  <m:fPr>
                    <m:ctrlPr>
                      <w:rPr>
                        <w:rFonts w:ascii="Cambria Math" w:hAnsi="Cambria Math"/>
                        <w:sz w:val="20"/>
                        <w:lang w:val="en-US"/>
                      </w:rPr>
                    </m:ctrlPr>
                  </m:fPr>
                  <m:num>
                    <m:sSub>
                      <m:sSubPr>
                        <m:ctrlPr>
                          <w:rPr>
                            <w:rFonts w:ascii="Cambria Math" w:hAnsi="Cambria Math"/>
                            <w:i/>
                            <w:sz w:val="20"/>
                            <w:lang w:val="en-US"/>
                          </w:rPr>
                        </m:ctrlPr>
                      </m:sSubPr>
                      <m:e>
                        <m:r>
                          <w:rPr>
                            <w:rFonts w:ascii="Cambria Math" w:hAnsi="Cambria Math"/>
                            <w:sz w:val="20"/>
                            <w:lang w:val="en-US"/>
                          </w:rPr>
                          <m:t>f'</m:t>
                        </m:r>
                      </m:e>
                      <m:sub>
                        <m:r>
                          <w:rPr>
                            <w:rFonts w:ascii="Cambria Math" w:hAnsi="Cambria Math"/>
                            <w:sz w:val="20"/>
                            <w:lang w:val="en-US"/>
                          </w:rPr>
                          <m:t>i</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p</m:t>
                        </m:r>
                      </m:e>
                      <m:sub>
                        <m:r>
                          <m:rPr>
                            <m:sty m:val="p"/>
                          </m:rPr>
                          <w:rPr>
                            <w:rFonts w:ascii="Cambria Math" w:hAnsi="Cambria Math"/>
                            <w:sz w:val="20"/>
                            <w:lang w:val="en-US"/>
                          </w:rPr>
                          <m:t>fill</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T</m:t>
                        </m:r>
                      </m:e>
                      <m:sub>
                        <m:r>
                          <w:rPr>
                            <w:rFonts w:ascii="Cambria Math" w:hAnsi="Cambria Math"/>
                            <w:sz w:val="20"/>
                            <w:lang w:val="en-US"/>
                          </w:rPr>
                          <m:t>1</m:t>
                        </m:r>
                      </m:sub>
                    </m:sSub>
                  </m:num>
                  <m:den>
                    <m:sSub>
                      <m:sSubPr>
                        <m:ctrlPr>
                          <w:rPr>
                            <w:rFonts w:ascii="Cambria Math" w:hAnsi="Cambria Math"/>
                            <w:i/>
                            <w:sz w:val="20"/>
                            <w:lang w:val="en-US"/>
                          </w:rPr>
                        </m:ctrlPr>
                      </m:sSubPr>
                      <m:e>
                        <m:r>
                          <w:rPr>
                            <w:rFonts w:ascii="Cambria Math" w:hAnsi="Cambria Math"/>
                            <w:sz w:val="20"/>
                            <w:lang w:val="en-US"/>
                          </w:rPr>
                          <m:t>T</m:t>
                        </m:r>
                      </m:e>
                      <m:sub>
                        <m:r>
                          <w:rPr>
                            <w:rFonts w:ascii="Cambria Math" w:hAnsi="Cambria Math"/>
                            <w:sz w:val="20"/>
                            <w:lang w:val="en-US"/>
                          </w:rPr>
                          <m:t>0</m:t>
                        </m:r>
                      </m:sub>
                    </m:sSub>
                    <m:r>
                      <w:rPr>
                        <w:rFonts w:ascii="Cambria Math" w:hAnsi="Cambria Math"/>
                        <w:sz w:val="20"/>
                        <w:lang w:val="en-US"/>
                      </w:rPr>
                      <m:t>∙</m:t>
                    </m:r>
                    <m:d>
                      <m:dPr>
                        <m:ctrlPr>
                          <w:rPr>
                            <w:rFonts w:ascii="Cambria Math" w:hAnsi="Cambria Math"/>
                            <w:i/>
                            <w:sz w:val="20"/>
                            <w:lang w:val="en-US"/>
                          </w:rPr>
                        </m:ctrlPr>
                      </m:dPr>
                      <m:e>
                        <m:r>
                          <w:rPr>
                            <w:rFonts w:ascii="Cambria Math" w:hAnsi="Cambria Math"/>
                            <w:sz w:val="20"/>
                            <w:lang w:val="en-US"/>
                          </w:rPr>
                          <m:t>1+</m:t>
                        </m:r>
                        <m:d>
                          <m:dPr>
                            <m:ctrlPr>
                              <w:rPr>
                                <w:rFonts w:ascii="Cambria Math" w:hAnsi="Cambria Math"/>
                                <w:i/>
                                <w:sz w:val="20"/>
                                <w:lang w:val="en-US"/>
                              </w:rPr>
                            </m:ctrlPr>
                          </m:dPr>
                          <m:e>
                            <m:f>
                              <m:fPr>
                                <m:type m:val="skw"/>
                                <m:ctrlPr>
                                  <w:rPr>
                                    <w:rFonts w:ascii="Cambria Math" w:hAnsi="Cambria Math"/>
                                    <w:i/>
                                    <w:sz w:val="20"/>
                                    <w:lang w:val="en-US"/>
                                  </w:rPr>
                                </m:ctrlPr>
                              </m:fPr>
                              <m:num>
                                <m:sSub>
                                  <m:sSubPr>
                                    <m:ctrlPr>
                                      <w:rPr>
                                        <w:rFonts w:ascii="Cambria Math" w:hAnsi="Cambria Math"/>
                                        <w:i/>
                                        <w:sz w:val="20"/>
                                        <w:lang w:val="en-US"/>
                                      </w:rPr>
                                    </m:ctrlPr>
                                  </m:sSubPr>
                                  <m:e>
                                    <m:r>
                                      <w:rPr>
                                        <w:rFonts w:ascii="Cambria Math" w:hAnsi="Cambria Math"/>
                                        <w:sz w:val="20"/>
                                        <w:lang w:val="en-US"/>
                                      </w:rPr>
                                      <m:t>p</m:t>
                                    </m:r>
                                  </m:e>
                                  <m:sub>
                                    <m:r>
                                      <m:rPr>
                                        <m:sty m:val="p"/>
                                      </m:rPr>
                                      <w:rPr>
                                        <w:rFonts w:ascii="Cambria Math" w:hAnsi="Cambria Math"/>
                                        <w:sz w:val="20"/>
                                        <w:lang w:val="en-US"/>
                                      </w:rPr>
                                      <m:t>fill</m:t>
                                    </m:r>
                                  </m:sub>
                                </m:sSub>
                                <m:r>
                                  <w:rPr>
                                    <w:rFonts w:ascii="Cambria Math" w:hAnsi="Cambria Math"/>
                                    <w:sz w:val="20"/>
                                    <w:lang w:val="en-US"/>
                                  </w:rPr>
                                  <m:t>∙B</m:t>
                                </m:r>
                              </m:num>
                              <m:den>
                                <m:d>
                                  <m:dPr>
                                    <m:ctrlPr>
                                      <w:rPr>
                                        <w:rFonts w:ascii="Cambria Math" w:hAnsi="Cambria Math"/>
                                        <w:i/>
                                        <w:sz w:val="20"/>
                                        <w:lang w:val="en-US"/>
                                      </w:rPr>
                                    </m:ctrlPr>
                                  </m:dPr>
                                  <m:e>
                                    <m:r>
                                      <w:rPr>
                                        <w:rFonts w:ascii="Cambria Math" w:hAnsi="Cambria Math"/>
                                        <w:sz w:val="20"/>
                                        <w:lang w:val="en-US"/>
                                      </w:rPr>
                                      <m:t>R∙</m:t>
                                    </m:r>
                                    <m:sSub>
                                      <m:sSubPr>
                                        <m:ctrlPr>
                                          <w:rPr>
                                            <w:rFonts w:ascii="Cambria Math" w:hAnsi="Cambria Math"/>
                                            <w:i/>
                                            <w:sz w:val="20"/>
                                            <w:lang w:val="en-US"/>
                                          </w:rPr>
                                        </m:ctrlPr>
                                      </m:sSubPr>
                                      <m:e>
                                        <m:r>
                                          <w:rPr>
                                            <w:rFonts w:ascii="Cambria Math" w:hAnsi="Cambria Math"/>
                                            <w:sz w:val="20"/>
                                            <w:lang w:val="en-US"/>
                                          </w:rPr>
                                          <m:t>T</m:t>
                                        </m:r>
                                      </m:e>
                                      <m:sub>
                                        <m:r>
                                          <w:rPr>
                                            <w:rFonts w:ascii="Cambria Math" w:hAnsi="Cambria Math"/>
                                            <w:sz w:val="20"/>
                                            <w:lang w:val="en-US"/>
                                          </w:rPr>
                                          <m:t>0</m:t>
                                        </m:r>
                                      </m:sub>
                                    </m:sSub>
                                  </m:e>
                                </m:d>
                              </m:den>
                            </m:f>
                          </m:e>
                        </m:d>
                      </m:e>
                    </m:d>
                  </m:den>
                </m:f>
                <m:r>
                  <m:rPr>
                    <m:sty m:val="p"/>
                  </m:rPr>
                  <w:rPr>
                    <w:rFonts w:ascii="Cambria Math" w:hAnsi="Cambria Math"/>
                    <w:sz w:val="20"/>
                    <w:lang w:val="en-US"/>
                  </w:rPr>
                  <m:t>,</m:t>
                </m:r>
              </m:oMath>
            </m:oMathPara>
          </w:p>
        </w:tc>
        <w:tc>
          <w:tcPr>
            <w:tcW w:w="540" w:type="dxa"/>
            <w:vAlign w:val="center"/>
          </w:tcPr>
          <w:p w14:paraId="5BC457D7" w14:textId="502CE753" w:rsidR="0088627F" w:rsidRPr="0049786B" w:rsidRDefault="0088627F" w:rsidP="00243541">
            <w:pPr>
              <w:pStyle w:val="absatz"/>
              <w:spacing w:beforeLines="50" w:before="120" w:afterLines="50" w:after="120" w:line="276" w:lineRule="auto"/>
              <w:jc w:val="center"/>
              <w:rPr>
                <w:sz w:val="20"/>
                <w:lang w:val="en-US"/>
              </w:rPr>
            </w:pPr>
            <w:r w:rsidRPr="0049786B">
              <w:rPr>
                <w:sz w:val="20"/>
                <w:lang w:val="en-US"/>
              </w:rPr>
              <w:t>(</w:t>
            </w:r>
            <w:r>
              <w:rPr>
                <w:sz w:val="20"/>
                <w:lang w:val="en-US"/>
              </w:rPr>
              <w:t>6</w:t>
            </w:r>
            <w:r w:rsidRPr="0049786B">
              <w:rPr>
                <w:sz w:val="20"/>
                <w:lang w:val="en-US"/>
              </w:rPr>
              <w:t>)</w:t>
            </w:r>
          </w:p>
        </w:tc>
      </w:tr>
    </w:tbl>
    <w:p w14:paraId="3260451A" w14:textId="7D32EBA0" w:rsidR="002C76F1" w:rsidRDefault="00906F3F" w:rsidP="00EF11D3">
      <w:pPr>
        <w:pStyle w:val="Text"/>
      </w:pPr>
      <w:r>
        <w:t xml:space="preserve">where </w:t>
      </w:r>
      <m:oMath>
        <m:sSub>
          <m:sSubPr>
            <m:ctrlPr>
              <w:rPr>
                <w:rFonts w:ascii="Cambria Math" w:eastAsia="Times New Roman" w:hAnsi="Cambria Math" w:cs="Times New Roman"/>
                <w:i/>
                <w:kern w:val="0"/>
                <w:lang w:eastAsia="de-DE"/>
              </w:rPr>
            </m:ctrlPr>
          </m:sSubPr>
          <m:e>
            <m:r>
              <w:rPr>
                <w:rFonts w:ascii="Cambria Math" w:hAnsi="Cambria Math"/>
              </w:rPr>
              <m:t>f'</m:t>
            </m:r>
          </m:e>
          <m:sub>
            <m:r>
              <w:rPr>
                <w:rFonts w:ascii="Cambria Math" w:hAnsi="Cambria Math"/>
              </w:rPr>
              <m:t>i</m:t>
            </m:r>
          </m:sub>
        </m:sSub>
      </m:oMath>
      <w:r w:rsidR="00EF11D3">
        <w:rPr>
          <w:kern w:val="0"/>
          <w:lang w:eastAsia="de-DE"/>
        </w:rPr>
        <w:t xml:space="preserve"> </w:t>
      </w:r>
      <w:r w:rsidR="003025FC" w:rsidRPr="003025FC">
        <w:rPr>
          <w:kern w:val="0"/>
          <w:lang w:eastAsia="de-DE"/>
        </w:rPr>
        <w:t xml:space="preserve">is the corrected expansion ratio taking the additional volume of the UUC into </w:t>
      </w:r>
      <w:proofErr w:type="gramStart"/>
      <w:r w:rsidR="003025FC" w:rsidRPr="003025FC">
        <w:rPr>
          <w:kern w:val="0"/>
          <w:lang w:eastAsia="de-DE"/>
        </w:rPr>
        <w:t>account</w:t>
      </w:r>
      <w:r w:rsidR="00653726">
        <w:rPr>
          <w:kern w:val="0"/>
          <w:lang w:eastAsia="de-DE"/>
        </w:rPr>
        <w:t>.</w:t>
      </w:r>
      <w:proofErr w:type="gramEnd"/>
      <w:r w:rsidR="00EF11D3">
        <w:rPr>
          <w:kern w:val="0"/>
          <w:lang w:eastAsia="de-DE"/>
        </w:rPr>
        <w:t xml:space="preserve"> </w:t>
      </w:r>
      <w:r w:rsidRPr="00847C17">
        <w:rPr>
          <w:i/>
          <w:iCs/>
        </w:rPr>
        <w:t>T</w:t>
      </w:r>
      <w:r w:rsidRPr="00906F3F">
        <w:rPr>
          <w:iCs/>
          <w:vertAlign w:val="subscript"/>
        </w:rPr>
        <w:t>0</w:t>
      </w:r>
      <w:r>
        <w:t xml:space="preserve"> is the initial temperature before and </w:t>
      </w:r>
      <w:r w:rsidRPr="00847C17">
        <w:rPr>
          <w:i/>
          <w:iCs/>
        </w:rPr>
        <w:t>T</w:t>
      </w:r>
      <w:r w:rsidR="00D5680D">
        <w:rPr>
          <w:i/>
          <w:iCs/>
          <w:vertAlign w:val="subscript"/>
        </w:rPr>
        <w:t>1</w:t>
      </w:r>
      <w:r>
        <w:t xml:space="preserve"> is the final temperature after the expansion. </w:t>
      </w:r>
      <w:r w:rsidRPr="004C2726">
        <w:rPr>
          <w:i/>
        </w:rPr>
        <w:t>B</w:t>
      </w:r>
      <w:r>
        <w:t xml:space="preserve"> is the </w:t>
      </w:r>
      <w:r w:rsidRPr="005E185E">
        <w:t>v</w:t>
      </w:r>
      <w:r w:rsidR="002C5FDE">
        <w:t>iria</w:t>
      </w:r>
      <w:r w:rsidRPr="005E185E">
        <w:t>l coefficient and</w:t>
      </w:r>
      <w:r>
        <w:t xml:space="preserve"> </w:t>
      </w:r>
      <w:r w:rsidRPr="00906F3F">
        <w:rPr>
          <w:i/>
        </w:rPr>
        <w:t>R</w:t>
      </w:r>
      <w:r>
        <w:t xml:space="preserve"> is the gas constant.</w:t>
      </w:r>
    </w:p>
    <w:p w14:paraId="0567F0B7" w14:textId="529DE0E7" w:rsidR="002C76F1" w:rsidRDefault="00906F3F" w:rsidP="00CC4B3D">
      <w:pPr>
        <w:pStyle w:val="Text"/>
      </w:pPr>
      <w:r w:rsidRPr="001961A6">
        <w:t>The SES was used to verify</w:t>
      </w:r>
      <w:r w:rsidRPr="00906F3F">
        <w:t xml:space="preserve"> </w:t>
      </w:r>
      <w:r>
        <w:t xml:space="preserve">the </w:t>
      </w:r>
      <w:r w:rsidRPr="001961A6">
        <w:t xml:space="preserve">FPG </w:t>
      </w:r>
      <w:r>
        <w:t xml:space="preserve">in </w:t>
      </w:r>
      <w:r w:rsidRPr="001961A6">
        <w:t>the low</w:t>
      </w:r>
      <w:r>
        <w:t xml:space="preserve"> pressure</w:t>
      </w:r>
      <w:r w:rsidRPr="001961A6">
        <w:t xml:space="preserve"> range from 3 Pa up to 300 Pa. Because of the humidity </w:t>
      </w:r>
      <w:r>
        <w:t xml:space="preserve">of nitrogen used </w:t>
      </w:r>
      <w:r w:rsidRPr="001961A6">
        <w:t>inside the FPG</w:t>
      </w:r>
      <w:r w:rsidR="00CC4B3D" w:rsidRPr="00CC4B3D">
        <w:t xml:space="preserve"> </w:t>
      </w:r>
      <w:r w:rsidR="00CC4B3D">
        <w:t>and to keep the expansion volume Vol.6 defined</w:t>
      </w:r>
      <w:r w:rsidRPr="001961A6">
        <w:t xml:space="preserve">, </w:t>
      </w:r>
      <w:r>
        <w:t>a</w:t>
      </w:r>
      <w:r w:rsidRPr="001961A6">
        <w:t xml:space="preserve"> CDG </w:t>
      </w:r>
      <w:r>
        <w:t xml:space="preserve">was </w:t>
      </w:r>
      <w:r w:rsidRPr="001961A6">
        <w:t>always separating both systems</w:t>
      </w:r>
      <w:r>
        <w:t>,</w:t>
      </w:r>
      <w:r w:rsidRPr="001961A6">
        <w:t xml:space="preserve"> and its </w:t>
      </w:r>
      <w:r>
        <w:t>readings were</w:t>
      </w:r>
      <w:r w:rsidRPr="001961A6">
        <w:t xml:space="preserve"> taken into consideration in the comparison results.</w:t>
      </w:r>
    </w:p>
    <w:p w14:paraId="7A1E652B" w14:textId="25AAB1DE" w:rsidR="002C76F1" w:rsidRDefault="004C2726" w:rsidP="00111CAD">
      <w:pPr>
        <w:pStyle w:val="Text"/>
      </w:pPr>
      <w:r w:rsidRPr="00EE05BC">
        <w:rPr>
          <w:rFonts w:eastAsia="Batang"/>
          <w:lang w:eastAsia="en-US"/>
        </w:rPr>
        <w:t>Fig</w:t>
      </w:r>
      <w:r>
        <w:rPr>
          <w:rFonts w:eastAsia="Batang"/>
          <w:lang w:eastAsia="en-US"/>
        </w:rPr>
        <w:t xml:space="preserve">. </w:t>
      </w:r>
      <w:r w:rsidRPr="00EE05BC">
        <w:rPr>
          <w:rFonts w:eastAsia="Batang"/>
          <w:lang w:eastAsia="en-US"/>
        </w:rPr>
        <w:t>6 shows the experiment</w:t>
      </w:r>
      <w:r w:rsidR="00984691">
        <w:rPr>
          <w:rFonts w:eastAsia="Batang"/>
          <w:lang w:eastAsia="en-US"/>
        </w:rPr>
        <w:t>al</w:t>
      </w:r>
      <w:r w:rsidRPr="00EE05BC">
        <w:rPr>
          <w:rFonts w:eastAsia="Batang"/>
          <w:lang w:eastAsia="en-US"/>
        </w:rPr>
        <w:t xml:space="preserve"> </w:t>
      </w:r>
      <w:r w:rsidR="00984691">
        <w:rPr>
          <w:rFonts w:eastAsia="Batang"/>
          <w:lang w:eastAsia="en-US"/>
        </w:rPr>
        <w:t>setup for the</w:t>
      </w:r>
      <w:r w:rsidRPr="00EE05BC">
        <w:rPr>
          <w:rFonts w:eastAsia="Batang"/>
          <w:lang w:eastAsia="en-US"/>
        </w:rPr>
        <w:t xml:space="preserve"> comparison </w:t>
      </w:r>
      <w:r w:rsidR="00984691">
        <w:rPr>
          <w:rFonts w:eastAsia="Batang"/>
          <w:lang w:eastAsia="en-US"/>
        </w:rPr>
        <w:t xml:space="preserve">of the </w:t>
      </w:r>
      <w:r w:rsidRPr="00EE05BC">
        <w:rPr>
          <w:rFonts w:eastAsia="Batang"/>
          <w:lang w:eastAsia="en-US"/>
        </w:rPr>
        <w:t xml:space="preserve">FPG </w:t>
      </w:r>
      <w:r w:rsidR="00984691">
        <w:rPr>
          <w:rFonts w:eastAsia="Batang"/>
          <w:lang w:eastAsia="en-US"/>
        </w:rPr>
        <w:t>with the</w:t>
      </w:r>
      <w:r w:rsidRPr="00EE05BC">
        <w:rPr>
          <w:rFonts w:eastAsia="Batang"/>
          <w:lang w:eastAsia="en-US"/>
        </w:rPr>
        <w:t xml:space="preserve"> SES in absolute pressure mode</w:t>
      </w:r>
      <w:r w:rsidR="00984691">
        <w:rPr>
          <w:rFonts w:eastAsia="Batang"/>
          <w:lang w:eastAsia="en-US"/>
        </w:rPr>
        <w:t>, where the</w:t>
      </w:r>
      <w:r>
        <w:rPr>
          <w:rFonts w:eastAsia="Batang"/>
          <w:lang w:eastAsia="en-US"/>
        </w:rPr>
        <w:t xml:space="preserve"> SES </w:t>
      </w:r>
      <w:r w:rsidR="00984691">
        <w:rPr>
          <w:rFonts w:eastAsia="Batang"/>
          <w:lang w:eastAsia="en-US"/>
        </w:rPr>
        <w:t xml:space="preserve">is </w:t>
      </w:r>
      <w:r>
        <w:rPr>
          <w:rFonts w:eastAsia="Batang"/>
          <w:lang w:eastAsia="en-US"/>
        </w:rPr>
        <w:t>simply sketched with only two volumes</w:t>
      </w:r>
      <w:r w:rsidRPr="00EE05BC">
        <w:rPr>
          <w:rFonts w:eastAsia="Batang"/>
          <w:lang w:eastAsia="en-US"/>
        </w:rPr>
        <w:t xml:space="preserve">. </w:t>
      </w:r>
      <w:r>
        <w:rPr>
          <w:rFonts w:eastAsia="Batang"/>
          <w:lang w:eastAsia="en-US"/>
        </w:rPr>
        <w:t>T</w:t>
      </w:r>
      <w:r w:rsidRPr="00EE05BC">
        <w:rPr>
          <w:rFonts w:eastAsia="Batang"/>
          <w:lang w:eastAsia="en-US"/>
        </w:rPr>
        <w:t xml:space="preserve">he VLPC was used to control the pressure of </w:t>
      </w:r>
      <w:r w:rsidR="00984691">
        <w:rPr>
          <w:rFonts w:eastAsia="Batang"/>
          <w:lang w:eastAsia="en-US"/>
        </w:rPr>
        <w:t xml:space="preserve">the </w:t>
      </w:r>
      <w:r w:rsidRPr="00EE05BC">
        <w:rPr>
          <w:rFonts w:eastAsia="Batang"/>
          <w:lang w:eastAsia="en-US"/>
        </w:rPr>
        <w:t xml:space="preserve">FPG </w:t>
      </w:r>
      <w:r w:rsidR="000E3EB6">
        <w:rPr>
          <w:rFonts w:eastAsia="Batang"/>
          <w:lang w:eastAsia="en-US"/>
        </w:rPr>
        <w:t xml:space="preserve">in order to keep the differential pressure measured </w:t>
      </w:r>
      <w:r w:rsidRPr="00EE05BC">
        <w:rPr>
          <w:rFonts w:eastAsia="Batang"/>
          <w:lang w:eastAsia="en-US"/>
        </w:rPr>
        <w:t xml:space="preserve">by </w:t>
      </w:r>
      <w:r w:rsidR="000E3EB6">
        <w:rPr>
          <w:rFonts w:eastAsia="Batang"/>
          <w:lang w:eastAsia="en-US"/>
        </w:rPr>
        <w:t xml:space="preserve">the </w:t>
      </w:r>
      <w:r w:rsidRPr="00EE05BC">
        <w:rPr>
          <w:rFonts w:eastAsia="Batang"/>
          <w:lang w:eastAsia="en-US"/>
        </w:rPr>
        <w:t>CDG</w:t>
      </w:r>
      <w:r>
        <w:rPr>
          <w:rFonts w:eastAsia="Batang"/>
          <w:lang w:eastAsia="en-US"/>
        </w:rPr>
        <w:t xml:space="preserve"> </w:t>
      </w:r>
      <w:r w:rsidR="000E3EB6">
        <w:rPr>
          <w:rFonts w:eastAsia="Batang"/>
          <w:lang w:eastAsia="en-US"/>
        </w:rPr>
        <w:t>as close to</w:t>
      </w:r>
      <w:r>
        <w:rPr>
          <w:rFonts w:eastAsia="Batang"/>
          <w:lang w:eastAsia="en-US"/>
        </w:rPr>
        <w:t xml:space="preserve"> zero</w:t>
      </w:r>
      <w:r w:rsidR="000E3EB6">
        <w:rPr>
          <w:rFonts w:eastAsia="Batang"/>
          <w:lang w:eastAsia="en-US"/>
        </w:rPr>
        <w:t xml:space="preserve"> as possible</w:t>
      </w:r>
      <w:r w:rsidRPr="00EE05BC">
        <w:rPr>
          <w:rFonts w:eastAsia="Batang"/>
          <w:lang w:eastAsia="en-US"/>
        </w:rPr>
        <w:t>.</w:t>
      </w:r>
    </w:p>
    <w:p w14:paraId="0325B6BF" w14:textId="3F296B90" w:rsidR="002C76F1" w:rsidRDefault="0035143C" w:rsidP="00111CAD">
      <w:pPr>
        <w:pStyle w:val="Text"/>
      </w:pPr>
      <w:r>
        <w:t>At the beginning, t</w:t>
      </w:r>
      <w:r w:rsidR="00F6007A">
        <w:t>he</w:t>
      </w:r>
      <w:r w:rsidR="00F6007A" w:rsidRPr="001961A6">
        <w:t xml:space="preserve"> </w:t>
      </w:r>
      <w:r w:rsidR="00F6007A">
        <w:t xml:space="preserve">QBS </w:t>
      </w:r>
      <w:r>
        <w:t xml:space="preserve">was </w:t>
      </w:r>
      <w:r w:rsidR="00F6007A" w:rsidRPr="001961A6">
        <w:t xml:space="preserve">used to </w:t>
      </w:r>
      <w:r>
        <w:t>set</w:t>
      </w:r>
      <w:r w:rsidR="00F6007A" w:rsidRPr="001961A6">
        <w:t xml:space="preserve"> the pressure in </w:t>
      </w:r>
      <w:r w:rsidR="00F6007A" w:rsidRPr="00847C17">
        <w:rPr>
          <w:i/>
          <w:iCs/>
        </w:rPr>
        <w:t>Vol.S.1</w:t>
      </w:r>
      <w:r w:rsidR="00F6007A" w:rsidRPr="001961A6">
        <w:t>. Then</w:t>
      </w:r>
      <w:r>
        <w:t>,</w:t>
      </w:r>
      <w:r w:rsidR="00F6007A" w:rsidRPr="001961A6">
        <w:t xml:space="preserve"> </w:t>
      </w:r>
      <w:r>
        <w:t>v</w:t>
      </w:r>
      <w:r w:rsidR="00F6007A" w:rsidRPr="001961A6">
        <w:t>alves V</w:t>
      </w:r>
      <w:r w:rsidR="00F6007A" w:rsidRPr="001961A6">
        <w:rPr>
          <w:vertAlign w:val="subscript"/>
        </w:rPr>
        <w:t>2</w:t>
      </w:r>
      <w:r w:rsidR="00F6007A" w:rsidRPr="001961A6">
        <w:t xml:space="preserve"> and V</w:t>
      </w:r>
      <w:r w:rsidR="00F6007A" w:rsidRPr="001961A6">
        <w:rPr>
          <w:vertAlign w:val="subscript"/>
        </w:rPr>
        <w:t>6</w:t>
      </w:r>
      <w:r w:rsidR="00F6007A" w:rsidRPr="001961A6">
        <w:t xml:space="preserve"> w</w:t>
      </w:r>
      <w:r>
        <w:t>ere</w:t>
      </w:r>
      <w:r w:rsidR="00F6007A" w:rsidRPr="001961A6">
        <w:t xml:space="preserve"> opened to </w:t>
      </w:r>
      <w:r w:rsidR="00CC4B3D">
        <w:t>expand</w:t>
      </w:r>
      <w:r w:rsidR="00F6007A" w:rsidRPr="001961A6">
        <w:t xml:space="preserve"> the gas </w:t>
      </w:r>
      <w:r>
        <w:t>into the bigger</w:t>
      </w:r>
      <w:r w:rsidR="00F6007A" w:rsidRPr="001961A6">
        <w:t xml:space="preserve"> volume </w:t>
      </w:r>
      <w:r w:rsidR="00F6007A" w:rsidRPr="00847C17">
        <w:rPr>
          <w:i/>
          <w:iCs/>
        </w:rPr>
        <w:t>Vol.S.2</w:t>
      </w:r>
      <w:r w:rsidR="00F6007A" w:rsidRPr="001961A6">
        <w:t xml:space="preserve"> and the tubes connect</w:t>
      </w:r>
      <w:r>
        <w:t xml:space="preserve">ed to </w:t>
      </w:r>
      <w:r w:rsidR="00F6007A" w:rsidRPr="001961A6">
        <w:t xml:space="preserve">the left side of </w:t>
      </w:r>
      <w:r>
        <w:t xml:space="preserve">the </w:t>
      </w:r>
      <w:r w:rsidR="00F6007A" w:rsidRPr="001961A6">
        <w:t>CDG before V</w:t>
      </w:r>
      <w:r w:rsidR="00F6007A" w:rsidRPr="001961A6">
        <w:rPr>
          <w:vertAlign w:val="subscript"/>
        </w:rPr>
        <w:t>1</w:t>
      </w:r>
      <w:r w:rsidR="00F6007A" w:rsidRPr="001961A6">
        <w:t xml:space="preserve">. The total volume was measured precisely. The pressure value of SES </w:t>
      </w:r>
      <w:r>
        <w:t xml:space="preserve">was </w:t>
      </w:r>
      <w:r w:rsidR="00F6007A" w:rsidRPr="001961A6">
        <w:t xml:space="preserve">calculated according to </w:t>
      </w:r>
      <w:r w:rsidR="00F6007A">
        <w:t>Eq.</w:t>
      </w:r>
      <w:r w:rsidR="00F6007A" w:rsidRPr="001961A6">
        <w:t xml:space="preserve"> </w:t>
      </w:r>
      <w:r w:rsidR="00F6007A">
        <w:t>6</w:t>
      </w:r>
      <w:r>
        <w:t>.</w:t>
      </w:r>
    </w:p>
    <w:p w14:paraId="36438D63" w14:textId="760EC441" w:rsidR="002715DC" w:rsidRPr="00B348BC" w:rsidRDefault="002715DC" w:rsidP="002715DC">
      <w:pPr>
        <w:pStyle w:val="Section"/>
        <w:ind w:firstLine="198"/>
      </w:pPr>
      <w:r>
        <w:rPr>
          <w:noProof/>
        </w:rPr>
        <w:t>3</w:t>
      </w:r>
      <w:r w:rsidRPr="00B348BC">
        <w:rPr>
          <w:rFonts w:hint="eastAsia"/>
        </w:rPr>
        <w:t xml:space="preserve">. </w:t>
      </w:r>
      <w:r w:rsidRPr="00EE05BC">
        <w:rPr>
          <w:lang w:eastAsia="ko-KR"/>
        </w:rPr>
        <w:t>Results</w:t>
      </w:r>
    </w:p>
    <w:p w14:paraId="3470AA4E" w14:textId="685A9F44" w:rsidR="002C76F1" w:rsidRDefault="009064D0" w:rsidP="00243541">
      <w:pPr>
        <w:pStyle w:val="Text"/>
      </w:pPr>
      <w:r>
        <w:t>R</w:t>
      </w:r>
      <w:r w:rsidR="007F0110" w:rsidRPr="001961A6">
        <w:t>esult</w:t>
      </w:r>
      <w:r>
        <w:t>s</w:t>
      </w:r>
      <w:r w:rsidR="007F0110" w:rsidRPr="001961A6">
        <w:t xml:space="preserve"> of the effective area</w:t>
      </w:r>
      <w:r>
        <w:t xml:space="preserve"> determination from the </w:t>
      </w:r>
      <w:r w:rsidRPr="001961A6">
        <w:t xml:space="preserve">FPG </w:t>
      </w:r>
      <w:r>
        <w:t xml:space="preserve">calibration against the </w:t>
      </w:r>
      <w:r w:rsidR="007F0110" w:rsidRPr="009064D0">
        <w:rPr>
          <w:i/>
        </w:rPr>
        <w:t>Ruska</w:t>
      </w:r>
      <w:r w:rsidR="007F0110" w:rsidRPr="001961A6">
        <w:t xml:space="preserve"> pressure balance</w:t>
      </w:r>
      <w:r>
        <w:t>, described in section 2.1, are presented in Table 2</w:t>
      </w:r>
      <w:r w:rsidR="00C9633D">
        <w:t xml:space="preserve"> and Fig. 7</w:t>
      </w:r>
      <w:r>
        <w:t xml:space="preserve"> for both, gauge and absolute pressure operation modes.</w:t>
      </w:r>
      <w:r w:rsidR="007F0110">
        <w:t xml:space="preserve"> </w:t>
      </w:r>
      <w:r w:rsidR="00C9633D">
        <w:t xml:space="preserve">In Fig. 7, these experimental results are shown together with the results of </w:t>
      </w:r>
      <w:r w:rsidR="007F0110" w:rsidRPr="009F4608">
        <w:t xml:space="preserve">the theoretical </w:t>
      </w:r>
      <w:r w:rsidR="00C9633D">
        <w:t xml:space="preserve">determination based on dimensional properties of the PCA under application of methods of the </w:t>
      </w:r>
      <w:r w:rsidR="00C9633D" w:rsidRPr="00C9633D">
        <w:t>rarefied gas dynamics</w:t>
      </w:r>
      <w:r w:rsidR="00C9633D">
        <w:t xml:space="preserve"> (RGD). There, also the effective area reported by the manufacturer is shown. </w:t>
      </w:r>
      <w:r w:rsidR="00243541">
        <w:t xml:space="preserve">All </w:t>
      </w:r>
      <w:r w:rsidR="00EE0EEC">
        <w:t xml:space="preserve">experimental and theoretical </w:t>
      </w:r>
      <w:r w:rsidR="00243541">
        <w:t>effective areas agree well with each other on the level of the</w:t>
      </w:r>
      <w:r w:rsidR="00EE0EEC">
        <w:t xml:space="preserve"> </w:t>
      </w:r>
      <w:r w:rsidR="00243541">
        <w:t xml:space="preserve">experimental </w:t>
      </w:r>
      <w:r w:rsidR="00EE0EEC">
        <w:t xml:space="preserve">standard </w:t>
      </w:r>
      <w:r w:rsidR="00243541">
        <w:t>uncertainties.</w:t>
      </w:r>
    </w:p>
    <w:p w14:paraId="7DE4607D" w14:textId="7AE3972D" w:rsidR="00845FFB" w:rsidRPr="00EF6C27" w:rsidRDefault="00845FFB" w:rsidP="003925D2">
      <w:pPr>
        <w:pStyle w:val="10"/>
        <w:keepNext/>
        <w:keepLines/>
        <w:widowControl/>
        <w:ind w:firstLine="0"/>
      </w:pPr>
      <w:r w:rsidRPr="00A150BE">
        <w:t xml:space="preserve">Table </w:t>
      </w:r>
      <w:r>
        <w:t>2</w:t>
      </w:r>
      <w:r w:rsidRPr="00A150BE">
        <w:t xml:space="preserve"> </w:t>
      </w:r>
      <w:r>
        <w:t>E</w:t>
      </w:r>
      <w:r w:rsidRPr="00CF0C80">
        <w:t>xp</w:t>
      </w:r>
      <w:r w:rsidR="00127B06">
        <w:t>erimental effective area</w:t>
      </w:r>
      <w:r w:rsidR="003925D2">
        <w:t xml:space="preserve"> </w:t>
      </w:r>
      <w:r w:rsidR="003925D2" w:rsidRPr="003925D2">
        <w:rPr>
          <w:i/>
        </w:rPr>
        <w:t>A</w:t>
      </w:r>
      <w:r w:rsidR="00127B06">
        <w:t xml:space="preserve"> </w:t>
      </w:r>
      <w:r w:rsidR="003925D2">
        <w:t xml:space="preserve">and its standard uncertainty </w:t>
      </w:r>
      <w:r w:rsidR="003925D2" w:rsidRPr="003925D2">
        <w:rPr>
          <w:i/>
        </w:rPr>
        <w:t>u</w:t>
      </w:r>
      <w:r w:rsidR="003925D2">
        <w:t>(</w:t>
      </w:r>
      <w:r w:rsidR="003925D2" w:rsidRPr="003925D2">
        <w:rPr>
          <w:i/>
        </w:rPr>
        <w:t>A</w:t>
      </w:r>
      <w:r w:rsidR="003925D2">
        <w:t xml:space="preserve">) (k = 1) </w:t>
      </w:r>
      <w:r>
        <w:t xml:space="preserve">of </w:t>
      </w:r>
      <w:r w:rsidR="00127B06">
        <w:t>FPG</w:t>
      </w:r>
      <w:r w:rsidR="003925D2">
        <w:t xml:space="preserve"> at </w:t>
      </w:r>
      <w:r w:rsidR="00B43BAC">
        <w:t xml:space="preserve">nominal </w:t>
      </w:r>
      <w:r w:rsidR="003925D2">
        <w:t xml:space="preserve">pressures </w:t>
      </w:r>
      <w:r w:rsidR="003925D2" w:rsidRPr="003925D2">
        <w:rPr>
          <w:i/>
        </w:rPr>
        <w:t>p</w:t>
      </w:r>
      <w:r w:rsidR="00B43BAC">
        <w:t>, in gauge and absolute mode</w:t>
      </w:r>
    </w:p>
    <w:tbl>
      <w:tblPr>
        <w:tblStyle w:val="PlainTable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66"/>
        <w:gridCol w:w="1037"/>
        <w:gridCol w:w="866"/>
        <w:gridCol w:w="1037"/>
      </w:tblGrid>
      <w:tr w:rsidR="00590BF0" w:rsidRPr="0024788B" w14:paraId="1BA3B1B6" w14:textId="77777777" w:rsidTr="00590BF0">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vMerge w:val="restart"/>
            <w:shd w:val="clear" w:color="auto" w:fill="auto"/>
            <w:noWrap/>
            <w:vAlign w:val="center"/>
          </w:tcPr>
          <w:p w14:paraId="40CDAEEC" w14:textId="77777777" w:rsidR="00590BF0" w:rsidRDefault="00590BF0" w:rsidP="0057047A">
            <w:pPr>
              <w:keepNext/>
              <w:keepLines/>
              <w:overflowPunct/>
              <w:autoSpaceDE/>
              <w:autoSpaceDN/>
              <w:adjustRightInd/>
              <w:jc w:val="center"/>
              <w:textAlignment w:val="auto"/>
              <w:rPr>
                <w:rFonts w:eastAsia="Times New Roman"/>
                <w:iCs w:val="0"/>
                <w:color w:val="000000"/>
              </w:rPr>
            </w:pPr>
            <w:r w:rsidRPr="00804421">
              <w:rPr>
                <w:rFonts w:eastAsia="Times New Roman"/>
                <w:color w:val="000000"/>
              </w:rPr>
              <w:t>p</w:t>
            </w:r>
            <w:r w:rsidRPr="00804421">
              <w:rPr>
                <w:rFonts w:eastAsia="Times New Roman"/>
                <w:i w:val="0"/>
                <w:color w:val="000000"/>
              </w:rPr>
              <w:t xml:space="preserve"> / </w:t>
            </w:r>
          </w:p>
          <w:p w14:paraId="69668DBB" w14:textId="2DBC5D64" w:rsidR="00590BF0" w:rsidRPr="00804421" w:rsidRDefault="00590BF0" w:rsidP="0057047A">
            <w:pPr>
              <w:keepNext/>
              <w:keepLines/>
              <w:overflowPunct/>
              <w:autoSpaceDE/>
              <w:autoSpaceDN/>
              <w:adjustRightInd/>
              <w:jc w:val="center"/>
              <w:textAlignment w:val="auto"/>
              <w:rPr>
                <w:rFonts w:eastAsia="Times New Roman"/>
                <w:color w:val="000000"/>
              </w:rPr>
            </w:pPr>
            <w:r w:rsidRPr="00804421">
              <w:rPr>
                <w:rFonts w:eastAsia="Times New Roman"/>
                <w:i w:val="0"/>
                <w:color w:val="000000"/>
              </w:rPr>
              <w:t>kPa</w:t>
            </w:r>
          </w:p>
        </w:tc>
        <w:tc>
          <w:tcPr>
            <w:tcW w:w="0" w:type="auto"/>
            <w:gridSpan w:val="2"/>
            <w:shd w:val="clear" w:color="auto" w:fill="auto"/>
            <w:noWrap/>
            <w:vAlign w:val="center"/>
          </w:tcPr>
          <w:p w14:paraId="38BA8790" w14:textId="6E769FD5" w:rsidR="00590BF0" w:rsidRPr="0057047A" w:rsidRDefault="00590BF0" w:rsidP="00590BF0">
            <w:pPr>
              <w:keepNext/>
              <w:keepLines/>
              <w:overflowPunct/>
              <w:autoSpaceDE/>
              <w:autoSpaceDN/>
              <w:adjustRightInd/>
              <w:jc w:val="center"/>
              <w:textAlignment w:val="auto"/>
              <w:cnfStyle w:val="100000000000" w:firstRow="1" w:lastRow="0" w:firstColumn="0" w:lastColumn="0" w:oddVBand="0" w:evenVBand="0" w:oddHBand="0" w:evenHBand="0" w:firstRowFirstColumn="0" w:firstRowLastColumn="0" w:lastRowFirstColumn="0" w:lastRowLastColumn="0"/>
              <w:rPr>
                <w:i w:val="0"/>
              </w:rPr>
            </w:pPr>
            <w:r w:rsidRPr="0057047A">
              <w:rPr>
                <w:i w:val="0"/>
              </w:rPr>
              <w:t>Gauge mode</w:t>
            </w:r>
          </w:p>
        </w:tc>
        <w:tc>
          <w:tcPr>
            <w:tcW w:w="0" w:type="auto"/>
            <w:gridSpan w:val="2"/>
            <w:shd w:val="clear" w:color="auto" w:fill="auto"/>
            <w:vAlign w:val="center"/>
          </w:tcPr>
          <w:p w14:paraId="0A91EFA8" w14:textId="57DE9734" w:rsidR="00590BF0" w:rsidRPr="0057047A" w:rsidRDefault="00590BF0" w:rsidP="00590BF0">
            <w:pPr>
              <w:keepNext/>
              <w:keepLines/>
              <w:overflowPunct/>
              <w:autoSpaceDE/>
              <w:autoSpaceDN/>
              <w:adjustRightInd/>
              <w:jc w:val="center"/>
              <w:textAlignment w:val="auto"/>
              <w:cnfStyle w:val="100000000000" w:firstRow="1" w:lastRow="0" w:firstColumn="0" w:lastColumn="0" w:oddVBand="0" w:evenVBand="0" w:oddHBand="0" w:evenHBand="0" w:firstRowFirstColumn="0" w:firstRowLastColumn="0" w:lastRowFirstColumn="0" w:lastRowLastColumn="0"/>
              <w:rPr>
                <w:i w:val="0"/>
              </w:rPr>
            </w:pPr>
            <w:r w:rsidRPr="0057047A">
              <w:rPr>
                <w:i w:val="0"/>
              </w:rPr>
              <w:t>Absolute mode</w:t>
            </w:r>
          </w:p>
        </w:tc>
      </w:tr>
      <w:tr w:rsidR="00590BF0" w:rsidRPr="0024788B" w14:paraId="2A9089F3" w14:textId="382107E2" w:rsidTr="00590B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noWrap/>
            <w:vAlign w:val="center"/>
          </w:tcPr>
          <w:p w14:paraId="11E35C0A" w14:textId="26896487" w:rsidR="00590BF0" w:rsidRPr="00804421" w:rsidRDefault="00590BF0" w:rsidP="0057047A">
            <w:pPr>
              <w:keepNext/>
              <w:keepLines/>
              <w:overflowPunct/>
              <w:autoSpaceDE/>
              <w:autoSpaceDN/>
              <w:adjustRightInd/>
              <w:jc w:val="center"/>
              <w:textAlignment w:val="auto"/>
              <w:rPr>
                <w:rFonts w:eastAsia="Times New Roman"/>
                <w:i w:val="0"/>
                <w:color w:val="000000"/>
              </w:rPr>
            </w:pPr>
          </w:p>
        </w:tc>
        <w:tc>
          <w:tcPr>
            <w:tcW w:w="0" w:type="auto"/>
            <w:shd w:val="clear" w:color="auto" w:fill="auto"/>
            <w:noWrap/>
            <w:vAlign w:val="center"/>
            <w:hideMark/>
          </w:tcPr>
          <w:p w14:paraId="5A4E9990" w14:textId="77777777" w:rsidR="00590BF0" w:rsidRPr="00804421" w:rsidRDefault="00590BF0"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i/>
                <w:color w:val="000000"/>
              </w:rPr>
            </w:pPr>
            <w:r w:rsidRPr="00590BF0">
              <w:rPr>
                <w:rFonts w:eastAsia="Times New Roman"/>
                <w:i/>
                <w:color w:val="000000"/>
              </w:rPr>
              <w:t>A</w:t>
            </w:r>
            <w:r w:rsidRPr="00590BF0">
              <w:rPr>
                <w:rFonts w:eastAsia="Times New Roman"/>
                <w:color w:val="000000"/>
              </w:rPr>
              <w:t xml:space="preserve"> / cm</w:t>
            </w:r>
            <w:r w:rsidRPr="00590BF0">
              <w:rPr>
                <w:rFonts w:eastAsia="Times New Roman"/>
                <w:color w:val="000000"/>
                <w:vertAlign w:val="superscript"/>
              </w:rPr>
              <w:t>2</w:t>
            </w:r>
          </w:p>
        </w:tc>
        <w:tc>
          <w:tcPr>
            <w:tcW w:w="0" w:type="auto"/>
            <w:shd w:val="clear" w:color="auto" w:fill="auto"/>
            <w:vAlign w:val="center"/>
          </w:tcPr>
          <w:p w14:paraId="1466106B" w14:textId="77777777" w:rsidR="00590BF0" w:rsidRPr="00804421" w:rsidRDefault="00590BF0"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0BF0">
              <w:rPr>
                <w:i/>
              </w:rPr>
              <w:t>u</w:t>
            </w:r>
            <w:r w:rsidRPr="00804421">
              <w:t>(</w:t>
            </w:r>
            <w:r w:rsidRPr="00590BF0">
              <w:rPr>
                <w:i/>
              </w:rPr>
              <w:t>A</w:t>
            </w:r>
            <w:r w:rsidRPr="00590BF0">
              <w:t>)</w:t>
            </w:r>
            <w:r w:rsidRPr="00590BF0">
              <w:rPr>
                <w:rFonts w:eastAsia="Times New Roman"/>
                <w:color w:val="000000"/>
              </w:rPr>
              <w:t xml:space="preserve"> / cm</w:t>
            </w:r>
            <w:r w:rsidRPr="00590BF0">
              <w:rPr>
                <w:rFonts w:eastAsia="Times New Roman"/>
                <w:color w:val="000000"/>
                <w:vertAlign w:val="superscript"/>
              </w:rPr>
              <w:t>2</w:t>
            </w:r>
          </w:p>
        </w:tc>
        <w:tc>
          <w:tcPr>
            <w:tcW w:w="0" w:type="auto"/>
            <w:shd w:val="clear" w:color="auto" w:fill="auto"/>
            <w:vAlign w:val="center"/>
          </w:tcPr>
          <w:p w14:paraId="6FC8A97D" w14:textId="746D88D7" w:rsidR="00590BF0" w:rsidRPr="00804421" w:rsidRDefault="00590BF0"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590BF0">
              <w:rPr>
                <w:rFonts w:eastAsia="Times New Roman"/>
                <w:i/>
                <w:color w:val="000000"/>
              </w:rPr>
              <w:t>A</w:t>
            </w:r>
            <w:r w:rsidRPr="00590BF0">
              <w:rPr>
                <w:rFonts w:eastAsia="Times New Roman"/>
                <w:color w:val="000000"/>
              </w:rPr>
              <w:t xml:space="preserve"> / cm</w:t>
            </w:r>
            <w:r w:rsidRPr="00590BF0">
              <w:rPr>
                <w:rFonts w:eastAsia="Times New Roman"/>
                <w:color w:val="000000"/>
                <w:vertAlign w:val="superscript"/>
              </w:rPr>
              <w:t>2</w:t>
            </w:r>
          </w:p>
        </w:tc>
        <w:tc>
          <w:tcPr>
            <w:tcW w:w="0" w:type="auto"/>
            <w:shd w:val="clear" w:color="auto" w:fill="auto"/>
            <w:vAlign w:val="center"/>
          </w:tcPr>
          <w:p w14:paraId="66383766" w14:textId="2927A927" w:rsidR="00590BF0" w:rsidRPr="00804421" w:rsidRDefault="00590BF0"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590BF0">
              <w:rPr>
                <w:i/>
              </w:rPr>
              <w:t>u</w:t>
            </w:r>
            <w:r w:rsidRPr="00590BF0">
              <w:t>(</w:t>
            </w:r>
            <w:r w:rsidRPr="00590BF0">
              <w:rPr>
                <w:i/>
              </w:rPr>
              <w:t>A</w:t>
            </w:r>
            <w:r w:rsidRPr="00590BF0">
              <w:t>)</w:t>
            </w:r>
            <w:r w:rsidRPr="00590BF0">
              <w:rPr>
                <w:rFonts w:eastAsia="Times New Roman"/>
                <w:color w:val="000000"/>
              </w:rPr>
              <w:t xml:space="preserve"> / cm</w:t>
            </w:r>
            <w:r w:rsidRPr="00590BF0">
              <w:rPr>
                <w:rFonts w:eastAsia="Times New Roman"/>
                <w:color w:val="000000"/>
                <w:vertAlign w:val="superscript"/>
              </w:rPr>
              <w:t>2</w:t>
            </w:r>
          </w:p>
        </w:tc>
      </w:tr>
      <w:tr w:rsidR="0057047A" w:rsidRPr="00CF18A4" w14:paraId="1A16FEDA" w14:textId="77777777" w:rsidTr="00CF18A4">
        <w:trPr>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2DCF6D57" w14:textId="7F3BB0F5" w:rsidR="0057047A" w:rsidRPr="00CF18A4" w:rsidRDefault="0057047A" w:rsidP="0057047A">
            <w:pPr>
              <w:keepNext/>
              <w:keepLines/>
              <w:overflowPunct/>
              <w:autoSpaceDE/>
              <w:autoSpaceDN/>
              <w:adjustRightInd/>
              <w:jc w:val="center"/>
              <w:textAlignment w:val="auto"/>
              <w:rPr>
                <w:i w:val="0"/>
              </w:rPr>
            </w:pPr>
            <w:r>
              <w:rPr>
                <w:i w:val="0"/>
              </w:rPr>
              <w:t>2</w:t>
            </w:r>
          </w:p>
        </w:tc>
        <w:tc>
          <w:tcPr>
            <w:tcW w:w="0" w:type="auto"/>
            <w:shd w:val="clear" w:color="auto" w:fill="auto"/>
            <w:noWrap/>
          </w:tcPr>
          <w:p w14:paraId="09A2801F" w14:textId="77777777" w:rsidR="0057047A" w:rsidRPr="00CF18A4"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A19CCC0" w14:textId="77777777" w:rsidR="0057047A" w:rsidRPr="00CF18A4"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0AD0B107" w14:textId="625043FA" w:rsidR="0057047A" w:rsidRPr="00CF18A4"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9.80592</w:t>
            </w:r>
          </w:p>
        </w:tc>
        <w:tc>
          <w:tcPr>
            <w:tcW w:w="0" w:type="auto"/>
            <w:shd w:val="clear" w:color="auto" w:fill="auto"/>
          </w:tcPr>
          <w:p w14:paraId="032413C4" w14:textId="3C4CC75B" w:rsidR="0057047A" w:rsidRPr="00CF18A4"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4.</w:t>
            </w:r>
            <w:r>
              <w:t>8</w:t>
            </w:r>
            <w:r>
              <w:sym w:font="Symbol" w:char="F0D7"/>
            </w:r>
            <w:r>
              <w:t>10</w:t>
            </w:r>
            <w:r w:rsidRPr="00CF18A4">
              <w:rPr>
                <w:vertAlign w:val="superscript"/>
              </w:rPr>
              <w:t>-4</w:t>
            </w:r>
          </w:p>
        </w:tc>
      </w:tr>
      <w:tr w:rsidR="0057047A" w:rsidRPr="0024788B" w14:paraId="2FB266DE" w14:textId="464D9315" w:rsidTr="00CF18A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5CF4E264"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3</w:t>
            </w:r>
          </w:p>
        </w:tc>
        <w:tc>
          <w:tcPr>
            <w:tcW w:w="0" w:type="auto"/>
            <w:shd w:val="clear" w:color="auto" w:fill="auto"/>
            <w:noWrap/>
          </w:tcPr>
          <w:p w14:paraId="399E07FF"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43BAC">
              <w:t>9.80624</w:t>
            </w:r>
          </w:p>
        </w:tc>
        <w:tc>
          <w:tcPr>
            <w:tcW w:w="0" w:type="auto"/>
            <w:shd w:val="clear" w:color="auto" w:fill="auto"/>
          </w:tcPr>
          <w:p w14:paraId="7EA58A2A"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color w:val="000000"/>
              </w:rPr>
            </w:pPr>
            <w:r w:rsidRPr="00B43BAC">
              <w:t>2.</w:t>
            </w:r>
            <w:r>
              <w:t>6</w:t>
            </w:r>
            <w:r>
              <w:sym w:font="Symbol" w:char="F0D7"/>
            </w:r>
            <w:r>
              <w:t>10</w:t>
            </w:r>
            <w:r w:rsidRPr="00CF18A4">
              <w:rPr>
                <w:vertAlign w:val="superscript"/>
              </w:rPr>
              <w:t>-4</w:t>
            </w:r>
          </w:p>
        </w:tc>
        <w:tc>
          <w:tcPr>
            <w:tcW w:w="0" w:type="auto"/>
            <w:shd w:val="clear" w:color="auto" w:fill="auto"/>
          </w:tcPr>
          <w:p w14:paraId="197EE80B" w14:textId="603BED50"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9.80601</w:t>
            </w:r>
          </w:p>
        </w:tc>
        <w:tc>
          <w:tcPr>
            <w:tcW w:w="0" w:type="auto"/>
            <w:shd w:val="clear" w:color="auto" w:fill="auto"/>
          </w:tcPr>
          <w:p w14:paraId="29105DC7" w14:textId="47C20BC1"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2.5</w:t>
            </w:r>
            <w:r>
              <w:sym w:font="Symbol" w:char="F0D7"/>
            </w:r>
            <w:r>
              <w:t>10</w:t>
            </w:r>
            <w:r w:rsidRPr="00CF18A4">
              <w:rPr>
                <w:vertAlign w:val="superscript"/>
              </w:rPr>
              <w:t>-4</w:t>
            </w:r>
          </w:p>
        </w:tc>
      </w:tr>
      <w:tr w:rsidR="0057047A" w:rsidRPr="00694F58" w14:paraId="10CC6DC5" w14:textId="73EA6A44" w:rsidTr="00CF18A4">
        <w:trPr>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6A2124FE"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5</w:t>
            </w:r>
          </w:p>
        </w:tc>
        <w:tc>
          <w:tcPr>
            <w:tcW w:w="0" w:type="auto"/>
            <w:shd w:val="clear" w:color="auto" w:fill="auto"/>
            <w:noWrap/>
          </w:tcPr>
          <w:p w14:paraId="14951604"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43BAC">
              <w:t>9.80620</w:t>
            </w:r>
          </w:p>
        </w:tc>
        <w:tc>
          <w:tcPr>
            <w:tcW w:w="0" w:type="auto"/>
            <w:shd w:val="clear" w:color="auto" w:fill="auto"/>
          </w:tcPr>
          <w:p w14:paraId="367A66F4"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43BAC">
              <w:t>1.6</w:t>
            </w:r>
            <w:r>
              <w:sym w:font="Symbol" w:char="F0D7"/>
            </w:r>
            <w:r>
              <w:t>10</w:t>
            </w:r>
            <w:r w:rsidRPr="00CF18A4">
              <w:rPr>
                <w:vertAlign w:val="superscript"/>
              </w:rPr>
              <w:t>-4</w:t>
            </w:r>
          </w:p>
        </w:tc>
        <w:tc>
          <w:tcPr>
            <w:tcW w:w="0" w:type="auto"/>
            <w:shd w:val="clear" w:color="auto" w:fill="auto"/>
          </w:tcPr>
          <w:p w14:paraId="62292614" w14:textId="7DA4F8D3"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9.80600</w:t>
            </w:r>
          </w:p>
        </w:tc>
        <w:tc>
          <w:tcPr>
            <w:tcW w:w="0" w:type="auto"/>
            <w:shd w:val="clear" w:color="auto" w:fill="auto"/>
          </w:tcPr>
          <w:p w14:paraId="02FB9DC8" w14:textId="1095E26A"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1.8</w:t>
            </w:r>
            <w:r>
              <w:sym w:font="Symbol" w:char="F0D7"/>
            </w:r>
            <w:r>
              <w:t>10</w:t>
            </w:r>
            <w:r w:rsidRPr="00CF18A4">
              <w:rPr>
                <w:vertAlign w:val="superscript"/>
              </w:rPr>
              <w:t>-4</w:t>
            </w:r>
          </w:p>
        </w:tc>
      </w:tr>
      <w:tr w:rsidR="0057047A" w:rsidRPr="00694F58" w14:paraId="3CC3DA5A" w14:textId="09E0A480" w:rsidTr="00CF18A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0D9BCADA"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6</w:t>
            </w:r>
          </w:p>
        </w:tc>
        <w:tc>
          <w:tcPr>
            <w:tcW w:w="0" w:type="auto"/>
            <w:shd w:val="clear" w:color="auto" w:fill="auto"/>
            <w:noWrap/>
          </w:tcPr>
          <w:p w14:paraId="2CC1CE16"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43BAC">
              <w:t>9.80611</w:t>
            </w:r>
          </w:p>
        </w:tc>
        <w:tc>
          <w:tcPr>
            <w:tcW w:w="0" w:type="auto"/>
            <w:shd w:val="clear" w:color="auto" w:fill="auto"/>
          </w:tcPr>
          <w:p w14:paraId="220BE102"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43BAC">
              <w:t>8.</w:t>
            </w:r>
            <w:r>
              <w:t>8</w:t>
            </w:r>
            <w:r>
              <w:sym w:font="Symbol" w:char="F0D7"/>
            </w:r>
            <w:r>
              <w:t>10</w:t>
            </w:r>
            <w:r w:rsidRPr="00CF18A4">
              <w:rPr>
                <w:vertAlign w:val="superscript"/>
              </w:rPr>
              <w:t>-5</w:t>
            </w:r>
          </w:p>
        </w:tc>
        <w:tc>
          <w:tcPr>
            <w:tcW w:w="0" w:type="auto"/>
            <w:shd w:val="clear" w:color="auto" w:fill="auto"/>
          </w:tcPr>
          <w:p w14:paraId="1B1CFDAD" w14:textId="02151BDD"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9.80602</w:t>
            </w:r>
          </w:p>
        </w:tc>
        <w:tc>
          <w:tcPr>
            <w:tcW w:w="0" w:type="auto"/>
            <w:shd w:val="clear" w:color="auto" w:fill="auto"/>
          </w:tcPr>
          <w:p w14:paraId="0A1387BD" w14:textId="25280113"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1.8</w:t>
            </w:r>
            <w:r>
              <w:sym w:font="Symbol" w:char="F0D7"/>
            </w:r>
            <w:r>
              <w:t>10</w:t>
            </w:r>
            <w:r w:rsidRPr="00CF18A4">
              <w:rPr>
                <w:vertAlign w:val="superscript"/>
              </w:rPr>
              <w:t>-4</w:t>
            </w:r>
          </w:p>
        </w:tc>
      </w:tr>
      <w:tr w:rsidR="0057047A" w:rsidRPr="00694F58" w14:paraId="3028F4B1" w14:textId="2A4B21D6" w:rsidTr="00CF18A4">
        <w:trPr>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409C7341"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8</w:t>
            </w:r>
          </w:p>
        </w:tc>
        <w:tc>
          <w:tcPr>
            <w:tcW w:w="0" w:type="auto"/>
            <w:shd w:val="clear" w:color="auto" w:fill="auto"/>
            <w:noWrap/>
          </w:tcPr>
          <w:p w14:paraId="4CFE662B"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43BAC">
              <w:t>9.80607</w:t>
            </w:r>
          </w:p>
        </w:tc>
        <w:tc>
          <w:tcPr>
            <w:tcW w:w="0" w:type="auto"/>
            <w:shd w:val="clear" w:color="auto" w:fill="auto"/>
          </w:tcPr>
          <w:p w14:paraId="56A26C7E"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43BAC">
              <w:t>1.1</w:t>
            </w:r>
            <w:r>
              <w:sym w:font="Symbol" w:char="F0D7"/>
            </w:r>
            <w:r>
              <w:t>10</w:t>
            </w:r>
            <w:r w:rsidRPr="00CF18A4">
              <w:rPr>
                <w:vertAlign w:val="superscript"/>
              </w:rPr>
              <w:t>-4</w:t>
            </w:r>
          </w:p>
        </w:tc>
        <w:tc>
          <w:tcPr>
            <w:tcW w:w="0" w:type="auto"/>
            <w:shd w:val="clear" w:color="auto" w:fill="auto"/>
          </w:tcPr>
          <w:p w14:paraId="29E84A3F" w14:textId="36F90E82"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9.80601</w:t>
            </w:r>
          </w:p>
        </w:tc>
        <w:tc>
          <w:tcPr>
            <w:tcW w:w="0" w:type="auto"/>
            <w:shd w:val="clear" w:color="auto" w:fill="auto"/>
          </w:tcPr>
          <w:p w14:paraId="1F5DE491" w14:textId="3D093FF4"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1.</w:t>
            </w:r>
            <w:r>
              <w:t>5</w:t>
            </w:r>
            <w:r>
              <w:sym w:font="Symbol" w:char="F0D7"/>
            </w:r>
            <w:r>
              <w:t>10</w:t>
            </w:r>
            <w:r w:rsidRPr="00CF18A4">
              <w:rPr>
                <w:vertAlign w:val="superscript"/>
              </w:rPr>
              <w:t>-4</w:t>
            </w:r>
          </w:p>
        </w:tc>
      </w:tr>
      <w:tr w:rsidR="0057047A" w:rsidRPr="00694F58" w14:paraId="6505D17B" w14:textId="701648BE" w:rsidTr="00CF18A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2E3FF8C1"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10</w:t>
            </w:r>
          </w:p>
        </w:tc>
        <w:tc>
          <w:tcPr>
            <w:tcW w:w="0" w:type="auto"/>
            <w:shd w:val="clear" w:color="auto" w:fill="auto"/>
            <w:noWrap/>
          </w:tcPr>
          <w:p w14:paraId="6736BE68"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43BAC">
              <w:t>9.80614</w:t>
            </w:r>
          </w:p>
        </w:tc>
        <w:tc>
          <w:tcPr>
            <w:tcW w:w="0" w:type="auto"/>
            <w:shd w:val="clear" w:color="auto" w:fill="auto"/>
          </w:tcPr>
          <w:p w14:paraId="3A3381C2"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43BAC">
              <w:t>8.3</w:t>
            </w:r>
            <w:r>
              <w:sym w:font="Symbol" w:char="F0D7"/>
            </w:r>
            <w:r>
              <w:t>10</w:t>
            </w:r>
            <w:r w:rsidRPr="00CF18A4">
              <w:rPr>
                <w:vertAlign w:val="superscript"/>
              </w:rPr>
              <w:t>-5</w:t>
            </w:r>
          </w:p>
        </w:tc>
        <w:tc>
          <w:tcPr>
            <w:tcW w:w="0" w:type="auto"/>
            <w:shd w:val="clear" w:color="auto" w:fill="auto"/>
          </w:tcPr>
          <w:p w14:paraId="58EEFF08" w14:textId="10161612"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9.80601</w:t>
            </w:r>
          </w:p>
        </w:tc>
        <w:tc>
          <w:tcPr>
            <w:tcW w:w="0" w:type="auto"/>
            <w:shd w:val="clear" w:color="auto" w:fill="auto"/>
          </w:tcPr>
          <w:p w14:paraId="21F19876" w14:textId="116D49FE"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9.</w:t>
            </w:r>
            <w:r>
              <w:t>4</w:t>
            </w:r>
            <w:r>
              <w:sym w:font="Symbol" w:char="F0D7"/>
            </w:r>
            <w:r>
              <w:t>10</w:t>
            </w:r>
            <w:r w:rsidRPr="00CF18A4">
              <w:rPr>
                <w:vertAlign w:val="superscript"/>
              </w:rPr>
              <w:t>-5</w:t>
            </w:r>
          </w:p>
        </w:tc>
      </w:tr>
      <w:tr w:rsidR="0057047A" w:rsidRPr="00694F58" w14:paraId="2B28F40D" w14:textId="4C72AF06" w:rsidTr="00CF18A4">
        <w:trPr>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2B424C01"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11</w:t>
            </w:r>
          </w:p>
        </w:tc>
        <w:tc>
          <w:tcPr>
            <w:tcW w:w="0" w:type="auto"/>
            <w:shd w:val="clear" w:color="auto" w:fill="auto"/>
            <w:noWrap/>
          </w:tcPr>
          <w:p w14:paraId="296A808E"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43BAC">
              <w:t>9.80617</w:t>
            </w:r>
          </w:p>
        </w:tc>
        <w:tc>
          <w:tcPr>
            <w:tcW w:w="0" w:type="auto"/>
            <w:shd w:val="clear" w:color="auto" w:fill="auto"/>
          </w:tcPr>
          <w:p w14:paraId="75D29848"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43BAC">
              <w:t>7.5</w:t>
            </w:r>
            <w:r>
              <w:sym w:font="Symbol" w:char="F0D7"/>
            </w:r>
            <w:r>
              <w:t>10</w:t>
            </w:r>
            <w:r w:rsidRPr="00CF18A4">
              <w:rPr>
                <w:vertAlign w:val="superscript"/>
              </w:rPr>
              <w:t>-5</w:t>
            </w:r>
          </w:p>
        </w:tc>
        <w:tc>
          <w:tcPr>
            <w:tcW w:w="0" w:type="auto"/>
            <w:shd w:val="clear" w:color="auto" w:fill="auto"/>
          </w:tcPr>
          <w:p w14:paraId="0DF1CD2C" w14:textId="5A50FEA5"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9.80606</w:t>
            </w:r>
          </w:p>
        </w:tc>
        <w:tc>
          <w:tcPr>
            <w:tcW w:w="0" w:type="auto"/>
            <w:shd w:val="clear" w:color="auto" w:fill="auto"/>
          </w:tcPr>
          <w:p w14:paraId="66B14FF2" w14:textId="44BA8891"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1.0</w:t>
            </w:r>
            <w:r>
              <w:sym w:font="Symbol" w:char="F0D7"/>
            </w:r>
            <w:r>
              <w:t>10</w:t>
            </w:r>
            <w:r w:rsidRPr="00CF18A4">
              <w:rPr>
                <w:vertAlign w:val="superscript"/>
              </w:rPr>
              <w:t>-4</w:t>
            </w:r>
          </w:p>
        </w:tc>
      </w:tr>
      <w:tr w:rsidR="0057047A" w:rsidRPr="00694F58" w14:paraId="04419055" w14:textId="3B54DDCB" w:rsidTr="00CF18A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5D274DCB"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13</w:t>
            </w:r>
          </w:p>
        </w:tc>
        <w:tc>
          <w:tcPr>
            <w:tcW w:w="0" w:type="auto"/>
            <w:shd w:val="clear" w:color="auto" w:fill="auto"/>
            <w:noWrap/>
          </w:tcPr>
          <w:p w14:paraId="47E051FE"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43BAC">
              <w:t>9.80613</w:t>
            </w:r>
          </w:p>
        </w:tc>
        <w:tc>
          <w:tcPr>
            <w:tcW w:w="0" w:type="auto"/>
            <w:shd w:val="clear" w:color="auto" w:fill="auto"/>
          </w:tcPr>
          <w:p w14:paraId="03B650AC" w14:textId="77777777"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43BAC">
              <w:t>7.</w:t>
            </w:r>
            <w:r>
              <w:t>2</w:t>
            </w:r>
            <w:r>
              <w:sym w:font="Symbol" w:char="F0D7"/>
            </w:r>
            <w:r>
              <w:t>10</w:t>
            </w:r>
            <w:r w:rsidRPr="00CF18A4">
              <w:rPr>
                <w:vertAlign w:val="superscript"/>
              </w:rPr>
              <w:t>-5</w:t>
            </w:r>
          </w:p>
        </w:tc>
        <w:tc>
          <w:tcPr>
            <w:tcW w:w="0" w:type="auto"/>
            <w:shd w:val="clear" w:color="auto" w:fill="auto"/>
          </w:tcPr>
          <w:p w14:paraId="38505639" w14:textId="3E039FEF"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9.80598</w:t>
            </w:r>
          </w:p>
        </w:tc>
        <w:tc>
          <w:tcPr>
            <w:tcW w:w="0" w:type="auto"/>
            <w:shd w:val="clear" w:color="auto" w:fill="auto"/>
          </w:tcPr>
          <w:p w14:paraId="41CD7748" w14:textId="34CC131A" w:rsidR="0057047A" w:rsidRPr="00B43BAC" w:rsidRDefault="0057047A" w:rsidP="0057047A">
            <w:pPr>
              <w:keepNext/>
              <w:keepLines/>
              <w:overflowPunct/>
              <w:autoSpaceDE/>
              <w:autoSpaceDN/>
              <w:adjustRightInd/>
              <w:jc w:val="center"/>
              <w:textAlignment w:val="auto"/>
              <w:cnfStyle w:val="000000100000" w:firstRow="0" w:lastRow="0" w:firstColumn="0" w:lastColumn="0" w:oddVBand="0" w:evenVBand="0" w:oddHBand="1" w:evenHBand="0" w:firstRowFirstColumn="0" w:firstRowLastColumn="0" w:lastRowFirstColumn="0" w:lastRowLastColumn="0"/>
            </w:pPr>
            <w:r w:rsidRPr="00B43BAC">
              <w:t>9.4</w:t>
            </w:r>
            <w:r>
              <w:sym w:font="Symbol" w:char="F0D7"/>
            </w:r>
            <w:r>
              <w:t>10</w:t>
            </w:r>
            <w:r w:rsidRPr="00CF18A4">
              <w:rPr>
                <w:vertAlign w:val="superscript"/>
              </w:rPr>
              <w:t>-5</w:t>
            </w:r>
          </w:p>
        </w:tc>
      </w:tr>
      <w:tr w:rsidR="0057047A" w:rsidRPr="00694F58" w14:paraId="757F6CE5" w14:textId="0265EA63" w:rsidTr="00CF18A4">
        <w:trPr>
          <w:trHeight w:val="17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tcPr>
          <w:p w14:paraId="624AC90B" w14:textId="77777777" w:rsidR="0057047A" w:rsidRPr="00B43BAC" w:rsidRDefault="0057047A" w:rsidP="0057047A">
            <w:pPr>
              <w:keepNext/>
              <w:keepLines/>
              <w:overflowPunct/>
              <w:autoSpaceDE/>
              <w:autoSpaceDN/>
              <w:adjustRightInd/>
              <w:jc w:val="center"/>
              <w:textAlignment w:val="auto"/>
              <w:rPr>
                <w:rFonts w:eastAsia="Times New Roman"/>
                <w:i w:val="0"/>
                <w:color w:val="000000"/>
              </w:rPr>
            </w:pPr>
            <w:r w:rsidRPr="00B43BAC">
              <w:rPr>
                <w:i w:val="0"/>
              </w:rPr>
              <w:t>15</w:t>
            </w:r>
          </w:p>
        </w:tc>
        <w:tc>
          <w:tcPr>
            <w:tcW w:w="0" w:type="auto"/>
            <w:shd w:val="clear" w:color="auto" w:fill="auto"/>
            <w:noWrap/>
          </w:tcPr>
          <w:p w14:paraId="6A0FA5BA"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43BAC">
              <w:t>9.80610</w:t>
            </w:r>
          </w:p>
        </w:tc>
        <w:tc>
          <w:tcPr>
            <w:tcW w:w="0" w:type="auto"/>
            <w:shd w:val="clear" w:color="auto" w:fill="auto"/>
          </w:tcPr>
          <w:p w14:paraId="7555BEA3" w14:textId="77777777" w:rsidR="0057047A" w:rsidRPr="00B43BAC"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t>8.0</w:t>
            </w:r>
            <w:r>
              <w:sym w:font="Symbol" w:char="F0D7"/>
            </w:r>
            <w:r>
              <w:t>10</w:t>
            </w:r>
            <w:r w:rsidRPr="00CF18A4">
              <w:rPr>
                <w:vertAlign w:val="superscript"/>
              </w:rPr>
              <w:t>-5</w:t>
            </w:r>
          </w:p>
        </w:tc>
        <w:tc>
          <w:tcPr>
            <w:tcW w:w="0" w:type="auto"/>
            <w:shd w:val="clear" w:color="auto" w:fill="auto"/>
          </w:tcPr>
          <w:p w14:paraId="4BC72F45" w14:textId="35732B18" w:rsidR="0057047A"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9.80599</w:t>
            </w:r>
          </w:p>
        </w:tc>
        <w:tc>
          <w:tcPr>
            <w:tcW w:w="0" w:type="auto"/>
            <w:shd w:val="clear" w:color="auto" w:fill="auto"/>
          </w:tcPr>
          <w:p w14:paraId="1ADD9AA7" w14:textId="705C58D9" w:rsidR="0057047A" w:rsidRDefault="0057047A" w:rsidP="0057047A">
            <w:pPr>
              <w:keepNext/>
              <w:keepLines/>
              <w:overflowPunct/>
              <w:autoSpaceDE/>
              <w:autoSpaceDN/>
              <w:adjustRightInd/>
              <w:jc w:val="center"/>
              <w:textAlignment w:val="auto"/>
              <w:cnfStyle w:val="000000000000" w:firstRow="0" w:lastRow="0" w:firstColumn="0" w:lastColumn="0" w:oddVBand="0" w:evenVBand="0" w:oddHBand="0" w:evenHBand="0" w:firstRowFirstColumn="0" w:firstRowLastColumn="0" w:lastRowFirstColumn="0" w:lastRowLastColumn="0"/>
            </w:pPr>
            <w:r w:rsidRPr="00B43BAC">
              <w:t>8.</w:t>
            </w:r>
            <w:r>
              <w:t>7</w:t>
            </w:r>
            <w:r>
              <w:sym w:font="Symbol" w:char="F0D7"/>
            </w:r>
            <w:r>
              <w:t>10</w:t>
            </w:r>
            <w:r w:rsidRPr="00CF18A4">
              <w:rPr>
                <w:vertAlign w:val="superscript"/>
              </w:rPr>
              <w:t>-5</w:t>
            </w:r>
          </w:p>
        </w:tc>
      </w:tr>
    </w:tbl>
    <w:p w14:paraId="3788CA67" w14:textId="15C9A62A" w:rsidR="00CF18A4" w:rsidRDefault="00CF18A4" w:rsidP="00845FFB">
      <w:pPr>
        <w:pStyle w:val="Text"/>
        <w:ind w:firstLine="0"/>
      </w:pPr>
    </w:p>
    <w:p w14:paraId="3427AD55" w14:textId="77777777" w:rsidR="001756E4" w:rsidRDefault="00C64363" w:rsidP="000D61AC">
      <w:pPr>
        <w:pStyle w:val="Text"/>
      </w:pPr>
      <w:r>
        <w:t xml:space="preserve">Results of pressure comparison between the FPG and the </w:t>
      </w:r>
      <w:proofErr w:type="spellStart"/>
      <w:r>
        <w:t>HgM</w:t>
      </w:r>
      <w:proofErr w:type="spellEnd"/>
      <w:r>
        <w:t xml:space="preserve"> are presented for gauge and absolute mode in Figs. 8 and 9, respectively. </w:t>
      </w:r>
    </w:p>
    <w:p w14:paraId="53558856" w14:textId="51F346BF" w:rsidR="000D61AC" w:rsidRDefault="00C64363" w:rsidP="000D61AC">
      <w:pPr>
        <w:pStyle w:val="Text"/>
      </w:pPr>
      <w:r>
        <w:t xml:space="preserve">The pressure differences measured in gauge mode scatter stronger than in absolute mode, because the gauge pressure measurements were affected by </w:t>
      </w:r>
      <w:r w:rsidR="00B02A15">
        <w:t xml:space="preserve">instability of the atmospheric pressure. Due to considerably different time constants of the FPG and the </w:t>
      </w:r>
      <w:proofErr w:type="spellStart"/>
      <w:r w:rsidR="00B02A15">
        <w:t>HgM</w:t>
      </w:r>
      <w:proofErr w:type="spellEnd"/>
      <w:r w:rsidR="00B02A15">
        <w:t xml:space="preserve">, temporal reactions of the two instruments on the ambient pressure variations are essentially </w:t>
      </w:r>
      <w:r w:rsidR="001756E4">
        <w:t>different leading to the pressure differences observed in the experiment. In a</w:t>
      </w:r>
      <w:r w:rsidR="00F71AF0" w:rsidRPr="00D92D5D">
        <w:t xml:space="preserve">ddition, the big volume of the </w:t>
      </w:r>
      <w:r w:rsidR="001756E4" w:rsidRPr="00D92D5D">
        <w:t xml:space="preserve">tubes </w:t>
      </w:r>
      <w:r w:rsidR="00F71AF0" w:rsidRPr="00D92D5D">
        <w:t xml:space="preserve">connecting </w:t>
      </w:r>
      <w:r w:rsidR="001756E4">
        <w:t>the FPG with</w:t>
      </w:r>
      <w:r w:rsidR="00F71AF0" w:rsidRPr="00D92D5D">
        <w:t xml:space="preserve"> the </w:t>
      </w:r>
      <w:proofErr w:type="spellStart"/>
      <w:r w:rsidR="00F71AF0" w:rsidRPr="00D92D5D">
        <w:t>HgM</w:t>
      </w:r>
      <w:proofErr w:type="spellEnd"/>
      <w:r w:rsidR="00F71AF0" w:rsidRPr="00D92D5D">
        <w:t xml:space="preserve"> </w:t>
      </w:r>
      <w:r w:rsidR="001756E4">
        <w:t xml:space="preserve">caused </w:t>
      </w:r>
      <w:r w:rsidR="00F71AF0" w:rsidRPr="00D92D5D">
        <w:t xml:space="preserve">some difficulties </w:t>
      </w:r>
      <w:r w:rsidR="001756E4">
        <w:t xml:space="preserve">for the </w:t>
      </w:r>
      <w:r w:rsidR="00F71AF0" w:rsidRPr="00D92D5D">
        <w:t>pressure control during the measurements.</w:t>
      </w:r>
      <w:r w:rsidR="000D61AC" w:rsidRPr="000D61AC">
        <w:t xml:space="preserve"> </w:t>
      </w:r>
      <w:r w:rsidR="000252A8">
        <w:t>Despite of this, almost all pressure differences are covered by the expended uncertainty (</w:t>
      </w:r>
      <w:r w:rsidR="000252A8" w:rsidRPr="000252A8">
        <w:rPr>
          <w:i/>
        </w:rPr>
        <w:t>k</w:t>
      </w:r>
      <w:r w:rsidR="000252A8">
        <w:t xml:space="preserve"> = 2) of the </w:t>
      </w:r>
      <w:proofErr w:type="spellStart"/>
      <w:r w:rsidR="000252A8">
        <w:t>HgM</w:t>
      </w:r>
      <w:proofErr w:type="spellEnd"/>
      <w:r w:rsidR="000252A8">
        <w:t>.</w:t>
      </w:r>
    </w:p>
    <w:p w14:paraId="2FD012E0" w14:textId="0E9B768C" w:rsidR="008F085B" w:rsidRDefault="003A46A2" w:rsidP="00111CAD">
      <w:pPr>
        <w:pStyle w:val="Text"/>
      </w:pPr>
      <w:r>
        <w:t>C</w:t>
      </w:r>
      <w:r w:rsidRPr="007E5BF5">
        <w:t>ontrariwise</w:t>
      </w:r>
      <w:r>
        <w:t>, in absolute pressure mode, the measurements were free of ambient pressure effect, and</w:t>
      </w:r>
    </w:p>
    <w:tbl>
      <w:tblPr>
        <w:tblpPr w:leftFromText="142" w:rightFromText="142" w:vertAnchor="page" w:horzAnchor="margin" w:tblpX="-112" w:tblpY="2269"/>
        <w:tblOverlap w:val="never"/>
        <w:tblW w:w="9880" w:type="dxa"/>
        <w:tblCellMar>
          <w:left w:w="70" w:type="dxa"/>
          <w:right w:w="70" w:type="dxa"/>
        </w:tblCellMar>
        <w:tblLook w:val="04A0" w:firstRow="1" w:lastRow="0" w:firstColumn="1" w:lastColumn="0" w:noHBand="0" w:noVBand="1"/>
      </w:tblPr>
      <w:tblGrid>
        <w:gridCol w:w="9880"/>
      </w:tblGrid>
      <w:tr w:rsidR="00607BA6" w:rsidRPr="003C4F94" w14:paraId="042A5A81" w14:textId="77777777" w:rsidTr="00EE0EEC">
        <w:trPr>
          <w:trHeight w:val="2820"/>
        </w:trPr>
        <w:tc>
          <w:tcPr>
            <w:tcW w:w="9880" w:type="dxa"/>
            <w:vAlign w:val="bottom"/>
          </w:tcPr>
          <w:p w14:paraId="39E0E7D3" w14:textId="72FEAF6A" w:rsidR="00607BA6" w:rsidRDefault="00607BA6" w:rsidP="00EE0EEC">
            <w:pPr>
              <w:pStyle w:val="absatz"/>
              <w:spacing w:line="240" w:lineRule="auto"/>
              <w:jc w:val="center"/>
              <w:rPr>
                <w:rFonts w:asciiTheme="majorBidi" w:hAnsiTheme="majorBidi" w:cstheme="majorBidi"/>
                <w:lang w:val="en-US"/>
              </w:rPr>
            </w:pPr>
            <w:r>
              <w:rPr>
                <w:noProof/>
              </w:rPr>
              <w:drawing>
                <wp:inline distT="0" distB="0" distL="0" distR="0" wp14:anchorId="2F9C77E2" wp14:editId="0D078A13">
                  <wp:extent cx="5760720" cy="3283888"/>
                  <wp:effectExtent l="0" t="0" r="11430" b="12065"/>
                  <wp:docPr id="249" name="Chart 1">
                    <a:extLst xmlns:a="http://schemas.openxmlformats.org/drawingml/2006/main">
                      <a:ext uri="{FF2B5EF4-FFF2-40B4-BE49-F238E27FC236}">
                        <a16:creationId xmlns:a16="http://schemas.microsoft.com/office/drawing/2014/main" id="{C5F768CF-56E9-46DE-A437-BCE21EDE0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954534" w:rsidRPr="0002681F" w14:paraId="66910DEC" w14:textId="77777777" w:rsidTr="00EE0EEC">
        <w:tblPrEx>
          <w:tblCellMar>
            <w:left w:w="108" w:type="dxa"/>
            <w:right w:w="108" w:type="dxa"/>
          </w:tblCellMar>
        </w:tblPrEx>
        <w:trPr>
          <w:trHeight w:val="45"/>
        </w:trPr>
        <w:tc>
          <w:tcPr>
            <w:tcW w:w="9880" w:type="dxa"/>
            <w:vAlign w:val="center"/>
          </w:tcPr>
          <w:p w14:paraId="67DEB9F6" w14:textId="43E52493" w:rsidR="00954534" w:rsidRPr="00B54609" w:rsidRDefault="00954534" w:rsidP="00EE0EEC">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sidR="00607BA6">
              <w:rPr>
                <w:sz w:val="20"/>
                <w:lang w:val="en"/>
              </w:rPr>
              <w:t>7</w:t>
            </w:r>
            <w:r w:rsidRPr="00B54609">
              <w:rPr>
                <w:sz w:val="20"/>
                <w:lang w:val="en"/>
              </w:rPr>
              <w:t xml:space="preserve"> </w:t>
            </w:r>
            <w:r w:rsidR="00607BA6" w:rsidRPr="00B54609">
              <w:rPr>
                <w:sz w:val="20"/>
                <w:lang w:val="en-US"/>
              </w:rPr>
              <w:t>Experimental (</w:t>
            </w:r>
            <w:proofErr w:type="spellStart"/>
            <w:r w:rsidR="00607BA6" w:rsidRPr="00B54609">
              <w:rPr>
                <w:sz w:val="20"/>
                <w:lang w:val="en-US"/>
              </w:rPr>
              <w:t>Exper</w:t>
            </w:r>
            <w:proofErr w:type="spellEnd"/>
            <w:r w:rsidR="00607BA6" w:rsidRPr="00B54609">
              <w:rPr>
                <w:sz w:val="20"/>
                <w:lang w:val="en-US"/>
              </w:rPr>
              <w:t xml:space="preserve">.), </w:t>
            </w:r>
            <w:r w:rsidR="00607BA6">
              <w:rPr>
                <w:sz w:val="20"/>
                <w:lang w:val="en-US"/>
              </w:rPr>
              <w:t>RGD</w:t>
            </w:r>
            <w:r w:rsidR="00607BA6" w:rsidRPr="00B54609">
              <w:rPr>
                <w:sz w:val="20"/>
                <w:lang w:val="en-US"/>
              </w:rPr>
              <w:t xml:space="preserve"> calculated (</w:t>
            </w:r>
            <w:proofErr w:type="spellStart"/>
            <w:r w:rsidR="00607BA6" w:rsidRPr="00B54609">
              <w:rPr>
                <w:sz w:val="20"/>
                <w:lang w:val="en-US"/>
              </w:rPr>
              <w:t>Theor</w:t>
            </w:r>
            <w:proofErr w:type="spellEnd"/>
            <w:r w:rsidR="00607BA6" w:rsidRPr="00B54609">
              <w:rPr>
                <w:sz w:val="20"/>
                <w:lang w:val="en-US"/>
              </w:rPr>
              <w:t xml:space="preserve">.) and manufacturer's (Manuf.) effective areas </w:t>
            </w:r>
            <w:r w:rsidR="00607BA6">
              <w:rPr>
                <w:sz w:val="20"/>
                <w:lang w:val="en-US"/>
              </w:rPr>
              <w:t xml:space="preserve">of FPG </w:t>
            </w:r>
            <w:r w:rsidR="00607BA6" w:rsidRPr="00B54609">
              <w:rPr>
                <w:sz w:val="20"/>
                <w:lang w:val="en-US"/>
              </w:rPr>
              <w:t>in absolute</w:t>
            </w:r>
            <w:r w:rsidR="00607BA6">
              <w:rPr>
                <w:sz w:val="20"/>
                <w:lang w:val="en-US"/>
              </w:rPr>
              <w:t> </w:t>
            </w:r>
            <w:r w:rsidR="00607BA6" w:rsidRPr="00B54609">
              <w:rPr>
                <w:sz w:val="20"/>
                <w:lang w:val="en-US"/>
              </w:rPr>
              <w:t>(abs.) and gauge (gauge) mode</w:t>
            </w:r>
            <w:r w:rsidRPr="00B54609">
              <w:rPr>
                <w:sz w:val="20"/>
                <w:lang w:val="en"/>
              </w:rPr>
              <w:t>.</w:t>
            </w:r>
          </w:p>
        </w:tc>
      </w:tr>
    </w:tbl>
    <w:tbl>
      <w:tblPr>
        <w:tblW w:w="5240" w:type="dxa"/>
        <w:jc w:val="center"/>
        <w:tblCellMar>
          <w:left w:w="70" w:type="dxa"/>
          <w:right w:w="70" w:type="dxa"/>
        </w:tblCellMar>
        <w:tblLook w:val="04A0" w:firstRow="1" w:lastRow="0" w:firstColumn="1" w:lastColumn="0" w:noHBand="0" w:noVBand="1"/>
      </w:tblPr>
      <w:tblGrid>
        <w:gridCol w:w="5240"/>
      </w:tblGrid>
      <w:tr w:rsidR="00E01558" w:rsidRPr="003C4F94" w14:paraId="32608EE7" w14:textId="77777777" w:rsidTr="005A2476">
        <w:trPr>
          <w:trHeight w:val="2820"/>
          <w:jc w:val="center"/>
        </w:trPr>
        <w:tc>
          <w:tcPr>
            <w:tcW w:w="5240" w:type="dxa"/>
            <w:vAlign w:val="bottom"/>
          </w:tcPr>
          <w:p w14:paraId="040E4458" w14:textId="4EFC1890" w:rsidR="00E01558" w:rsidRDefault="00E01558" w:rsidP="005A2476">
            <w:pPr>
              <w:pStyle w:val="absatz"/>
              <w:spacing w:beforeLines="50" w:before="120" w:line="240" w:lineRule="auto"/>
              <w:jc w:val="right"/>
              <w:rPr>
                <w:rFonts w:asciiTheme="majorBidi" w:hAnsiTheme="majorBidi" w:cstheme="majorBidi"/>
                <w:lang w:val="en-US"/>
              </w:rPr>
            </w:pPr>
            <w:r>
              <w:rPr>
                <w:noProof/>
              </w:rPr>
              <w:drawing>
                <wp:inline distT="0" distB="0" distL="0" distR="0" wp14:anchorId="384732E4" wp14:editId="3119219F">
                  <wp:extent cx="3211830" cy="2105025"/>
                  <wp:effectExtent l="0" t="0" r="7620" b="9525"/>
                  <wp:docPr id="236" name="Chart 236">
                    <a:extLst xmlns:a="http://schemas.openxmlformats.org/drawingml/2006/main">
                      <a:ext uri="{FF2B5EF4-FFF2-40B4-BE49-F238E27FC236}">
                        <a16:creationId xmlns:a16="http://schemas.microsoft.com/office/drawing/2014/main" id="{4FBD99D4-6698-4C3A-9417-11149CEEC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E01558" w:rsidRPr="0002681F" w14:paraId="502D77D8" w14:textId="77777777" w:rsidTr="005A2476">
        <w:tblPrEx>
          <w:tblCellMar>
            <w:left w:w="108" w:type="dxa"/>
            <w:right w:w="108" w:type="dxa"/>
          </w:tblCellMar>
        </w:tblPrEx>
        <w:trPr>
          <w:trHeight w:val="45"/>
          <w:jc w:val="center"/>
        </w:trPr>
        <w:tc>
          <w:tcPr>
            <w:tcW w:w="5240" w:type="dxa"/>
            <w:vAlign w:val="center"/>
          </w:tcPr>
          <w:p w14:paraId="3D5710D4" w14:textId="6DB8CA10" w:rsidR="00E01558" w:rsidRPr="00B54609" w:rsidRDefault="00E01558" w:rsidP="005A2476">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sidR="003A35F0">
              <w:rPr>
                <w:sz w:val="20"/>
                <w:lang w:val="en"/>
              </w:rPr>
              <w:t>8</w:t>
            </w:r>
            <w:r w:rsidRPr="00B54609">
              <w:rPr>
                <w:sz w:val="20"/>
                <w:lang w:val="en"/>
              </w:rPr>
              <w:t xml:space="preserve"> </w:t>
            </w:r>
            <w:r w:rsidR="003A35F0">
              <w:rPr>
                <w:sz w:val="20"/>
                <w:lang w:val="en"/>
              </w:rPr>
              <w:t xml:space="preserve">Differences of pressures measured </w:t>
            </w:r>
            <w:r w:rsidR="003A35F0">
              <w:rPr>
                <w:sz w:val="20"/>
                <w:lang w:val="en-US"/>
              </w:rPr>
              <w:t xml:space="preserve">with FPG </w:t>
            </w:r>
            <w:proofErr w:type="gramStart"/>
            <w:r w:rsidR="003A35F0">
              <w:rPr>
                <w:sz w:val="20"/>
                <w:lang w:val="en-US"/>
              </w:rPr>
              <w:t xml:space="preserve">and  </w:t>
            </w:r>
            <w:proofErr w:type="spellStart"/>
            <w:r w:rsidR="003A35F0">
              <w:rPr>
                <w:sz w:val="20"/>
                <w:lang w:val="en-US"/>
              </w:rPr>
              <w:t>HgM</w:t>
            </w:r>
            <w:proofErr w:type="spellEnd"/>
            <w:proofErr w:type="gramEnd"/>
            <w:r w:rsidR="003A35F0">
              <w:rPr>
                <w:sz w:val="20"/>
                <w:lang w:val="en-US"/>
              </w:rPr>
              <w:t xml:space="preserve">  in </w:t>
            </w:r>
            <w:r w:rsidR="003A35F0" w:rsidRPr="00B54609">
              <w:rPr>
                <w:sz w:val="20"/>
                <w:lang w:val="en-US"/>
              </w:rPr>
              <w:t>gauge mode.</w:t>
            </w:r>
          </w:p>
        </w:tc>
      </w:tr>
    </w:tbl>
    <w:p w14:paraId="055CDF28" w14:textId="4D3A2397" w:rsidR="003A46A2" w:rsidRDefault="003A46A2" w:rsidP="003A46A2">
      <w:pPr>
        <w:pStyle w:val="Text"/>
        <w:ind w:firstLine="0"/>
      </w:pPr>
      <w:r>
        <w:t>the results are characterized by much lower scatter of the pressure differences, see Fig. 9.</w:t>
      </w:r>
      <w:r w:rsidR="009E129E">
        <w:t xml:space="preserve"> </w:t>
      </w:r>
      <w:r w:rsidR="00956668">
        <w:t xml:space="preserve">The differences of pressures measured with the FPG and the </w:t>
      </w:r>
      <w:proofErr w:type="spellStart"/>
      <w:r w:rsidR="00956668">
        <w:t>HgM</w:t>
      </w:r>
      <w:proofErr w:type="spellEnd"/>
      <w:r w:rsidR="00956668">
        <w:t xml:space="preserve"> are much smaller than the expanded uncertainty of the </w:t>
      </w:r>
      <w:proofErr w:type="spellStart"/>
      <w:r w:rsidR="00956668">
        <w:t>HgM</w:t>
      </w:r>
      <w:proofErr w:type="spellEnd"/>
      <w:r w:rsidR="00956668">
        <w:t>, which demonstrate a full consistency of the two pressure standards.</w:t>
      </w:r>
    </w:p>
    <w:p w14:paraId="135E68CA" w14:textId="77777777" w:rsidR="00DA4811" w:rsidRDefault="00DA4811" w:rsidP="00F821D5">
      <w:pPr>
        <w:pStyle w:val="Text"/>
      </w:pPr>
      <w:r>
        <w:t>In t</w:t>
      </w:r>
      <w:r w:rsidR="00F821D5" w:rsidRPr="00D92D5D">
        <w:t xml:space="preserve">he </w:t>
      </w:r>
      <w:r>
        <w:t xml:space="preserve">lowest pressure </w:t>
      </w:r>
      <w:r w:rsidR="00F821D5" w:rsidRPr="00D92D5D">
        <w:t xml:space="preserve">range of </w:t>
      </w:r>
      <w:r>
        <w:t xml:space="preserve">the </w:t>
      </w:r>
      <w:r w:rsidR="00F821D5" w:rsidRPr="00D92D5D">
        <w:t xml:space="preserve">FPG </w:t>
      </w:r>
      <w:r>
        <w:t xml:space="preserve">operation, </w:t>
      </w:r>
      <w:r w:rsidR="00F821D5" w:rsidRPr="00D92D5D">
        <w:t xml:space="preserve">from 3 Pa to 300 Pa </w:t>
      </w:r>
      <w:r>
        <w:t xml:space="preserve">it was </w:t>
      </w:r>
      <w:r w:rsidR="00F821D5" w:rsidRPr="00D92D5D">
        <w:t>verified by the comparison preformed against SES in the absolute pressure mode</w:t>
      </w:r>
      <w:r>
        <w:t>.</w:t>
      </w:r>
    </w:p>
    <w:tbl>
      <w:tblPr>
        <w:tblW w:w="5390" w:type="dxa"/>
        <w:jc w:val="center"/>
        <w:tblCellMar>
          <w:left w:w="70" w:type="dxa"/>
          <w:right w:w="70" w:type="dxa"/>
        </w:tblCellMar>
        <w:tblLook w:val="04A0" w:firstRow="1" w:lastRow="0" w:firstColumn="1" w:lastColumn="0" w:noHBand="0" w:noVBand="1"/>
      </w:tblPr>
      <w:tblGrid>
        <w:gridCol w:w="5390"/>
      </w:tblGrid>
      <w:tr w:rsidR="00DB40AF" w:rsidRPr="003C4F94" w14:paraId="37961658" w14:textId="77777777" w:rsidTr="00DA4811">
        <w:trPr>
          <w:trHeight w:val="2820"/>
          <w:jc w:val="center"/>
        </w:trPr>
        <w:tc>
          <w:tcPr>
            <w:tcW w:w="5390" w:type="dxa"/>
            <w:vAlign w:val="bottom"/>
          </w:tcPr>
          <w:p w14:paraId="14CA7FD0" w14:textId="2747049A" w:rsidR="00DB40AF" w:rsidRDefault="00DB40AF" w:rsidP="005A2476">
            <w:pPr>
              <w:pStyle w:val="absatz"/>
              <w:spacing w:beforeLines="50" w:before="120" w:line="240" w:lineRule="auto"/>
              <w:jc w:val="right"/>
              <w:rPr>
                <w:rFonts w:asciiTheme="majorBidi" w:hAnsiTheme="majorBidi" w:cstheme="majorBidi"/>
                <w:lang w:val="en-US"/>
              </w:rPr>
            </w:pPr>
            <w:r>
              <w:rPr>
                <w:noProof/>
              </w:rPr>
              <w:drawing>
                <wp:inline distT="0" distB="0" distL="0" distR="0" wp14:anchorId="6A885EC9" wp14:editId="3435EFA7">
                  <wp:extent cx="3332726" cy="2639695"/>
                  <wp:effectExtent l="0" t="0" r="1270" b="8255"/>
                  <wp:docPr id="18" name="Chart 10">
                    <a:extLst xmlns:a="http://schemas.openxmlformats.org/drawingml/2006/main">
                      <a:ext uri="{FF2B5EF4-FFF2-40B4-BE49-F238E27FC236}">
                        <a16:creationId xmlns:a16="http://schemas.microsoft.com/office/drawing/2014/main" id="{AE781F0E-839A-4366-8992-370EFF85A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DB40AF" w:rsidRPr="0002681F" w14:paraId="2E1DA119" w14:textId="77777777" w:rsidTr="00DA4811">
        <w:tblPrEx>
          <w:tblCellMar>
            <w:left w:w="108" w:type="dxa"/>
            <w:right w:w="108" w:type="dxa"/>
          </w:tblCellMar>
        </w:tblPrEx>
        <w:trPr>
          <w:trHeight w:val="45"/>
          <w:jc w:val="center"/>
        </w:trPr>
        <w:tc>
          <w:tcPr>
            <w:tcW w:w="5390" w:type="dxa"/>
            <w:vAlign w:val="center"/>
          </w:tcPr>
          <w:p w14:paraId="13E40843" w14:textId="31943E7F" w:rsidR="00DB40AF" w:rsidRPr="00B54609" w:rsidRDefault="00DB40AF" w:rsidP="005A2476">
            <w:pPr>
              <w:pStyle w:val="absatz"/>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sidR="009E129E">
              <w:rPr>
                <w:sz w:val="20"/>
                <w:lang w:val="en"/>
              </w:rPr>
              <w:t>9</w:t>
            </w:r>
            <w:r w:rsidRPr="00B54609">
              <w:rPr>
                <w:sz w:val="20"/>
                <w:lang w:val="en"/>
              </w:rPr>
              <w:t xml:space="preserve"> </w:t>
            </w:r>
            <w:r>
              <w:rPr>
                <w:sz w:val="20"/>
                <w:lang w:val="en"/>
              </w:rPr>
              <w:t xml:space="preserve">Differences of pressures measured </w:t>
            </w:r>
            <w:r>
              <w:rPr>
                <w:sz w:val="20"/>
                <w:lang w:val="en-US"/>
              </w:rPr>
              <w:t xml:space="preserve">with FPG </w:t>
            </w:r>
            <w:proofErr w:type="gramStart"/>
            <w:r>
              <w:rPr>
                <w:sz w:val="20"/>
                <w:lang w:val="en-US"/>
              </w:rPr>
              <w:t xml:space="preserve">and  </w:t>
            </w:r>
            <w:proofErr w:type="spellStart"/>
            <w:r>
              <w:rPr>
                <w:sz w:val="20"/>
                <w:lang w:val="en-US"/>
              </w:rPr>
              <w:t>HgM</w:t>
            </w:r>
            <w:proofErr w:type="spellEnd"/>
            <w:proofErr w:type="gramEnd"/>
            <w:r>
              <w:rPr>
                <w:sz w:val="20"/>
                <w:lang w:val="en-US"/>
              </w:rPr>
              <w:t xml:space="preserve">  in </w:t>
            </w:r>
            <w:r w:rsidR="009E129E">
              <w:rPr>
                <w:sz w:val="20"/>
                <w:lang w:val="en-US"/>
              </w:rPr>
              <w:t>absolute</w:t>
            </w:r>
            <w:r w:rsidRPr="00B54609">
              <w:rPr>
                <w:sz w:val="20"/>
                <w:lang w:val="en-US"/>
              </w:rPr>
              <w:t xml:space="preserve"> mode.</w:t>
            </w:r>
          </w:p>
        </w:tc>
      </w:tr>
    </w:tbl>
    <w:p w14:paraId="2E8F7E09" w14:textId="79113556" w:rsidR="00DA4811" w:rsidRDefault="00204C2E" w:rsidP="00204C2E">
      <w:pPr>
        <w:pStyle w:val="Text"/>
        <w:ind w:firstLine="0"/>
      </w:pPr>
      <w:r>
        <w:t>The</w:t>
      </w:r>
      <w:r w:rsidR="00DA4811" w:rsidRPr="00D92D5D">
        <w:t xml:space="preserve"> results </w:t>
      </w:r>
      <w:r>
        <w:t xml:space="preserve">of this comparison in terms of </w:t>
      </w:r>
      <w:r w:rsidR="00DA4811" w:rsidRPr="00D92D5D">
        <w:t>pressure difference</w:t>
      </w:r>
      <w:r>
        <w:t>s and their uncertainties</w:t>
      </w:r>
      <w:r w:rsidR="00DA4811" w:rsidRPr="00D92D5D">
        <w:t xml:space="preserve"> between </w:t>
      </w:r>
      <w:r>
        <w:t>the two pressure standards are shown</w:t>
      </w:r>
      <w:r w:rsidRPr="00D92D5D">
        <w:t xml:space="preserve"> in Fig. </w:t>
      </w:r>
      <w:r>
        <w:t>10</w:t>
      </w:r>
      <w:r w:rsidR="00DA4811" w:rsidRPr="00D92D5D">
        <w:t>.</w:t>
      </w:r>
    </w:p>
    <w:tbl>
      <w:tblPr>
        <w:tblW w:w="5390" w:type="dxa"/>
        <w:jc w:val="center"/>
        <w:tblCellMar>
          <w:left w:w="70" w:type="dxa"/>
          <w:right w:w="70" w:type="dxa"/>
        </w:tblCellMar>
        <w:tblLook w:val="04A0" w:firstRow="1" w:lastRow="0" w:firstColumn="1" w:lastColumn="0" w:noHBand="0" w:noVBand="1"/>
      </w:tblPr>
      <w:tblGrid>
        <w:gridCol w:w="5390"/>
      </w:tblGrid>
      <w:tr w:rsidR="00947656" w:rsidRPr="003C4F94" w14:paraId="40107BAC" w14:textId="77777777" w:rsidTr="005A2476">
        <w:trPr>
          <w:trHeight w:val="2820"/>
          <w:jc w:val="center"/>
        </w:trPr>
        <w:tc>
          <w:tcPr>
            <w:tcW w:w="5390" w:type="dxa"/>
            <w:vAlign w:val="bottom"/>
          </w:tcPr>
          <w:p w14:paraId="6F44DE49" w14:textId="2758C504" w:rsidR="00947656" w:rsidRDefault="00947656" w:rsidP="00947656">
            <w:pPr>
              <w:pStyle w:val="absatz"/>
              <w:keepNext/>
              <w:keepLines/>
              <w:spacing w:beforeLines="50" w:before="120" w:line="240" w:lineRule="auto"/>
              <w:jc w:val="right"/>
              <w:rPr>
                <w:rFonts w:asciiTheme="majorBidi" w:hAnsiTheme="majorBidi" w:cstheme="majorBidi"/>
                <w:lang w:val="en-US"/>
              </w:rPr>
            </w:pPr>
            <w:r>
              <w:rPr>
                <w:noProof/>
              </w:rPr>
              <w:drawing>
                <wp:inline distT="0" distB="0" distL="0" distR="0" wp14:anchorId="138AEECA" wp14:editId="5CC90CE2">
                  <wp:extent cx="3328622" cy="2027555"/>
                  <wp:effectExtent l="0" t="0" r="5715" b="10795"/>
                  <wp:docPr id="23" name="Chart 15">
                    <a:extLst xmlns:a="http://schemas.openxmlformats.org/drawingml/2006/main">
                      <a:ext uri="{FF2B5EF4-FFF2-40B4-BE49-F238E27FC236}">
                        <a16:creationId xmlns:a16="http://schemas.microsoft.com/office/drawing/2014/main" id="{4ECAC5E6-38A2-404C-99F3-0DE1E44FC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947656" w:rsidRPr="0002681F" w14:paraId="71E2E656" w14:textId="77777777" w:rsidTr="005A2476">
        <w:tblPrEx>
          <w:tblCellMar>
            <w:left w:w="108" w:type="dxa"/>
            <w:right w:w="108" w:type="dxa"/>
          </w:tblCellMar>
        </w:tblPrEx>
        <w:trPr>
          <w:trHeight w:val="45"/>
          <w:jc w:val="center"/>
        </w:trPr>
        <w:tc>
          <w:tcPr>
            <w:tcW w:w="5390" w:type="dxa"/>
            <w:vAlign w:val="center"/>
          </w:tcPr>
          <w:p w14:paraId="536557B7" w14:textId="24377ED7" w:rsidR="00947656" w:rsidRPr="00B54609" w:rsidRDefault="00947656" w:rsidP="00947656">
            <w:pPr>
              <w:pStyle w:val="absatz"/>
              <w:keepNext/>
              <w:keepLines/>
              <w:spacing w:beforeLines="50" w:before="120" w:afterLines="50" w:after="120" w:line="240" w:lineRule="auto"/>
              <w:jc w:val="center"/>
              <w:rPr>
                <w:rFonts w:asciiTheme="majorBidi" w:hAnsiTheme="majorBidi" w:cstheme="majorBidi"/>
                <w:sz w:val="20"/>
                <w:lang w:val="en-US"/>
              </w:rPr>
            </w:pPr>
            <w:r w:rsidRPr="00B54609">
              <w:rPr>
                <w:sz w:val="20"/>
                <w:lang w:val="en"/>
              </w:rPr>
              <w:t>Fig</w:t>
            </w:r>
            <w:r>
              <w:rPr>
                <w:sz w:val="20"/>
                <w:lang w:val="en"/>
              </w:rPr>
              <w:t>.</w:t>
            </w:r>
            <w:r w:rsidRPr="00B54609">
              <w:rPr>
                <w:sz w:val="20"/>
                <w:lang w:val="en"/>
              </w:rPr>
              <w:t xml:space="preserve"> </w:t>
            </w:r>
            <w:r w:rsidR="00793CEE">
              <w:rPr>
                <w:sz w:val="20"/>
                <w:lang w:val="en"/>
              </w:rPr>
              <w:t>10</w:t>
            </w:r>
            <w:r w:rsidRPr="00B54609">
              <w:rPr>
                <w:sz w:val="20"/>
                <w:lang w:val="en"/>
              </w:rPr>
              <w:t xml:space="preserve"> </w:t>
            </w:r>
            <w:r>
              <w:rPr>
                <w:sz w:val="20"/>
                <w:lang w:val="en"/>
              </w:rPr>
              <w:t xml:space="preserve">Differences of pressures measured </w:t>
            </w:r>
            <w:r>
              <w:rPr>
                <w:sz w:val="20"/>
                <w:lang w:val="en-US"/>
              </w:rPr>
              <w:t xml:space="preserve">with FPG </w:t>
            </w:r>
            <w:proofErr w:type="gramStart"/>
            <w:r>
              <w:rPr>
                <w:sz w:val="20"/>
                <w:lang w:val="en-US"/>
              </w:rPr>
              <w:t xml:space="preserve">and  </w:t>
            </w:r>
            <w:r w:rsidR="00DB1FFD">
              <w:rPr>
                <w:sz w:val="20"/>
                <w:lang w:val="en-US"/>
              </w:rPr>
              <w:t>SES</w:t>
            </w:r>
            <w:proofErr w:type="gramEnd"/>
            <w:r>
              <w:rPr>
                <w:sz w:val="20"/>
                <w:lang w:val="en-US"/>
              </w:rPr>
              <w:t>  in</w:t>
            </w:r>
            <w:r w:rsidR="00DB1FFD">
              <w:rPr>
                <w:sz w:val="20"/>
                <w:lang w:val="en-US"/>
              </w:rPr>
              <w:t> </w:t>
            </w:r>
            <w:r>
              <w:rPr>
                <w:sz w:val="20"/>
                <w:lang w:val="en-US"/>
              </w:rPr>
              <w:t xml:space="preserve"> absolute</w:t>
            </w:r>
            <w:r w:rsidRPr="00B54609">
              <w:rPr>
                <w:sz w:val="20"/>
                <w:lang w:val="en-US"/>
              </w:rPr>
              <w:t xml:space="preserve"> mode.</w:t>
            </w:r>
          </w:p>
        </w:tc>
      </w:tr>
    </w:tbl>
    <w:p w14:paraId="7171275F" w14:textId="77777777" w:rsidR="00F113A8" w:rsidRDefault="00315EFC" w:rsidP="00F821D5">
      <w:pPr>
        <w:pStyle w:val="Text"/>
      </w:pPr>
      <w:r>
        <w:t>Above 30 Pa, the pressure differences agree with the expanded uncertainty (</w:t>
      </w:r>
      <w:r w:rsidRPr="00315EFC">
        <w:rPr>
          <w:i/>
        </w:rPr>
        <w:t>k</w:t>
      </w:r>
      <w:r>
        <w:t xml:space="preserve"> = 2) of the </w:t>
      </w:r>
      <w:r w:rsidR="00F113A8">
        <w:t>SES. At lower pressures, the scatter of the pressure differences is bigger than the uncertainty of the SES, but still allows making a conclusion about consistency of the standards on the level of 10 mPa.</w:t>
      </w:r>
    </w:p>
    <w:p w14:paraId="6B049523" w14:textId="3F36E417" w:rsidR="005772C4" w:rsidRPr="00B348BC" w:rsidRDefault="005772C4" w:rsidP="007B6518">
      <w:pPr>
        <w:pStyle w:val="Section"/>
        <w:ind w:firstLine="198"/>
      </w:pPr>
      <w:r>
        <w:rPr>
          <w:noProof/>
        </w:rPr>
        <w:t>4</w:t>
      </w:r>
      <w:r w:rsidRPr="00B348BC">
        <w:rPr>
          <w:rFonts w:hint="eastAsia"/>
        </w:rPr>
        <w:t xml:space="preserve">. </w:t>
      </w:r>
      <w:r w:rsidRPr="005772C4">
        <w:rPr>
          <w:lang w:eastAsia="ko-KR"/>
        </w:rPr>
        <w:t>CONCLUSION</w:t>
      </w:r>
    </w:p>
    <w:p w14:paraId="74E4AF07" w14:textId="77777777" w:rsidR="00FB6B82" w:rsidRDefault="007C5D90" w:rsidP="007B6518">
      <w:pPr>
        <w:pStyle w:val="Text"/>
      </w:pPr>
      <w:r w:rsidRPr="007C5D90">
        <w:t xml:space="preserve">For the theoretical and experimental effective area as well as for pressures generated by the FPG and the </w:t>
      </w:r>
      <w:r w:rsidR="0069182E">
        <w:t xml:space="preserve">3 </w:t>
      </w:r>
    </w:p>
    <w:p w14:paraId="3F7C0DE7" w14:textId="26A3CC63" w:rsidR="007C5D90" w:rsidRDefault="007C5D90" w:rsidP="007B6518">
      <w:pPr>
        <w:pStyle w:val="Text"/>
      </w:pPr>
      <w:r w:rsidRPr="007C5D90">
        <w:t>reference standards</w:t>
      </w:r>
      <w:r w:rsidR="0069182E">
        <w:t xml:space="preserve"> based on different operation principles – the pressure balance, the mercury manometer and the static expansion system – </w:t>
      </w:r>
      <w:r w:rsidRPr="007C5D90">
        <w:t>all the results demonstrate full agreement within the</w:t>
      </w:r>
      <w:r w:rsidR="0069182E">
        <w:t xml:space="preserve"> expanded </w:t>
      </w:r>
      <w:r w:rsidRPr="007C5D90">
        <w:t>uncertainties</w:t>
      </w:r>
      <w:r w:rsidR="0069182E">
        <w:t xml:space="preserve"> (</w:t>
      </w:r>
      <w:r w:rsidR="0069182E" w:rsidRPr="0069182E">
        <w:rPr>
          <w:i/>
        </w:rPr>
        <w:t>k</w:t>
      </w:r>
      <w:r w:rsidR="0069182E">
        <w:t xml:space="preserve"> = 2) of these standards. </w:t>
      </w:r>
      <w:r w:rsidRPr="007C5D90">
        <w:t xml:space="preserve">Herewith, the FPG </w:t>
      </w:r>
      <w:r w:rsidR="0069182E">
        <w:t xml:space="preserve">already </w:t>
      </w:r>
      <w:r w:rsidRPr="007C5D90">
        <w:t>characteri</w:t>
      </w:r>
      <w:r w:rsidR="0069182E">
        <w:t>z</w:t>
      </w:r>
      <w:r w:rsidRPr="007C5D90">
        <w:t>ed as primary pressure standard is validated experimentally</w:t>
      </w:r>
      <w:r w:rsidR="0069182E">
        <w:t xml:space="preserve"> with a support of the FPG standard uncertainty currently estimated as 10 mPa + 6</w:t>
      </w:r>
      <w:r w:rsidR="0069182E">
        <w:sym w:font="Symbol" w:char="F0D7"/>
      </w:r>
      <w:r w:rsidR="0069182E">
        <w:t>10</w:t>
      </w:r>
      <w:r w:rsidR="0069182E" w:rsidRPr="0069182E">
        <w:rPr>
          <w:vertAlign w:val="superscript"/>
        </w:rPr>
        <w:t>-6</w:t>
      </w:r>
      <w:r w:rsidR="0069182E">
        <w:sym w:font="Symbol" w:char="F0B4"/>
      </w:r>
      <w:r w:rsidR="0069182E" w:rsidRPr="0069182E">
        <w:rPr>
          <w:i/>
        </w:rPr>
        <w:t>p</w:t>
      </w:r>
      <w:r w:rsidRPr="007C5D90">
        <w:t xml:space="preserve"> </w:t>
      </w:r>
      <w:r w:rsidR="00FF3EDB">
        <w:t xml:space="preserve">for </w:t>
      </w:r>
      <w:r w:rsidRPr="007C5D90">
        <w:t>the pressure range from about 3</w:t>
      </w:r>
      <w:r w:rsidR="00FF3EDB">
        <w:t> </w:t>
      </w:r>
      <w:r w:rsidRPr="007C5D90">
        <w:t xml:space="preserve">Pa to 15 kPa. </w:t>
      </w:r>
    </w:p>
    <w:p w14:paraId="75D359D4" w14:textId="64FCD4BD" w:rsidR="0002286E" w:rsidRPr="00B348BC" w:rsidRDefault="0002286E" w:rsidP="007B6518">
      <w:pPr>
        <w:pStyle w:val="Section"/>
        <w:ind w:firstLine="198"/>
      </w:pPr>
      <w:r>
        <w:rPr>
          <w:noProof/>
        </w:rPr>
        <w:t>5</w:t>
      </w:r>
      <w:r w:rsidRPr="00B348BC">
        <w:rPr>
          <w:rFonts w:hint="eastAsia"/>
        </w:rPr>
        <w:t xml:space="preserve">. </w:t>
      </w:r>
      <w:r w:rsidRPr="0002286E">
        <w:rPr>
          <w:lang w:eastAsia="ko-KR"/>
        </w:rPr>
        <w:t>ACKNOWLEDGMENTS</w:t>
      </w:r>
    </w:p>
    <w:p w14:paraId="24E6A289" w14:textId="3EF61E50" w:rsidR="007B6518" w:rsidRDefault="007B6518" w:rsidP="007B6518">
      <w:pPr>
        <w:pStyle w:val="Text"/>
      </w:pPr>
      <w:r w:rsidRPr="007B6518">
        <w:t xml:space="preserve">The first author wishes to thank the Egyptian study mission for their support and funding of his scientific mission at PTB. This research was carried out within the EMPIR jointly funded by the EMPIR participating countries within EURAMET and the European Union. </w:t>
      </w:r>
    </w:p>
    <w:p w14:paraId="239B4546" w14:textId="77777777" w:rsidR="0002286E" w:rsidRDefault="0002286E" w:rsidP="0002286E">
      <w:pPr>
        <w:pStyle w:val="Section"/>
      </w:pPr>
      <w:r>
        <w:t>References</w:t>
      </w:r>
    </w:p>
    <w:p w14:paraId="16BD40DC" w14:textId="7F4E3BF2" w:rsidR="0002286E" w:rsidRPr="00FB195B" w:rsidRDefault="0002286E" w:rsidP="0002286E">
      <w:r w:rsidRPr="00FB195B">
        <w:t>[</w:t>
      </w:r>
      <w:r w:rsidR="00C97D41">
        <w:fldChar w:fldCharType="begin"/>
      </w:r>
      <w:r w:rsidR="00C97D41">
        <w:instrText xml:space="preserve"> SEQ CITE \* MERGEFORMAT </w:instrText>
      </w:r>
      <w:r w:rsidR="00C97D41">
        <w:fldChar w:fldCharType="separate"/>
      </w:r>
      <w:r w:rsidR="00856770">
        <w:rPr>
          <w:noProof/>
        </w:rPr>
        <w:t>1</w:t>
      </w:r>
      <w:r w:rsidR="00C97D41">
        <w:rPr>
          <w:noProof/>
        </w:rPr>
        <w:fldChar w:fldCharType="end"/>
      </w:r>
      <w:r w:rsidRPr="00FB195B">
        <w:t xml:space="preserve">] </w:t>
      </w:r>
      <w:r w:rsidRPr="00C72E68">
        <w:rPr>
          <w:lang w:val="en"/>
        </w:rPr>
        <w:t xml:space="preserve">P. </w:t>
      </w:r>
      <w:proofErr w:type="spellStart"/>
      <w:r w:rsidRPr="00C72E68">
        <w:rPr>
          <w:lang w:val="en"/>
        </w:rPr>
        <w:t>Delajoud</w:t>
      </w:r>
      <w:proofErr w:type="spellEnd"/>
      <w:r w:rsidRPr="00C72E68">
        <w:rPr>
          <w:lang w:val="en"/>
        </w:rPr>
        <w:t xml:space="preserve">, M. Girard, </w:t>
      </w:r>
      <w:r>
        <w:rPr>
          <w:lang w:val="en"/>
        </w:rPr>
        <w:t>"</w:t>
      </w:r>
      <w:r w:rsidRPr="00C72E68">
        <w:rPr>
          <w:lang w:val="en"/>
        </w:rPr>
        <w:t>A force balanced piston gauge for very low gauge and</w:t>
      </w:r>
      <w:r>
        <w:rPr>
          <w:lang w:val="en"/>
        </w:rPr>
        <w:t xml:space="preserve"> </w:t>
      </w:r>
      <w:r w:rsidRPr="00C72E68">
        <w:rPr>
          <w:lang w:val="en"/>
        </w:rPr>
        <w:t>absolute pressure</w:t>
      </w:r>
      <w:r>
        <w:rPr>
          <w:lang w:val="en"/>
        </w:rPr>
        <w:t>"</w:t>
      </w:r>
      <w:r w:rsidRPr="00C72E68">
        <w:rPr>
          <w:lang w:val="en"/>
        </w:rPr>
        <w:t xml:space="preserve">, </w:t>
      </w:r>
      <w:r w:rsidRPr="00D656C3">
        <w:rPr>
          <w:i/>
          <w:lang w:val="en"/>
        </w:rPr>
        <w:t xml:space="preserve">Proc. </w:t>
      </w:r>
      <w:proofErr w:type="spellStart"/>
      <w:r w:rsidRPr="00D656C3">
        <w:rPr>
          <w:i/>
          <w:lang w:val="en"/>
        </w:rPr>
        <w:t>Metrol</w:t>
      </w:r>
      <w:proofErr w:type="spellEnd"/>
      <w:r w:rsidRPr="00D656C3">
        <w:rPr>
          <w:i/>
          <w:lang w:val="en"/>
        </w:rPr>
        <w:t>. 2001</w:t>
      </w:r>
      <w:r>
        <w:rPr>
          <w:lang w:val="en"/>
        </w:rPr>
        <w:t xml:space="preserve">, </w:t>
      </w:r>
      <w:r>
        <w:t>22-25 Oct. 2001, St. Louis, France.</w:t>
      </w:r>
    </w:p>
    <w:p w14:paraId="756DF4C3" w14:textId="06947D07" w:rsidR="0002286E" w:rsidRDefault="0002286E" w:rsidP="0002286E">
      <w:r w:rsidRPr="00FB195B">
        <w:t>[</w:t>
      </w:r>
      <w:r w:rsidR="00C97D41">
        <w:fldChar w:fldCharType="begin"/>
      </w:r>
      <w:r w:rsidR="00C97D41">
        <w:instrText xml:space="preserve"> SEQ CITE \* MERGEFORMAT </w:instrText>
      </w:r>
      <w:r w:rsidR="00C97D41">
        <w:fldChar w:fldCharType="separate"/>
      </w:r>
      <w:r w:rsidR="00856770">
        <w:rPr>
          <w:noProof/>
        </w:rPr>
        <w:t>2</w:t>
      </w:r>
      <w:r w:rsidR="00C97D41">
        <w:rPr>
          <w:noProof/>
        </w:rPr>
        <w:fldChar w:fldCharType="end"/>
      </w:r>
      <w:r w:rsidRPr="00FB195B">
        <w:t xml:space="preserve">] </w:t>
      </w:r>
      <w:r>
        <w:t xml:space="preserve">A. Hashad, S. Ehlers, O. </w:t>
      </w:r>
      <w:proofErr w:type="spellStart"/>
      <w:r>
        <w:t>Jusko</w:t>
      </w:r>
      <w:proofErr w:type="spellEnd"/>
      <w:r>
        <w:t>, W. Sabuga</w:t>
      </w:r>
      <w:r w:rsidRPr="00FB195B">
        <w:t xml:space="preserve">, </w:t>
      </w:r>
      <w:r>
        <w:t>"Characterization of a force-balanced piston gauge as a primary pressure standard"</w:t>
      </w:r>
      <w:r w:rsidRPr="00FB195B">
        <w:t xml:space="preserve">, </w:t>
      </w:r>
      <w:r w:rsidRPr="000C37AC">
        <w:rPr>
          <w:rStyle w:val="JournalName0"/>
        </w:rPr>
        <w:t>Measurement</w:t>
      </w:r>
      <w:r w:rsidRPr="00FB195B">
        <w:t xml:space="preserve">, Vol. </w:t>
      </w:r>
      <w:r>
        <w:t>131</w:t>
      </w:r>
      <w:r w:rsidRPr="00FB195B">
        <w:t xml:space="preserve">, pp. </w:t>
      </w:r>
      <w:r>
        <w:t>723-729</w:t>
      </w:r>
      <w:r w:rsidRPr="00FB195B">
        <w:t>, 201</w:t>
      </w:r>
      <w:r>
        <w:t>9</w:t>
      </w:r>
      <w:r w:rsidRPr="00FB195B">
        <w:t>.</w:t>
      </w:r>
    </w:p>
    <w:p w14:paraId="1653C990" w14:textId="77777777" w:rsidR="0002286E" w:rsidRDefault="0002286E" w:rsidP="0002286E">
      <w:r w:rsidRPr="00FB195B">
        <w:t>[</w:t>
      </w:r>
      <w:r>
        <w:t>3</w:t>
      </w:r>
      <w:r w:rsidRPr="00FB195B">
        <w:t xml:space="preserve">] </w:t>
      </w:r>
      <w:proofErr w:type="spellStart"/>
      <w:proofErr w:type="gramStart"/>
      <w:r>
        <w:t>S.</w:t>
      </w:r>
      <w:r w:rsidRPr="00133799">
        <w:t>Naris</w:t>
      </w:r>
      <w:proofErr w:type="spellEnd"/>
      <w:proofErr w:type="gramEnd"/>
      <w:r w:rsidRPr="00133799">
        <w:t xml:space="preserve">, </w:t>
      </w:r>
      <w:r>
        <w:t xml:space="preserve">N. </w:t>
      </w:r>
      <w:proofErr w:type="spellStart"/>
      <w:r w:rsidRPr="00133799">
        <w:t>Vasileiadis</w:t>
      </w:r>
      <w:proofErr w:type="spellEnd"/>
      <w:r w:rsidRPr="00133799">
        <w:t xml:space="preserve">, </w:t>
      </w:r>
      <w:r>
        <w:t xml:space="preserve">D. </w:t>
      </w:r>
      <w:proofErr w:type="spellStart"/>
      <w:r w:rsidRPr="00133799">
        <w:t>Valougeorgis</w:t>
      </w:r>
      <w:proofErr w:type="spellEnd"/>
      <w:r w:rsidRPr="00133799">
        <w:t xml:space="preserve">, </w:t>
      </w:r>
      <w:r>
        <w:t>A. </w:t>
      </w:r>
      <w:r w:rsidRPr="00133799">
        <w:t xml:space="preserve">Hashad, </w:t>
      </w:r>
      <w:r>
        <w:t xml:space="preserve">W. </w:t>
      </w:r>
      <w:r w:rsidRPr="00133799">
        <w:t>Sabuga</w:t>
      </w:r>
      <w:r w:rsidRPr="00FB195B">
        <w:t xml:space="preserve">, </w:t>
      </w:r>
      <w:r>
        <w:t>"</w:t>
      </w:r>
      <w:r w:rsidRPr="00A0262C">
        <w:t>Computation of the effective area and associated uncertainties of non-rotating piston gauges FPG and FRS</w:t>
      </w:r>
      <w:r>
        <w:t>"</w:t>
      </w:r>
      <w:r w:rsidRPr="00FB195B">
        <w:t xml:space="preserve">, </w:t>
      </w:r>
      <w:proofErr w:type="spellStart"/>
      <w:r w:rsidRPr="00D656C3">
        <w:rPr>
          <w:i/>
        </w:rPr>
        <w:t>Metrologia</w:t>
      </w:r>
      <w:proofErr w:type="spellEnd"/>
      <w:r w:rsidRPr="00A0262C">
        <w:t xml:space="preserve">, </w:t>
      </w:r>
      <w:r>
        <w:t>Vol. 56, pp.</w:t>
      </w:r>
      <w:r w:rsidRPr="00A0262C">
        <w:t>1-10</w:t>
      </w:r>
      <w:r>
        <w:t>,</w:t>
      </w:r>
      <w:r w:rsidRPr="00FB195B">
        <w:t xml:space="preserve"> 201</w:t>
      </w:r>
      <w:r>
        <w:t>9</w:t>
      </w:r>
      <w:r w:rsidRPr="00FB195B">
        <w:t>.</w:t>
      </w:r>
    </w:p>
    <w:p w14:paraId="2768625F" w14:textId="77777777" w:rsidR="0002286E" w:rsidRDefault="0002286E" w:rsidP="0002286E">
      <w:r>
        <w:t xml:space="preserve">[4] W. Sabuga, T. </w:t>
      </w:r>
      <w:proofErr w:type="spellStart"/>
      <w:r>
        <w:t>Priruenrom</w:t>
      </w:r>
      <w:proofErr w:type="spellEnd"/>
      <w:r>
        <w:t>, R. Haines, M. Bair, "Design and evaluation of pressure balances with 1</w:t>
      </w:r>
      <w:r>
        <w:sym w:font="Symbol" w:char="F0D7"/>
      </w:r>
      <w:r>
        <w:t>10</w:t>
      </w:r>
      <w:r w:rsidRPr="00D656C3">
        <w:rPr>
          <w:vertAlign w:val="superscript"/>
        </w:rPr>
        <w:t>-6</w:t>
      </w:r>
      <w:r>
        <w:t xml:space="preserve"> uncertainty for the Boltzmann constant project", </w:t>
      </w:r>
      <w:r w:rsidRPr="00D656C3">
        <w:rPr>
          <w:i/>
        </w:rPr>
        <w:t>PTB-</w:t>
      </w:r>
      <w:proofErr w:type="spellStart"/>
      <w:r w:rsidRPr="00D656C3">
        <w:rPr>
          <w:i/>
        </w:rPr>
        <w:t>Mitteilungen</w:t>
      </w:r>
      <w:proofErr w:type="spellEnd"/>
      <w:r>
        <w:t>, Vol. 121, pp. 256-259, 2011.</w:t>
      </w:r>
    </w:p>
    <w:p w14:paraId="6A928DCE" w14:textId="77777777" w:rsidR="0002286E" w:rsidRDefault="0002286E" w:rsidP="0002286E">
      <w:r>
        <w:t xml:space="preserve">[5] T. Zandt, W. Sabuga, C. </w:t>
      </w:r>
      <w:proofErr w:type="spellStart"/>
      <w:r>
        <w:t>Gaiser</w:t>
      </w:r>
      <w:proofErr w:type="spellEnd"/>
      <w:r>
        <w:t xml:space="preserve">, B. </w:t>
      </w:r>
      <w:proofErr w:type="spellStart"/>
      <w:r>
        <w:t>Fellmuth</w:t>
      </w:r>
      <w:proofErr w:type="spellEnd"/>
      <w:r>
        <w:t xml:space="preserve">, "Measurement of pressures up to 7 MPa applying pressure balances for dielectric-constant gas thermometry", </w:t>
      </w:r>
      <w:proofErr w:type="spellStart"/>
      <w:r w:rsidRPr="00D656C3">
        <w:rPr>
          <w:i/>
        </w:rPr>
        <w:t>Metrologia</w:t>
      </w:r>
      <w:proofErr w:type="spellEnd"/>
      <w:r>
        <w:t>, Vol. 52, pp. S305–S313, 2015.</w:t>
      </w:r>
    </w:p>
    <w:p w14:paraId="135719FD" w14:textId="77777777" w:rsidR="0002286E" w:rsidRDefault="0002286E" w:rsidP="0002286E">
      <w:r>
        <w:t xml:space="preserve">[6] FPG8601™/VLPC™, Operation and Maintenance Manual, </w:t>
      </w:r>
      <w:r w:rsidRPr="00A00FC2">
        <w:t>DH Instruments, a Fluke Company</w:t>
      </w:r>
      <w:r>
        <w:t xml:space="preserve">, </w:t>
      </w:r>
      <w:r w:rsidRPr="00A00FC2">
        <w:t>2007</w:t>
      </w:r>
      <w:r>
        <w:t>.</w:t>
      </w:r>
    </w:p>
    <w:p w14:paraId="0F8CC5F2" w14:textId="77777777" w:rsidR="0002286E" w:rsidRDefault="0002286E" w:rsidP="0002286E">
      <w:r w:rsidRPr="00FB195B">
        <w:t>[</w:t>
      </w:r>
      <w:r>
        <w:t>7</w:t>
      </w:r>
      <w:r w:rsidRPr="00FB195B">
        <w:t xml:space="preserve">] </w:t>
      </w:r>
      <w:r>
        <w:t xml:space="preserve">J. </w:t>
      </w:r>
      <w:proofErr w:type="spellStart"/>
      <w:r>
        <w:t>Jäger</w:t>
      </w:r>
      <w:proofErr w:type="spellEnd"/>
      <w:r w:rsidRPr="00FB195B">
        <w:t xml:space="preserve">, </w:t>
      </w:r>
      <w:r>
        <w:t>"</w:t>
      </w:r>
      <w:r w:rsidRPr="00C87C2D">
        <w:t>Use of a precision mercury manometer with capacitance sensing of the menisci</w:t>
      </w:r>
      <w:r>
        <w:t>"</w:t>
      </w:r>
      <w:r w:rsidRPr="00FB195B">
        <w:t xml:space="preserve">, </w:t>
      </w:r>
      <w:proofErr w:type="spellStart"/>
      <w:r w:rsidRPr="0049786B">
        <w:rPr>
          <w:i/>
        </w:rPr>
        <w:t>Metrologia</w:t>
      </w:r>
      <w:proofErr w:type="spellEnd"/>
      <w:r w:rsidRPr="00A0262C">
        <w:t xml:space="preserve">, </w:t>
      </w:r>
      <w:r>
        <w:t>Vol. 30, pp.553-558,</w:t>
      </w:r>
      <w:r w:rsidRPr="00FB195B">
        <w:t xml:space="preserve"> </w:t>
      </w:r>
      <w:r>
        <w:t>1993/94</w:t>
      </w:r>
      <w:r w:rsidRPr="00FB195B">
        <w:t>.</w:t>
      </w:r>
    </w:p>
    <w:p w14:paraId="26928FE2" w14:textId="77777777" w:rsidR="0002286E" w:rsidRPr="00943B21" w:rsidRDefault="0002286E" w:rsidP="0002286E">
      <w:r>
        <w:fldChar w:fldCharType="begin" w:fldLock="1"/>
      </w:r>
      <w:r>
        <w:instrText xml:space="preserve">ADDIN Mendeley Bibliography CSL_BIBLIOGRAPHY </w:instrText>
      </w:r>
      <w:r>
        <w:fldChar w:fldCharType="separate"/>
      </w:r>
      <w:r w:rsidRPr="00943B21">
        <w:t>[8]</w:t>
      </w:r>
      <w:r>
        <w:t xml:space="preserve"> </w:t>
      </w:r>
      <w:r w:rsidRPr="00943B21">
        <w:t xml:space="preserve">T. Bock, H. Ahrendt, and K. Jousten, </w:t>
      </w:r>
      <w:r>
        <w:t>"</w:t>
      </w:r>
      <w:r w:rsidRPr="00943B21">
        <w:t>Reduction of the uncertainty of the PTB vacuum pressure scale by a new large area non-rotating piston gauge</w:t>
      </w:r>
      <w:r>
        <w:t>",</w:t>
      </w:r>
      <w:r w:rsidRPr="00943B21">
        <w:t xml:space="preserve"> </w:t>
      </w:r>
      <w:r w:rsidRPr="00AC175F">
        <w:rPr>
          <w:i/>
        </w:rPr>
        <w:t>Metrologia</w:t>
      </w:r>
      <w:r w:rsidRPr="00943B21">
        <w:t xml:space="preserve">, </w:t>
      </w:r>
      <w:r>
        <w:t>V</w:t>
      </w:r>
      <w:r w:rsidRPr="00943B21">
        <w:t xml:space="preserve">ol. 46, </w:t>
      </w:r>
      <w:r>
        <w:t>N</w:t>
      </w:r>
      <w:r w:rsidRPr="00943B21">
        <w:t>o. 5, pp. 389–396, 2009.</w:t>
      </w:r>
    </w:p>
    <w:p w14:paraId="38DE558C" w14:textId="3280D36B" w:rsidR="00111CAD" w:rsidRDefault="0002286E" w:rsidP="007B6518">
      <w:r>
        <w:fldChar w:fldCharType="end"/>
      </w:r>
    </w:p>
    <w:sectPr w:rsidR="00111CAD" w:rsidSect="007B6518">
      <w:type w:val="continuous"/>
      <w:pgSz w:w="11906" w:h="16838" w:code="9"/>
      <w:pgMar w:top="1418" w:right="1134" w:bottom="1418"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9A7B5" w14:textId="77777777" w:rsidR="00C97D41" w:rsidRDefault="00C97D41" w:rsidP="008F64DB">
      <w:r>
        <w:separator/>
      </w:r>
    </w:p>
  </w:endnote>
  <w:endnote w:type="continuationSeparator" w:id="0">
    <w:p w14:paraId="57345A5C" w14:textId="77777777" w:rsidR="00C97D41" w:rsidRDefault="00C97D41" w:rsidP="008F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A0BCB" w14:textId="77777777" w:rsidR="00C97D41" w:rsidRDefault="00C97D41" w:rsidP="008F64DB">
      <w:r>
        <w:separator/>
      </w:r>
    </w:p>
  </w:footnote>
  <w:footnote w:type="continuationSeparator" w:id="0">
    <w:p w14:paraId="123EB19D" w14:textId="77777777" w:rsidR="00C97D41" w:rsidRDefault="00C97D41" w:rsidP="008F6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2C03D7"/>
    <w:multiLevelType w:val="singleLevel"/>
    <w:tmpl w:val="C58E8924"/>
    <w:lvl w:ilvl="0">
      <w:start w:val="1"/>
      <w:numFmt w:val="none"/>
      <w:lvlText w:val="Keywords: "/>
      <w:legacy w:legacy="1" w:legacySpace="0" w:legacyIndent="360"/>
      <w:lvlJc w:val="left"/>
      <w:pPr>
        <w:ind w:left="360" w:hanging="360"/>
      </w:pPr>
      <w:rPr>
        <w:b/>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hyphenationZone w:val="425"/>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DB"/>
    <w:rsid w:val="00004372"/>
    <w:rsid w:val="00020E4B"/>
    <w:rsid w:val="00021D0C"/>
    <w:rsid w:val="0002286E"/>
    <w:rsid w:val="000252A8"/>
    <w:rsid w:val="000323AF"/>
    <w:rsid w:val="000330C5"/>
    <w:rsid w:val="00036626"/>
    <w:rsid w:val="000379AE"/>
    <w:rsid w:val="00040C3F"/>
    <w:rsid w:val="00050941"/>
    <w:rsid w:val="00065097"/>
    <w:rsid w:val="0006647E"/>
    <w:rsid w:val="0008226B"/>
    <w:rsid w:val="00083C34"/>
    <w:rsid w:val="00086F31"/>
    <w:rsid w:val="00097B90"/>
    <w:rsid w:val="00097DFD"/>
    <w:rsid w:val="000A0179"/>
    <w:rsid w:val="000A29E7"/>
    <w:rsid w:val="000B11E2"/>
    <w:rsid w:val="000B301F"/>
    <w:rsid w:val="000C37AC"/>
    <w:rsid w:val="000D61AC"/>
    <w:rsid w:val="000E3EB6"/>
    <w:rsid w:val="000F1CB7"/>
    <w:rsid w:val="000F3BB8"/>
    <w:rsid w:val="000F4AAB"/>
    <w:rsid w:val="0010123D"/>
    <w:rsid w:val="00106698"/>
    <w:rsid w:val="00111CAD"/>
    <w:rsid w:val="00120710"/>
    <w:rsid w:val="001211A8"/>
    <w:rsid w:val="00127B06"/>
    <w:rsid w:val="00133799"/>
    <w:rsid w:val="00135986"/>
    <w:rsid w:val="001535F3"/>
    <w:rsid w:val="001569C1"/>
    <w:rsid w:val="00160F69"/>
    <w:rsid w:val="001756E4"/>
    <w:rsid w:val="0017736C"/>
    <w:rsid w:val="00177996"/>
    <w:rsid w:val="001830AD"/>
    <w:rsid w:val="00184B3C"/>
    <w:rsid w:val="001B00C2"/>
    <w:rsid w:val="001B0A40"/>
    <w:rsid w:val="001C35F8"/>
    <w:rsid w:val="001D6965"/>
    <w:rsid w:val="001E14C2"/>
    <w:rsid w:val="001F6C81"/>
    <w:rsid w:val="002002E6"/>
    <w:rsid w:val="00201951"/>
    <w:rsid w:val="00204C2E"/>
    <w:rsid w:val="00223E8E"/>
    <w:rsid w:val="002261A9"/>
    <w:rsid w:val="00241AD3"/>
    <w:rsid w:val="00243541"/>
    <w:rsid w:val="00254EA6"/>
    <w:rsid w:val="002715DC"/>
    <w:rsid w:val="00275FA1"/>
    <w:rsid w:val="00281C84"/>
    <w:rsid w:val="00283CEA"/>
    <w:rsid w:val="002A56CA"/>
    <w:rsid w:val="002B7516"/>
    <w:rsid w:val="002C1792"/>
    <w:rsid w:val="002C5FDE"/>
    <w:rsid w:val="002C76F1"/>
    <w:rsid w:val="002D0404"/>
    <w:rsid w:val="002D0F43"/>
    <w:rsid w:val="002F03E8"/>
    <w:rsid w:val="002F0BFE"/>
    <w:rsid w:val="003025FC"/>
    <w:rsid w:val="00315EFC"/>
    <w:rsid w:val="00330BA1"/>
    <w:rsid w:val="0034528C"/>
    <w:rsid w:val="003474C4"/>
    <w:rsid w:val="0035143C"/>
    <w:rsid w:val="003600A3"/>
    <w:rsid w:val="00361D04"/>
    <w:rsid w:val="003649D0"/>
    <w:rsid w:val="00371750"/>
    <w:rsid w:val="00387C70"/>
    <w:rsid w:val="003925D2"/>
    <w:rsid w:val="0039753A"/>
    <w:rsid w:val="003A0139"/>
    <w:rsid w:val="003A082E"/>
    <w:rsid w:val="003A228D"/>
    <w:rsid w:val="003A257D"/>
    <w:rsid w:val="003A35F0"/>
    <w:rsid w:val="003A3A9C"/>
    <w:rsid w:val="003A46A2"/>
    <w:rsid w:val="003D40A9"/>
    <w:rsid w:val="003D5FB6"/>
    <w:rsid w:val="003E0C23"/>
    <w:rsid w:val="003F0BE3"/>
    <w:rsid w:val="003F37D3"/>
    <w:rsid w:val="003F74EF"/>
    <w:rsid w:val="00407679"/>
    <w:rsid w:val="004107B1"/>
    <w:rsid w:val="00414862"/>
    <w:rsid w:val="0042085E"/>
    <w:rsid w:val="00427346"/>
    <w:rsid w:val="00435068"/>
    <w:rsid w:val="00454F86"/>
    <w:rsid w:val="004555D6"/>
    <w:rsid w:val="00456348"/>
    <w:rsid w:val="00456671"/>
    <w:rsid w:val="00456B31"/>
    <w:rsid w:val="00457CD8"/>
    <w:rsid w:val="00461DD4"/>
    <w:rsid w:val="004716BC"/>
    <w:rsid w:val="00471D94"/>
    <w:rsid w:val="00491219"/>
    <w:rsid w:val="00494D95"/>
    <w:rsid w:val="00495FD8"/>
    <w:rsid w:val="00496060"/>
    <w:rsid w:val="00496A19"/>
    <w:rsid w:val="004A263D"/>
    <w:rsid w:val="004A4AF5"/>
    <w:rsid w:val="004B31AE"/>
    <w:rsid w:val="004B7407"/>
    <w:rsid w:val="004C2726"/>
    <w:rsid w:val="004E76A4"/>
    <w:rsid w:val="004F19E5"/>
    <w:rsid w:val="00500A26"/>
    <w:rsid w:val="0050533D"/>
    <w:rsid w:val="00514359"/>
    <w:rsid w:val="005219F5"/>
    <w:rsid w:val="0053023E"/>
    <w:rsid w:val="005441FA"/>
    <w:rsid w:val="00547053"/>
    <w:rsid w:val="00550EB8"/>
    <w:rsid w:val="00551924"/>
    <w:rsid w:val="005521A8"/>
    <w:rsid w:val="005529C8"/>
    <w:rsid w:val="00556D07"/>
    <w:rsid w:val="005645AF"/>
    <w:rsid w:val="0057047A"/>
    <w:rsid w:val="005772C4"/>
    <w:rsid w:val="005855B1"/>
    <w:rsid w:val="00585FC7"/>
    <w:rsid w:val="00590BF0"/>
    <w:rsid w:val="005B0089"/>
    <w:rsid w:val="005C302E"/>
    <w:rsid w:val="005C6077"/>
    <w:rsid w:val="005D677A"/>
    <w:rsid w:val="005E185E"/>
    <w:rsid w:val="005F7104"/>
    <w:rsid w:val="00605158"/>
    <w:rsid w:val="0060586C"/>
    <w:rsid w:val="00607BA6"/>
    <w:rsid w:val="00611226"/>
    <w:rsid w:val="006163AB"/>
    <w:rsid w:val="006165E6"/>
    <w:rsid w:val="00617E00"/>
    <w:rsid w:val="00622428"/>
    <w:rsid w:val="00630B4B"/>
    <w:rsid w:val="006442BF"/>
    <w:rsid w:val="00644B24"/>
    <w:rsid w:val="0064765E"/>
    <w:rsid w:val="00651AC3"/>
    <w:rsid w:val="00653726"/>
    <w:rsid w:val="006538D9"/>
    <w:rsid w:val="00667D5C"/>
    <w:rsid w:val="00671326"/>
    <w:rsid w:val="00672890"/>
    <w:rsid w:val="0069182E"/>
    <w:rsid w:val="00694F58"/>
    <w:rsid w:val="0069774E"/>
    <w:rsid w:val="006C5133"/>
    <w:rsid w:val="006D5E3B"/>
    <w:rsid w:val="006D7BE8"/>
    <w:rsid w:val="006E3B8A"/>
    <w:rsid w:val="006E5182"/>
    <w:rsid w:val="006F2178"/>
    <w:rsid w:val="00707D32"/>
    <w:rsid w:val="00710FD0"/>
    <w:rsid w:val="00711D25"/>
    <w:rsid w:val="00733153"/>
    <w:rsid w:val="00737BA2"/>
    <w:rsid w:val="00766B78"/>
    <w:rsid w:val="007736E0"/>
    <w:rsid w:val="0078461C"/>
    <w:rsid w:val="00785605"/>
    <w:rsid w:val="00785D65"/>
    <w:rsid w:val="00791BDD"/>
    <w:rsid w:val="007939B6"/>
    <w:rsid w:val="00793CEE"/>
    <w:rsid w:val="00794A61"/>
    <w:rsid w:val="007B6518"/>
    <w:rsid w:val="007C5D90"/>
    <w:rsid w:val="007D4586"/>
    <w:rsid w:val="007E5BF5"/>
    <w:rsid w:val="007F0110"/>
    <w:rsid w:val="00804421"/>
    <w:rsid w:val="008046C8"/>
    <w:rsid w:val="00804B0B"/>
    <w:rsid w:val="00820DC1"/>
    <w:rsid w:val="00825DBB"/>
    <w:rsid w:val="00833FFB"/>
    <w:rsid w:val="008375F5"/>
    <w:rsid w:val="00841E99"/>
    <w:rsid w:val="00845E1D"/>
    <w:rsid w:val="00845FFB"/>
    <w:rsid w:val="00846B88"/>
    <w:rsid w:val="00851AD6"/>
    <w:rsid w:val="00856770"/>
    <w:rsid w:val="00857CDE"/>
    <w:rsid w:val="00863851"/>
    <w:rsid w:val="00864944"/>
    <w:rsid w:val="0088001A"/>
    <w:rsid w:val="00884CBE"/>
    <w:rsid w:val="008850B7"/>
    <w:rsid w:val="00885200"/>
    <w:rsid w:val="0088627F"/>
    <w:rsid w:val="00886C48"/>
    <w:rsid w:val="008A2E93"/>
    <w:rsid w:val="008B0E5F"/>
    <w:rsid w:val="008B6EB7"/>
    <w:rsid w:val="008C303B"/>
    <w:rsid w:val="008C53DA"/>
    <w:rsid w:val="008C5B03"/>
    <w:rsid w:val="008E4EFE"/>
    <w:rsid w:val="008F085B"/>
    <w:rsid w:val="008F4FB4"/>
    <w:rsid w:val="008F64DB"/>
    <w:rsid w:val="008F693A"/>
    <w:rsid w:val="00900FF4"/>
    <w:rsid w:val="009064D0"/>
    <w:rsid w:val="00906ABB"/>
    <w:rsid w:val="00906F3F"/>
    <w:rsid w:val="009074EC"/>
    <w:rsid w:val="0092089D"/>
    <w:rsid w:val="00920E14"/>
    <w:rsid w:val="009307BB"/>
    <w:rsid w:val="009333A7"/>
    <w:rsid w:val="00935E46"/>
    <w:rsid w:val="00940C8D"/>
    <w:rsid w:val="00944F4D"/>
    <w:rsid w:val="0094687E"/>
    <w:rsid w:val="00946C70"/>
    <w:rsid w:val="0094760F"/>
    <w:rsid w:val="00947656"/>
    <w:rsid w:val="00950DAF"/>
    <w:rsid w:val="00954534"/>
    <w:rsid w:val="00956668"/>
    <w:rsid w:val="009629C5"/>
    <w:rsid w:val="00967415"/>
    <w:rsid w:val="00976FE3"/>
    <w:rsid w:val="009809D7"/>
    <w:rsid w:val="00984691"/>
    <w:rsid w:val="009878C7"/>
    <w:rsid w:val="00992897"/>
    <w:rsid w:val="0099489E"/>
    <w:rsid w:val="009B2723"/>
    <w:rsid w:val="009B3CF6"/>
    <w:rsid w:val="009C0023"/>
    <w:rsid w:val="009D057F"/>
    <w:rsid w:val="009E129E"/>
    <w:rsid w:val="009E49E2"/>
    <w:rsid w:val="009F1A90"/>
    <w:rsid w:val="00A00FC2"/>
    <w:rsid w:val="00A0262C"/>
    <w:rsid w:val="00A16713"/>
    <w:rsid w:val="00A361E1"/>
    <w:rsid w:val="00A43A93"/>
    <w:rsid w:val="00A57B01"/>
    <w:rsid w:val="00A60C04"/>
    <w:rsid w:val="00A61B0E"/>
    <w:rsid w:val="00A6414E"/>
    <w:rsid w:val="00A647D8"/>
    <w:rsid w:val="00A670DD"/>
    <w:rsid w:val="00A7253A"/>
    <w:rsid w:val="00A76417"/>
    <w:rsid w:val="00A92B52"/>
    <w:rsid w:val="00A950F9"/>
    <w:rsid w:val="00AA4C88"/>
    <w:rsid w:val="00AA55C3"/>
    <w:rsid w:val="00AC175F"/>
    <w:rsid w:val="00AC1CFA"/>
    <w:rsid w:val="00AE617A"/>
    <w:rsid w:val="00AF015A"/>
    <w:rsid w:val="00AF7598"/>
    <w:rsid w:val="00B0250F"/>
    <w:rsid w:val="00B02A15"/>
    <w:rsid w:val="00B073DA"/>
    <w:rsid w:val="00B10E8C"/>
    <w:rsid w:val="00B12E92"/>
    <w:rsid w:val="00B24F48"/>
    <w:rsid w:val="00B25817"/>
    <w:rsid w:val="00B2786C"/>
    <w:rsid w:val="00B43BAC"/>
    <w:rsid w:val="00B54609"/>
    <w:rsid w:val="00B5655C"/>
    <w:rsid w:val="00B625D9"/>
    <w:rsid w:val="00B722C6"/>
    <w:rsid w:val="00B7353F"/>
    <w:rsid w:val="00B752A9"/>
    <w:rsid w:val="00B825D5"/>
    <w:rsid w:val="00B950AA"/>
    <w:rsid w:val="00B957EB"/>
    <w:rsid w:val="00BA4A32"/>
    <w:rsid w:val="00BA5690"/>
    <w:rsid w:val="00BB422D"/>
    <w:rsid w:val="00BC1353"/>
    <w:rsid w:val="00BC6250"/>
    <w:rsid w:val="00BD22C9"/>
    <w:rsid w:val="00BD5E6F"/>
    <w:rsid w:val="00BE1CBE"/>
    <w:rsid w:val="00BF1E7A"/>
    <w:rsid w:val="00BF7095"/>
    <w:rsid w:val="00C004F6"/>
    <w:rsid w:val="00C01A80"/>
    <w:rsid w:val="00C053E7"/>
    <w:rsid w:val="00C119F5"/>
    <w:rsid w:val="00C222A2"/>
    <w:rsid w:val="00C22F88"/>
    <w:rsid w:val="00C268AD"/>
    <w:rsid w:val="00C27884"/>
    <w:rsid w:val="00C44817"/>
    <w:rsid w:val="00C452B4"/>
    <w:rsid w:val="00C473F9"/>
    <w:rsid w:val="00C54592"/>
    <w:rsid w:val="00C5459A"/>
    <w:rsid w:val="00C64363"/>
    <w:rsid w:val="00C65773"/>
    <w:rsid w:val="00C72E68"/>
    <w:rsid w:val="00C735BF"/>
    <w:rsid w:val="00C775FF"/>
    <w:rsid w:val="00C83B55"/>
    <w:rsid w:val="00C87610"/>
    <w:rsid w:val="00C87C2D"/>
    <w:rsid w:val="00C9633D"/>
    <w:rsid w:val="00C97D41"/>
    <w:rsid w:val="00CA64DB"/>
    <w:rsid w:val="00CB0D41"/>
    <w:rsid w:val="00CB2B45"/>
    <w:rsid w:val="00CB390F"/>
    <w:rsid w:val="00CC17FB"/>
    <w:rsid w:val="00CC4B3D"/>
    <w:rsid w:val="00CC4DEE"/>
    <w:rsid w:val="00CC765A"/>
    <w:rsid w:val="00CD2F63"/>
    <w:rsid w:val="00CE2EEA"/>
    <w:rsid w:val="00CF0C80"/>
    <w:rsid w:val="00CF18A4"/>
    <w:rsid w:val="00D018D1"/>
    <w:rsid w:val="00D04DB7"/>
    <w:rsid w:val="00D17F3A"/>
    <w:rsid w:val="00D17F52"/>
    <w:rsid w:val="00D21685"/>
    <w:rsid w:val="00D225E5"/>
    <w:rsid w:val="00D44720"/>
    <w:rsid w:val="00D45A60"/>
    <w:rsid w:val="00D47CFD"/>
    <w:rsid w:val="00D5680D"/>
    <w:rsid w:val="00D656C3"/>
    <w:rsid w:val="00D729D6"/>
    <w:rsid w:val="00D91F14"/>
    <w:rsid w:val="00D96FC3"/>
    <w:rsid w:val="00DA0149"/>
    <w:rsid w:val="00DA4811"/>
    <w:rsid w:val="00DB0B3A"/>
    <w:rsid w:val="00DB1FFD"/>
    <w:rsid w:val="00DB2756"/>
    <w:rsid w:val="00DB3541"/>
    <w:rsid w:val="00DB40AF"/>
    <w:rsid w:val="00DB6ACD"/>
    <w:rsid w:val="00DC4DA8"/>
    <w:rsid w:val="00DC5383"/>
    <w:rsid w:val="00DD29F6"/>
    <w:rsid w:val="00DD7E6F"/>
    <w:rsid w:val="00DE7C5D"/>
    <w:rsid w:val="00DE7F9F"/>
    <w:rsid w:val="00DF5816"/>
    <w:rsid w:val="00E01558"/>
    <w:rsid w:val="00E120D7"/>
    <w:rsid w:val="00E1448A"/>
    <w:rsid w:val="00E27668"/>
    <w:rsid w:val="00E31789"/>
    <w:rsid w:val="00E42448"/>
    <w:rsid w:val="00E47BE0"/>
    <w:rsid w:val="00E5119D"/>
    <w:rsid w:val="00E5432A"/>
    <w:rsid w:val="00E642DB"/>
    <w:rsid w:val="00E650DE"/>
    <w:rsid w:val="00E74EF6"/>
    <w:rsid w:val="00E8732E"/>
    <w:rsid w:val="00E91D35"/>
    <w:rsid w:val="00E95FB5"/>
    <w:rsid w:val="00EA5882"/>
    <w:rsid w:val="00EB0F02"/>
    <w:rsid w:val="00EB3C4D"/>
    <w:rsid w:val="00EC6CE4"/>
    <w:rsid w:val="00ED7BCF"/>
    <w:rsid w:val="00EE0EEC"/>
    <w:rsid w:val="00EF11D3"/>
    <w:rsid w:val="00EF3AFB"/>
    <w:rsid w:val="00F0069B"/>
    <w:rsid w:val="00F024FE"/>
    <w:rsid w:val="00F02CE5"/>
    <w:rsid w:val="00F113A8"/>
    <w:rsid w:val="00F12494"/>
    <w:rsid w:val="00F1375E"/>
    <w:rsid w:val="00F21D0A"/>
    <w:rsid w:val="00F33ABF"/>
    <w:rsid w:val="00F35EBD"/>
    <w:rsid w:val="00F364ED"/>
    <w:rsid w:val="00F50A7C"/>
    <w:rsid w:val="00F6007A"/>
    <w:rsid w:val="00F60A10"/>
    <w:rsid w:val="00F653A9"/>
    <w:rsid w:val="00F71AF0"/>
    <w:rsid w:val="00F721FC"/>
    <w:rsid w:val="00F72A38"/>
    <w:rsid w:val="00F821D5"/>
    <w:rsid w:val="00F84B3C"/>
    <w:rsid w:val="00F85A8D"/>
    <w:rsid w:val="00F92C31"/>
    <w:rsid w:val="00FA2E73"/>
    <w:rsid w:val="00FB21EE"/>
    <w:rsid w:val="00FB6B82"/>
    <w:rsid w:val="00FC507D"/>
    <w:rsid w:val="00FC7FC1"/>
    <w:rsid w:val="00FD5559"/>
    <w:rsid w:val="00FD78A4"/>
    <w:rsid w:val="00FF270E"/>
    <w:rsid w:val="00FF3ED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2BD759"/>
  <w15:docId w15:val="{8AECCA36-7491-4C4D-8446-7948D728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64DB"/>
    <w:pPr>
      <w:overflowPunct w:val="0"/>
      <w:autoSpaceDE w:val="0"/>
      <w:autoSpaceDN w:val="0"/>
      <w:adjustRightInd w:val="0"/>
      <w:spacing w:after="0" w:line="240" w:lineRule="auto"/>
      <w:textAlignment w:val="baseline"/>
    </w:pPr>
    <w:rPr>
      <w:rFonts w:ascii="Times New Roman" w:eastAsia="Batang" w:hAnsi="Times New Roman" w:cs="Times New Roman"/>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basedOn w:val="Normal"/>
    <w:next w:val="BodyofPaper"/>
    <w:rsid w:val="008F64DB"/>
    <w:pPr>
      <w:jc w:val="center"/>
    </w:pPr>
    <w:rPr>
      <w:b/>
      <w:sz w:val="32"/>
    </w:rPr>
  </w:style>
  <w:style w:type="paragraph" w:customStyle="1" w:styleId="BodyofPaper">
    <w:name w:val="*Body of Paper*"/>
    <w:basedOn w:val="Normal"/>
    <w:rsid w:val="008F64DB"/>
    <w:pPr>
      <w:spacing w:after="200"/>
      <w:jc w:val="both"/>
    </w:pPr>
  </w:style>
  <w:style w:type="paragraph" w:customStyle="1" w:styleId="AuthorsAffils">
    <w:name w:val="*Authors &amp; Affils"/>
    <w:basedOn w:val="Normal"/>
    <w:next w:val="Normal"/>
    <w:rsid w:val="008F64DB"/>
    <w:pPr>
      <w:jc w:val="center"/>
    </w:pPr>
    <w:rPr>
      <w:sz w:val="24"/>
    </w:rPr>
  </w:style>
  <w:style w:type="paragraph" w:customStyle="1" w:styleId="PrincipalHding">
    <w:name w:val="*Principal Hding*"/>
    <w:basedOn w:val="Normal"/>
    <w:next w:val="Normal"/>
    <w:rsid w:val="008F64DB"/>
    <w:pPr>
      <w:jc w:val="center"/>
    </w:pPr>
    <w:rPr>
      <w:b/>
      <w:caps/>
      <w:sz w:val="22"/>
    </w:rPr>
  </w:style>
  <w:style w:type="paragraph" w:customStyle="1" w:styleId="Keywords">
    <w:name w:val="*Keywords*"/>
    <w:basedOn w:val="Normal"/>
    <w:next w:val="Normal"/>
    <w:rsid w:val="008F64DB"/>
    <w:pPr>
      <w:ind w:left="360" w:hanging="360"/>
      <w:jc w:val="both"/>
    </w:pPr>
  </w:style>
  <w:style w:type="paragraph" w:styleId="Header">
    <w:name w:val="header"/>
    <w:basedOn w:val="Normal"/>
    <w:link w:val="HeaderChar"/>
    <w:uiPriority w:val="99"/>
    <w:unhideWhenUsed/>
    <w:rsid w:val="008F64DB"/>
    <w:pPr>
      <w:tabs>
        <w:tab w:val="center" w:pos="4513"/>
        <w:tab w:val="right" w:pos="9026"/>
      </w:tabs>
    </w:pPr>
  </w:style>
  <w:style w:type="character" w:customStyle="1" w:styleId="HeaderChar">
    <w:name w:val="Header Char"/>
    <w:basedOn w:val="DefaultParagraphFont"/>
    <w:link w:val="Header"/>
    <w:uiPriority w:val="99"/>
    <w:rsid w:val="008F64DB"/>
    <w:rPr>
      <w:rFonts w:ascii="Times New Roman" w:eastAsia="Batang" w:hAnsi="Times New Roman" w:cs="Times New Roman"/>
      <w:sz w:val="20"/>
      <w:szCs w:val="20"/>
      <w:lang w:bidi="ar-SA"/>
    </w:rPr>
  </w:style>
  <w:style w:type="paragraph" w:styleId="Footer">
    <w:name w:val="footer"/>
    <w:basedOn w:val="Normal"/>
    <w:link w:val="FooterChar"/>
    <w:uiPriority w:val="99"/>
    <w:unhideWhenUsed/>
    <w:rsid w:val="008F64DB"/>
    <w:pPr>
      <w:tabs>
        <w:tab w:val="center" w:pos="4513"/>
        <w:tab w:val="right" w:pos="9026"/>
      </w:tabs>
    </w:pPr>
  </w:style>
  <w:style w:type="character" w:customStyle="1" w:styleId="FooterChar">
    <w:name w:val="Footer Char"/>
    <w:basedOn w:val="DefaultParagraphFont"/>
    <w:link w:val="Footer"/>
    <w:uiPriority w:val="99"/>
    <w:rsid w:val="008F64DB"/>
    <w:rPr>
      <w:rFonts w:ascii="Times New Roman" w:eastAsia="Batang" w:hAnsi="Times New Roman" w:cs="Times New Roman"/>
      <w:sz w:val="20"/>
      <w:szCs w:val="20"/>
      <w:lang w:bidi="ar-SA"/>
    </w:rPr>
  </w:style>
  <w:style w:type="character" w:styleId="Hyperlink">
    <w:name w:val="Hyperlink"/>
    <w:basedOn w:val="DefaultParagraphFont"/>
    <w:uiPriority w:val="99"/>
    <w:unhideWhenUsed/>
    <w:rsid w:val="00E1448A"/>
    <w:rPr>
      <w:color w:val="0000FF" w:themeColor="hyperlink"/>
      <w:u w:val="single"/>
    </w:rPr>
  </w:style>
  <w:style w:type="character" w:styleId="UnresolvedMention">
    <w:name w:val="Unresolved Mention"/>
    <w:basedOn w:val="DefaultParagraphFont"/>
    <w:uiPriority w:val="99"/>
    <w:semiHidden/>
    <w:unhideWhenUsed/>
    <w:rsid w:val="00E1448A"/>
    <w:rPr>
      <w:color w:val="605E5C"/>
      <w:shd w:val="clear" w:color="auto" w:fill="E1DFDD"/>
    </w:rPr>
  </w:style>
  <w:style w:type="character" w:styleId="CommentReference">
    <w:name w:val="annotation reference"/>
    <w:basedOn w:val="DefaultParagraphFont"/>
    <w:uiPriority w:val="99"/>
    <w:semiHidden/>
    <w:unhideWhenUsed/>
    <w:rsid w:val="00DB3541"/>
    <w:rPr>
      <w:sz w:val="16"/>
      <w:szCs w:val="16"/>
    </w:rPr>
  </w:style>
  <w:style w:type="paragraph" w:styleId="CommentText">
    <w:name w:val="annotation text"/>
    <w:basedOn w:val="Normal"/>
    <w:link w:val="CommentTextChar"/>
    <w:uiPriority w:val="99"/>
    <w:semiHidden/>
    <w:unhideWhenUsed/>
    <w:rsid w:val="00DB3541"/>
  </w:style>
  <w:style w:type="character" w:customStyle="1" w:styleId="CommentTextChar">
    <w:name w:val="Comment Text Char"/>
    <w:basedOn w:val="DefaultParagraphFont"/>
    <w:link w:val="CommentText"/>
    <w:uiPriority w:val="99"/>
    <w:semiHidden/>
    <w:rsid w:val="00DB3541"/>
    <w:rPr>
      <w:rFonts w:ascii="Times New Roman" w:eastAsia="Batang" w:hAnsi="Times New Roman" w:cs="Times New Roman"/>
      <w:sz w:val="20"/>
      <w:szCs w:val="20"/>
      <w:lang w:bidi="ar-SA"/>
    </w:rPr>
  </w:style>
  <w:style w:type="paragraph" w:styleId="BalloonText">
    <w:name w:val="Balloon Text"/>
    <w:basedOn w:val="Normal"/>
    <w:link w:val="BalloonTextChar"/>
    <w:uiPriority w:val="99"/>
    <w:semiHidden/>
    <w:unhideWhenUsed/>
    <w:rsid w:val="00DB35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541"/>
    <w:rPr>
      <w:rFonts w:ascii="Segoe UI" w:eastAsia="Batang" w:hAnsi="Segoe UI" w:cs="Segoe UI"/>
      <w:sz w:val="18"/>
      <w:szCs w:val="18"/>
      <w:lang w:bidi="ar-SA"/>
    </w:rPr>
  </w:style>
  <w:style w:type="paragraph" w:styleId="CommentSubject">
    <w:name w:val="annotation subject"/>
    <w:basedOn w:val="CommentText"/>
    <w:next w:val="CommentText"/>
    <w:link w:val="CommentSubjectChar"/>
    <w:uiPriority w:val="99"/>
    <w:semiHidden/>
    <w:unhideWhenUsed/>
    <w:rsid w:val="00DB3541"/>
    <w:rPr>
      <w:b/>
      <w:bCs/>
    </w:rPr>
  </w:style>
  <w:style w:type="character" w:customStyle="1" w:styleId="CommentSubjectChar">
    <w:name w:val="Comment Subject Char"/>
    <w:basedOn w:val="CommentTextChar"/>
    <w:link w:val="CommentSubject"/>
    <w:uiPriority w:val="99"/>
    <w:semiHidden/>
    <w:rsid w:val="00DB3541"/>
    <w:rPr>
      <w:rFonts w:ascii="Times New Roman" w:eastAsia="Batang" w:hAnsi="Times New Roman" w:cs="Times New Roman"/>
      <w:b/>
      <w:bCs/>
      <w:sz w:val="20"/>
      <w:szCs w:val="20"/>
      <w:lang w:bidi="ar-SA"/>
    </w:rPr>
  </w:style>
  <w:style w:type="paragraph" w:styleId="Caption">
    <w:name w:val="caption"/>
    <w:basedOn w:val="Normal"/>
    <w:next w:val="Normal"/>
    <w:uiPriority w:val="35"/>
    <w:qFormat/>
    <w:rsid w:val="00651AC3"/>
    <w:pPr>
      <w:keepLines/>
      <w:widowControl w:val="0"/>
      <w:overflowPunct/>
      <w:autoSpaceDE/>
      <w:autoSpaceDN/>
      <w:adjustRightInd/>
      <w:spacing w:before="200" w:after="240" w:line="200" w:lineRule="exact"/>
      <w:textAlignment w:val="auto"/>
    </w:pPr>
    <w:rPr>
      <w:rFonts w:eastAsia="SimSun"/>
      <w:sz w:val="16"/>
      <w:lang w:val="en-GB"/>
    </w:rPr>
  </w:style>
  <w:style w:type="paragraph" w:customStyle="1" w:styleId="absatz">
    <w:name w:val="absatz"/>
    <w:basedOn w:val="Normal"/>
    <w:rsid w:val="00651AC3"/>
    <w:pPr>
      <w:overflowPunct/>
      <w:autoSpaceDE/>
      <w:autoSpaceDN/>
      <w:adjustRightInd/>
      <w:spacing w:line="360" w:lineRule="auto"/>
      <w:jc w:val="both"/>
      <w:textAlignment w:val="auto"/>
    </w:pPr>
    <w:rPr>
      <w:rFonts w:eastAsia="Times New Roman"/>
      <w:sz w:val="24"/>
      <w:lang w:val="de-DE" w:eastAsia="de-DE"/>
    </w:rPr>
  </w:style>
  <w:style w:type="paragraph" w:styleId="NormalWeb">
    <w:name w:val="Normal (Web)"/>
    <w:basedOn w:val="Normal"/>
    <w:uiPriority w:val="99"/>
    <w:semiHidden/>
    <w:unhideWhenUsed/>
    <w:rsid w:val="00491219"/>
    <w:pPr>
      <w:overflowPunct/>
      <w:autoSpaceDE/>
      <w:autoSpaceDN/>
      <w:adjustRightInd/>
      <w:spacing w:before="100" w:beforeAutospacing="1" w:after="100" w:afterAutospacing="1"/>
      <w:textAlignment w:val="auto"/>
    </w:pPr>
    <w:rPr>
      <w:rFonts w:eastAsiaTheme="minorEastAsia"/>
      <w:sz w:val="24"/>
      <w:szCs w:val="24"/>
    </w:rPr>
  </w:style>
  <w:style w:type="paragraph" w:styleId="TableofFigures">
    <w:name w:val="table of figures"/>
    <w:basedOn w:val="Normal"/>
    <w:next w:val="Normal"/>
    <w:uiPriority w:val="99"/>
    <w:semiHidden/>
    <w:unhideWhenUsed/>
    <w:rsid w:val="006D7BE8"/>
  </w:style>
  <w:style w:type="character" w:customStyle="1" w:styleId="HeadingofAbstract">
    <w:name w:val="Heading of Abstract"/>
    <w:basedOn w:val="DefaultParagraphFont"/>
    <w:rsid w:val="00494D95"/>
    <w:rPr>
      <w:rFonts w:ascii="Times New Roman" w:eastAsia="Times New Roman" w:hAnsi="Times New Roman" w:cs="MS Mincho"/>
      <w:b/>
      <w:bCs/>
      <w:kern w:val="2"/>
      <w:sz w:val="20"/>
    </w:rPr>
  </w:style>
  <w:style w:type="character" w:customStyle="1" w:styleId="HeadingofKeywords">
    <w:name w:val="Heading of Keywords"/>
    <w:rsid w:val="00585FC7"/>
    <w:rPr>
      <w:rFonts w:ascii="Times New Roman" w:hAnsi="Times New Roman"/>
      <w:b/>
      <w:bCs/>
      <w:sz w:val="20"/>
    </w:rPr>
  </w:style>
  <w:style w:type="paragraph" w:customStyle="1" w:styleId="Section-without-prespace">
    <w:name w:val="Section-without-prespace"/>
    <w:basedOn w:val="Normal"/>
    <w:next w:val="BodyText"/>
    <w:autoRedefine/>
    <w:qFormat/>
    <w:rsid w:val="009307BB"/>
    <w:pPr>
      <w:widowControl w:val="0"/>
      <w:overflowPunct/>
      <w:autoSpaceDE/>
      <w:autoSpaceDN/>
      <w:adjustRightInd/>
      <w:snapToGrid w:val="0"/>
      <w:spacing w:afterLines="70" w:after="168"/>
      <w:ind w:firstLine="198"/>
      <w:jc w:val="center"/>
      <w:textAlignment w:val="auto"/>
    </w:pPr>
    <w:rPr>
      <w:rFonts w:eastAsia="Times New Roman" w:cs="MS Mincho"/>
      <w:b/>
      <w:bCs/>
      <w:caps/>
      <w:kern w:val="2"/>
      <w:sz w:val="22"/>
      <w:lang w:eastAsia="ja-JP"/>
    </w:rPr>
  </w:style>
  <w:style w:type="paragraph" w:styleId="BodyText">
    <w:name w:val="Body Text"/>
    <w:basedOn w:val="Normal"/>
    <w:link w:val="BodyTextChar"/>
    <w:unhideWhenUsed/>
    <w:rsid w:val="00A361E1"/>
    <w:pPr>
      <w:spacing w:after="120"/>
    </w:pPr>
  </w:style>
  <w:style w:type="character" w:customStyle="1" w:styleId="BodyTextChar">
    <w:name w:val="Body Text Char"/>
    <w:basedOn w:val="DefaultParagraphFont"/>
    <w:link w:val="BodyText"/>
    <w:rsid w:val="00A361E1"/>
    <w:rPr>
      <w:rFonts w:ascii="Times New Roman" w:eastAsia="Batang" w:hAnsi="Times New Roman" w:cs="Times New Roman"/>
      <w:sz w:val="20"/>
      <w:szCs w:val="20"/>
      <w:lang w:bidi="ar-SA"/>
    </w:rPr>
  </w:style>
  <w:style w:type="paragraph" w:customStyle="1" w:styleId="Section">
    <w:name w:val="Section"/>
    <w:basedOn w:val="Normal"/>
    <w:next w:val="Normal"/>
    <w:qFormat/>
    <w:rsid w:val="005D677A"/>
    <w:pPr>
      <w:widowControl w:val="0"/>
      <w:overflowPunct/>
      <w:autoSpaceDE/>
      <w:autoSpaceDN/>
      <w:adjustRightInd/>
      <w:snapToGrid w:val="0"/>
      <w:spacing w:beforeLines="70" w:before="168" w:afterLines="70" w:after="168"/>
      <w:ind w:firstLine="199"/>
      <w:jc w:val="center"/>
      <w:textAlignment w:val="auto"/>
    </w:pPr>
    <w:rPr>
      <w:rFonts w:eastAsia="Times New Roman" w:cs="MS Mincho"/>
      <w:b/>
      <w:bCs/>
      <w:caps/>
      <w:kern w:val="2"/>
      <w:sz w:val="22"/>
      <w:lang w:eastAsia="ja-JP"/>
    </w:rPr>
  </w:style>
  <w:style w:type="paragraph" w:customStyle="1" w:styleId="Subsection">
    <w:name w:val="Subsection"/>
    <w:basedOn w:val="Normal"/>
    <w:next w:val="Normal"/>
    <w:qFormat/>
    <w:rsid w:val="005D677A"/>
    <w:pPr>
      <w:widowControl w:val="0"/>
      <w:overflowPunct/>
      <w:autoSpaceDE/>
      <w:autoSpaceDN/>
      <w:adjustRightInd/>
      <w:snapToGrid w:val="0"/>
      <w:spacing w:beforeLines="50" w:before="120"/>
      <w:jc w:val="both"/>
      <w:textAlignment w:val="auto"/>
    </w:pPr>
    <w:rPr>
      <w:rFonts w:eastAsia="MS UI Gothic" w:cs="MS Mincho"/>
      <w:b/>
      <w:kern w:val="2"/>
      <w:lang w:eastAsia="ja-JP"/>
    </w:rPr>
  </w:style>
  <w:style w:type="paragraph" w:customStyle="1" w:styleId="Text">
    <w:name w:val="Text"/>
    <w:basedOn w:val="Normal"/>
    <w:link w:val="Text0"/>
    <w:qFormat/>
    <w:rsid w:val="00CB0D41"/>
    <w:pPr>
      <w:widowControl w:val="0"/>
      <w:overflowPunct/>
      <w:autoSpaceDE/>
      <w:autoSpaceDN/>
      <w:adjustRightInd/>
      <w:snapToGrid w:val="0"/>
      <w:ind w:firstLine="199"/>
      <w:jc w:val="both"/>
      <w:textAlignment w:val="auto"/>
    </w:pPr>
    <w:rPr>
      <w:rFonts w:eastAsia="MS UI Gothic" w:cs="MS Mincho"/>
      <w:kern w:val="2"/>
      <w:lang w:eastAsia="ja-JP"/>
    </w:rPr>
  </w:style>
  <w:style w:type="character" w:customStyle="1" w:styleId="Text0">
    <w:name w:val="Text (文字)"/>
    <w:link w:val="Text"/>
    <w:rsid w:val="00CB0D41"/>
    <w:rPr>
      <w:rFonts w:ascii="Times New Roman" w:eastAsia="MS UI Gothic" w:hAnsi="Times New Roman" w:cs="MS Mincho"/>
      <w:kern w:val="2"/>
      <w:sz w:val="20"/>
      <w:szCs w:val="20"/>
      <w:lang w:eastAsia="ja-JP" w:bidi="ar-SA"/>
    </w:rPr>
  </w:style>
  <w:style w:type="paragraph" w:customStyle="1" w:styleId="Reference">
    <w:name w:val="Reference"/>
    <w:basedOn w:val="Text"/>
    <w:next w:val="Text"/>
    <w:link w:val="Reference0"/>
    <w:qFormat/>
    <w:rsid w:val="00F12494"/>
    <w:pPr>
      <w:ind w:firstLine="0"/>
    </w:pPr>
  </w:style>
  <w:style w:type="paragraph" w:customStyle="1" w:styleId="JournalName">
    <w:name w:val="Journal Name"/>
    <w:basedOn w:val="Reference"/>
    <w:next w:val="Reference"/>
    <w:link w:val="JournalName0"/>
    <w:rsid w:val="00F12494"/>
    <w:rPr>
      <w:i/>
      <w:iCs/>
    </w:rPr>
  </w:style>
  <w:style w:type="character" w:customStyle="1" w:styleId="Reference0">
    <w:name w:val="Reference (文字)"/>
    <w:basedOn w:val="Text0"/>
    <w:link w:val="Reference"/>
    <w:rsid w:val="00F12494"/>
    <w:rPr>
      <w:rFonts w:ascii="Times New Roman" w:eastAsia="MS UI Gothic" w:hAnsi="Times New Roman" w:cs="MS Mincho"/>
      <w:kern w:val="2"/>
      <w:sz w:val="20"/>
      <w:szCs w:val="20"/>
      <w:lang w:eastAsia="ja-JP" w:bidi="ar-SA"/>
    </w:rPr>
  </w:style>
  <w:style w:type="character" w:customStyle="1" w:styleId="JournalName0">
    <w:name w:val="Journal Name (文字)"/>
    <w:link w:val="JournalName"/>
    <w:rsid w:val="00F12494"/>
    <w:rPr>
      <w:rFonts w:ascii="Times New Roman" w:eastAsia="MS UI Gothic" w:hAnsi="Times New Roman" w:cs="MS Mincho"/>
      <w:i/>
      <w:iCs/>
      <w:kern w:val="2"/>
      <w:sz w:val="20"/>
      <w:szCs w:val="20"/>
      <w:lang w:eastAsia="ja-JP" w:bidi="ar-SA"/>
    </w:rPr>
  </w:style>
  <w:style w:type="paragraph" w:customStyle="1" w:styleId="1">
    <w:name w:val="表題1"/>
    <w:basedOn w:val="Text"/>
    <w:rsid w:val="00906ABB"/>
    <w:pPr>
      <w:jc w:val="center"/>
    </w:pPr>
    <w:rPr>
      <w:rFonts w:eastAsia="Times New Roman"/>
      <w:b/>
      <w:bCs/>
      <w:sz w:val="24"/>
    </w:rPr>
  </w:style>
  <w:style w:type="paragraph" w:customStyle="1" w:styleId="Abstract">
    <w:name w:val="Abstract"/>
    <w:basedOn w:val="Text"/>
    <w:link w:val="Abstract0"/>
    <w:qFormat/>
    <w:rsid w:val="00906ABB"/>
    <w:pPr>
      <w:ind w:firstLine="0"/>
    </w:pPr>
  </w:style>
  <w:style w:type="paragraph" w:customStyle="1" w:styleId="NameofAuthor">
    <w:name w:val="Name of Author"/>
    <w:basedOn w:val="Text"/>
    <w:next w:val="Affiliations"/>
    <w:rsid w:val="00906ABB"/>
    <w:pPr>
      <w:spacing w:before="120" w:after="120"/>
      <w:jc w:val="center"/>
    </w:pPr>
    <w:rPr>
      <w:rFonts w:eastAsia="Times New Roman"/>
      <w:sz w:val="22"/>
    </w:rPr>
  </w:style>
  <w:style w:type="paragraph" w:customStyle="1" w:styleId="Affiliations">
    <w:name w:val="Affiliations"/>
    <w:aliases w:val="Phone numbers,E-mail addresses of Author"/>
    <w:basedOn w:val="Text"/>
    <w:rsid w:val="00906ABB"/>
    <w:pPr>
      <w:jc w:val="center"/>
    </w:pPr>
    <w:rPr>
      <w:rFonts w:eastAsia="Times New Roman"/>
    </w:rPr>
  </w:style>
  <w:style w:type="paragraph" w:customStyle="1" w:styleId="Keywords0">
    <w:name w:val="Keywords"/>
    <w:basedOn w:val="Text"/>
    <w:link w:val="Keywords1"/>
    <w:qFormat/>
    <w:rsid w:val="00906ABB"/>
    <w:pPr>
      <w:ind w:firstLine="0"/>
    </w:pPr>
  </w:style>
  <w:style w:type="character" w:customStyle="1" w:styleId="Abstract0">
    <w:name w:val="Abstract (文字)"/>
    <w:basedOn w:val="BodyTextChar"/>
    <w:link w:val="Abstract"/>
    <w:rsid w:val="00906ABB"/>
    <w:rPr>
      <w:rFonts w:ascii="Times New Roman" w:eastAsia="MS UI Gothic" w:hAnsi="Times New Roman" w:cs="MS Mincho"/>
      <w:kern w:val="2"/>
      <w:sz w:val="20"/>
      <w:szCs w:val="20"/>
      <w:lang w:eastAsia="ja-JP" w:bidi="ar-SA"/>
    </w:rPr>
  </w:style>
  <w:style w:type="character" w:customStyle="1" w:styleId="Keywords1">
    <w:name w:val="Keywords (文字)"/>
    <w:basedOn w:val="BodyTextChar"/>
    <w:link w:val="Keywords0"/>
    <w:rsid w:val="00906ABB"/>
    <w:rPr>
      <w:rFonts w:ascii="Times New Roman" w:eastAsia="MS UI Gothic" w:hAnsi="Times New Roman" w:cs="MS Mincho"/>
      <w:kern w:val="2"/>
      <w:sz w:val="20"/>
      <w:szCs w:val="20"/>
      <w:lang w:eastAsia="ja-JP" w:bidi="ar-SA"/>
    </w:rPr>
  </w:style>
  <w:style w:type="paragraph" w:customStyle="1" w:styleId="10">
    <w:name w:val="図表番号1"/>
    <w:basedOn w:val="Text"/>
    <w:next w:val="Text"/>
    <w:qFormat/>
    <w:rsid w:val="00885200"/>
    <w:pPr>
      <w:spacing w:beforeLines="50" w:before="120" w:afterLines="50" w:after="120"/>
      <w:jc w:val="center"/>
    </w:pPr>
    <w:rPr>
      <w:rFonts w:eastAsia="Times New Roman"/>
    </w:rPr>
  </w:style>
  <w:style w:type="paragraph" w:customStyle="1" w:styleId="Table">
    <w:name w:val="Table"/>
    <w:basedOn w:val="Text"/>
    <w:rsid w:val="00885200"/>
    <w:pPr>
      <w:ind w:firstLine="0"/>
      <w:jc w:val="center"/>
    </w:pPr>
  </w:style>
  <w:style w:type="table" w:styleId="PlainTable5">
    <w:name w:val="Plain Table 5"/>
    <w:basedOn w:val="TableNormal"/>
    <w:uiPriority w:val="45"/>
    <w:rsid w:val="00DD7E6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758285">
      <w:bodyDiv w:val="1"/>
      <w:marLeft w:val="0"/>
      <w:marRight w:val="0"/>
      <w:marTop w:val="0"/>
      <w:marBottom w:val="0"/>
      <w:divBdr>
        <w:top w:val="none" w:sz="0" w:space="0" w:color="auto"/>
        <w:left w:val="none" w:sz="0" w:space="0" w:color="auto"/>
        <w:bottom w:val="none" w:sz="0" w:space="0" w:color="auto"/>
        <w:right w:val="none" w:sz="0" w:space="0" w:color="auto"/>
      </w:divBdr>
    </w:div>
    <w:div w:id="1323894186">
      <w:bodyDiv w:val="1"/>
      <w:marLeft w:val="0"/>
      <w:marRight w:val="0"/>
      <w:marTop w:val="0"/>
      <w:marBottom w:val="0"/>
      <w:divBdr>
        <w:top w:val="none" w:sz="0" w:space="0" w:color="auto"/>
        <w:left w:val="none" w:sz="0" w:space="0" w:color="auto"/>
        <w:bottom w:val="none" w:sz="0" w:space="0" w:color="auto"/>
        <w:right w:val="none" w:sz="0" w:space="0" w:color="auto"/>
      </w:divBdr>
    </w:div>
    <w:div w:id="1802258956">
      <w:bodyDiv w:val="1"/>
      <w:marLeft w:val="0"/>
      <w:marRight w:val="0"/>
      <w:marTop w:val="0"/>
      <w:marBottom w:val="0"/>
      <w:divBdr>
        <w:top w:val="none" w:sz="0" w:space="0" w:color="auto"/>
        <w:left w:val="none" w:sz="0" w:space="0" w:color="auto"/>
        <w:bottom w:val="none" w:sz="0" w:space="0" w:color="auto"/>
        <w:right w:val="none" w:sz="0" w:space="0" w:color="auto"/>
      </w:divBdr>
    </w:div>
    <w:div w:id="183345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ed_hashad84@hotmail.com" TargetMode="External"/><Relationship Id="rId13" Type="http://schemas.openxmlformats.org/officeDocument/2006/relationships/hyperlink" Target="mailto:wladimir.sabuga@ptb.de" TargetMode="External"/><Relationship Id="rId18" Type="http://schemas.openxmlformats.org/officeDocument/2006/relationships/image" Target="media/image3.emf"/><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ahmed_hashad84@hotmail.com" TargetMode="External"/><Relationship Id="rId17" Type="http://schemas.openxmlformats.org/officeDocument/2006/relationships/image" Target="media/image2.jpe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bock@ptb.de"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mailto:thomas.bock@ptb.de" TargetMode="External"/><Relationship Id="rId23" Type="http://schemas.openxmlformats.org/officeDocument/2006/relationships/image" Target="media/image8.jpeg"/><Relationship Id="rId28" Type="http://schemas.openxmlformats.org/officeDocument/2006/relationships/chart" Target="charts/chart4.xml"/><Relationship Id="rId10" Type="http://schemas.openxmlformats.org/officeDocument/2006/relationships/hyperlink" Target="mailto:sven.ehlers@ptb.de"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wladimir.sabuga@ptb.de" TargetMode="External"/><Relationship Id="rId14" Type="http://schemas.openxmlformats.org/officeDocument/2006/relationships/hyperlink" Target="mailto:sven.ehlers@ptb.de" TargetMode="External"/><Relationship Id="rId22" Type="http://schemas.openxmlformats.org/officeDocument/2006/relationships/image" Target="media/image7.jpeg"/><Relationship Id="rId27" Type="http://schemas.openxmlformats.org/officeDocument/2006/relationships/chart" Target="charts/chart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E:\hashad%20work\FPG\FPG_PTB%20calibrations\Calibrations%20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hashad%20work\FPG\FPG_PTB%20calibrations\Calibrations%20summa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hashad%20work\FPG\FPG_PTB%20calibrations\Calibrations%20summary.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96563623991445"/>
          <c:y val="7.7830456788377328E-2"/>
          <c:w val="0.79117245760946553"/>
          <c:h val="0.65592717807780954"/>
        </c:manualLayout>
      </c:layout>
      <c:scatterChart>
        <c:scatterStyle val="lineMarker"/>
        <c:varyColors val="0"/>
        <c:ser>
          <c:idx val="1"/>
          <c:order val="0"/>
          <c:tx>
            <c:v>Exper. gauge</c:v>
          </c:tx>
          <c:spPr>
            <a:ln w="19050" cap="rnd">
              <a:noFill/>
              <a:round/>
            </a:ln>
            <a:effectLst/>
          </c:spPr>
          <c:marker>
            <c:symbol val="circle"/>
            <c:size val="5"/>
            <c:spPr>
              <a:solidFill>
                <a:srgbClr val="9BBB59"/>
              </a:solidFill>
              <a:ln w="9525">
                <a:solidFill>
                  <a:srgbClr val="9BBB59"/>
                </a:solidFill>
              </a:ln>
              <a:effectLst/>
            </c:spPr>
          </c:marker>
          <c:errBars>
            <c:errDir val="y"/>
            <c:errBarType val="both"/>
            <c:errValType val="cust"/>
            <c:noEndCap val="0"/>
            <c:plus>
              <c:numRef>
                <c:f>'[FPG_total cal 20180122 gauge.xlsx]Eff. Area_Exp.'!$L$5:$L$13</c:f>
                <c:numCache>
                  <c:formatCode>General</c:formatCode>
                  <c:ptCount val="9"/>
                  <c:pt idx="0">
                    <c:v>3.6604897990061845E-8</c:v>
                  </c:pt>
                  <c:pt idx="1">
                    <c:v>2.5760814569488423E-8</c:v>
                  </c:pt>
                  <c:pt idx="2">
                    <c:v>1.6209631479447256E-8</c:v>
                  </c:pt>
                  <c:pt idx="3">
                    <c:v>8.7735271223039768E-9</c:v>
                  </c:pt>
                  <c:pt idx="4">
                    <c:v>1.1384852578702295E-8</c:v>
                  </c:pt>
                  <c:pt idx="5">
                    <c:v>8.3018842582728012E-9</c:v>
                  </c:pt>
                  <c:pt idx="6">
                    <c:v>7.4968152520487832E-9</c:v>
                  </c:pt>
                  <c:pt idx="7">
                    <c:v>7.1604345186186284E-9</c:v>
                  </c:pt>
                  <c:pt idx="8">
                    <c:v>7.9586281085937358E-9</c:v>
                  </c:pt>
                </c:numCache>
              </c:numRef>
            </c:plus>
            <c:minus>
              <c:numRef>
                <c:f>'[FPG_total cal 20180122 gauge.xlsx]Eff. Area_Exp.'!$L$5:$L$13</c:f>
                <c:numCache>
                  <c:formatCode>General</c:formatCode>
                  <c:ptCount val="9"/>
                  <c:pt idx="0">
                    <c:v>3.6604897990061845E-8</c:v>
                  </c:pt>
                  <c:pt idx="1">
                    <c:v>2.5760814569488423E-8</c:v>
                  </c:pt>
                  <c:pt idx="2">
                    <c:v>1.6209631479447256E-8</c:v>
                  </c:pt>
                  <c:pt idx="3">
                    <c:v>8.7735271223039768E-9</c:v>
                  </c:pt>
                  <c:pt idx="4">
                    <c:v>1.1384852578702295E-8</c:v>
                  </c:pt>
                  <c:pt idx="5">
                    <c:v>8.3018842582728012E-9</c:v>
                  </c:pt>
                  <c:pt idx="6">
                    <c:v>7.4968152520487832E-9</c:v>
                  </c:pt>
                  <c:pt idx="7">
                    <c:v>7.1604345186186284E-9</c:v>
                  </c:pt>
                  <c:pt idx="8">
                    <c:v>7.9586281085937358E-9</c:v>
                  </c:pt>
                </c:numCache>
              </c:numRef>
            </c:minus>
            <c:spPr>
              <a:noFill/>
              <a:ln w="9525" cap="flat" cmpd="sng" algn="ctr">
                <a:solidFill>
                  <a:schemeClr val="tx1">
                    <a:lumMod val="65000"/>
                    <a:lumOff val="35000"/>
                  </a:schemeClr>
                </a:solidFill>
                <a:round/>
              </a:ln>
              <a:effectLst/>
            </c:spPr>
          </c:errBars>
          <c:xVal>
            <c:numRef>
              <c:f>'Eff. area gauge '!$J$6:$J$13</c:f>
              <c:numCache>
                <c:formatCode>0.000</c:formatCode>
                <c:ptCount val="8"/>
                <c:pt idx="0">
                  <c:v>2.8011803857142854</c:v>
                </c:pt>
                <c:pt idx="1">
                  <c:v>4.8032018874999993</c:v>
                </c:pt>
                <c:pt idx="2">
                  <c:v>5.8038167428571423</c:v>
                </c:pt>
                <c:pt idx="3">
                  <c:v>7.8059102375</c:v>
                </c:pt>
                <c:pt idx="4">
                  <c:v>9.8069658749999995</c:v>
                </c:pt>
                <c:pt idx="5">
                  <c:v>10.807600500000001</c:v>
                </c:pt>
                <c:pt idx="6">
                  <c:v>12.803469181818183</c:v>
                </c:pt>
                <c:pt idx="7">
                  <c:v>14.809969285714287</c:v>
                </c:pt>
              </c:numCache>
            </c:numRef>
          </c:xVal>
          <c:yVal>
            <c:numRef>
              <c:f>'Eff. area gauge '!$K$6:$K$13</c:f>
              <c:numCache>
                <c:formatCode>0.00000E+00</c:formatCode>
                <c:ptCount val="8"/>
                <c:pt idx="0">
                  <c:v>9.8062394683366889E-4</c:v>
                </c:pt>
                <c:pt idx="1">
                  <c:v>9.8062035828522221E-4</c:v>
                </c:pt>
                <c:pt idx="2">
                  <c:v>9.8061068546674264E-4</c:v>
                </c:pt>
                <c:pt idx="3">
                  <c:v>9.806074572525662E-4</c:v>
                </c:pt>
                <c:pt idx="4">
                  <c:v>9.8061435884575139E-4</c:v>
                </c:pt>
                <c:pt idx="5">
                  <c:v>9.8061703630771598E-4</c:v>
                </c:pt>
                <c:pt idx="6">
                  <c:v>9.8061284844652903E-4</c:v>
                </c:pt>
                <c:pt idx="7">
                  <c:v>9.8061011656564085E-4</c:v>
                </c:pt>
              </c:numCache>
            </c:numRef>
          </c:yVal>
          <c:smooth val="0"/>
          <c:extLst>
            <c:ext xmlns:c16="http://schemas.microsoft.com/office/drawing/2014/chart" uri="{C3380CC4-5D6E-409C-BE32-E72D297353CC}">
              <c16:uniqueId val="{00000000-7AFD-4B13-90F1-F8E274C6D3C1}"/>
            </c:ext>
          </c:extLst>
        </c:ser>
        <c:ser>
          <c:idx val="2"/>
          <c:order val="1"/>
          <c:tx>
            <c:v>Theor. gauge</c:v>
          </c:tx>
          <c:spPr>
            <a:ln w="19050" cap="rnd">
              <a:solidFill>
                <a:srgbClr val="9BBB59"/>
              </a:solidFill>
              <a:round/>
            </a:ln>
            <a:effectLst/>
          </c:spPr>
          <c:marker>
            <c:symbol val="circle"/>
            <c:size val="5"/>
            <c:spPr>
              <a:noFill/>
              <a:ln w="9525">
                <a:noFill/>
              </a:ln>
              <a:effectLst/>
            </c:spPr>
          </c:marker>
          <c:xVal>
            <c:numRef>
              <c:f>'Eff. area Theoritical'!$I$25:$N$25</c:f>
              <c:numCache>
                <c:formatCode>General</c:formatCode>
                <c:ptCount val="6"/>
                <c:pt idx="0">
                  <c:v>0.3</c:v>
                </c:pt>
                <c:pt idx="1">
                  <c:v>1</c:v>
                </c:pt>
                <c:pt idx="2">
                  <c:v>3</c:v>
                </c:pt>
                <c:pt idx="3">
                  <c:v>10</c:v>
                </c:pt>
                <c:pt idx="4">
                  <c:v>11</c:v>
                </c:pt>
                <c:pt idx="5">
                  <c:v>15</c:v>
                </c:pt>
              </c:numCache>
            </c:numRef>
          </c:xVal>
          <c:yVal>
            <c:numRef>
              <c:f>'Eff. area Theoritical'!$I$26:$N$26</c:f>
              <c:numCache>
                <c:formatCode>0.000000E+00</c:formatCode>
                <c:ptCount val="6"/>
                <c:pt idx="0">
                  <c:v>9.8060742134448674E-4</c:v>
                </c:pt>
                <c:pt idx="1">
                  <c:v>9.8060739818018163E-4</c:v>
                </c:pt>
                <c:pt idx="2">
                  <c:v>9.8060744074091521E-4</c:v>
                </c:pt>
                <c:pt idx="3">
                  <c:v>9.8060757893609425E-4</c:v>
                </c:pt>
                <c:pt idx="4">
                  <c:v>9.8060760103482118E-4</c:v>
                </c:pt>
                <c:pt idx="5">
                  <c:v>9.8060768463110884E-4</c:v>
                </c:pt>
              </c:numCache>
            </c:numRef>
          </c:yVal>
          <c:smooth val="0"/>
          <c:extLst>
            <c:ext xmlns:c16="http://schemas.microsoft.com/office/drawing/2014/chart" uri="{C3380CC4-5D6E-409C-BE32-E72D297353CC}">
              <c16:uniqueId val="{00000001-7AFD-4B13-90F1-F8E274C6D3C1}"/>
            </c:ext>
          </c:extLst>
        </c:ser>
        <c:ser>
          <c:idx val="0"/>
          <c:order val="2"/>
          <c:tx>
            <c:v>Exper. abs.</c:v>
          </c:tx>
          <c:spPr>
            <a:ln w="25400" cap="rnd">
              <a:noFill/>
              <a:round/>
            </a:ln>
            <a:effectLst/>
          </c:spPr>
          <c:marker>
            <c:symbol val="circle"/>
            <c:size val="5"/>
            <c:spPr>
              <a:solidFill>
                <a:srgbClr val="C0504D"/>
              </a:solidFill>
              <a:ln w="9525">
                <a:solidFill>
                  <a:srgbClr val="C0504D"/>
                </a:solidFill>
              </a:ln>
              <a:effectLst/>
            </c:spPr>
          </c:marker>
          <c:errBars>
            <c:errDir val="y"/>
            <c:errBarType val="both"/>
            <c:errValType val="cust"/>
            <c:noEndCap val="0"/>
            <c:plus>
              <c:numRef>
                <c:f>'Eff. area Abs'!$L$5:$L$13</c:f>
                <c:numCache>
                  <c:formatCode>General</c:formatCode>
                  <c:ptCount val="9"/>
                  <c:pt idx="0">
                    <c:v>4.7521554848239999E-8</c:v>
                  </c:pt>
                  <c:pt idx="1">
                    <c:v>2.5240670615160002E-8</c:v>
                  </c:pt>
                  <c:pt idx="2">
                    <c:v>1.8092041218000003E-8</c:v>
                  </c:pt>
                  <c:pt idx="3">
                    <c:v>1.8092101014450001E-8</c:v>
                  </c:pt>
                  <c:pt idx="4">
                    <c:v>1.4816885778990001E-8</c:v>
                  </c:pt>
                  <c:pt idx="5">
                    <c:v>9.3912121568939996E-9</c:v>
                  </c:pt>
                  <c:pt idx="6">
                    <c:v>1.0031603666370001E-8</c:v>
                  </c:pt>
                  <c:pt idx="7">
                    <c:v>9.4049177677949991E-9</c:v>
                  </c:pt>
                  <c:pt idx="8">
                    <c:v>8.6508475362759993E-9</c:v>
                  </c:pt>
                </c:numCache>
              </c:numRef>
            </c:plus>
            <c:minus>
              <c:numRef>
                <c:f>'Eff. area Abs'!$L$5:$L$13</c:f>
                <c:numCache>
                  <c:formatCode>General</c:formatCode>
                  <c:ptCount val="9"/>
                  <c:pt idx="0">
                    <c:v>4.7521554848239999E-8</c:v>
                  </c:pt>
                  <c:pt idx="1">
                    <c:v>2.5240670615160002E-8</c:v>
                  </c:pt>
                  <c:pt idx="2">
                    <c:v>1.8092041218000003E-8</c:v>
                  </c:pt>
                  <c:pt idx="3">
                    <c:v>1.8092101014450001E-8</c:v>
                  </c:pt>
                  <c:pt idx="4">
                    <c:v>1.4816885778990001E-8</c:v>
                  </c:pt>
                  <c:pt idx="5">
                    <c:v>9.3912121568939996E-9</c:v>
                  </c:pt>
                  <c:pt idx="6">
                    <c:v>1.0031603666370001E-8</c:v>
                  </c:pt>
                  <c:pt idx="7">
                    <c:v>9.4049177677949991E-9</c:v>
                  </c:pt>
                  <c:pt idx="8">
                    <c:v>8.6508475362759993E-9</c:v>
                  </c:pt>
                </c:numCache>
              </c:numRef>
            </c:minus>
            <c:spPr>
              <a:noFill/>
              <a:ln w="9525" cap="flat" cmpd="sng" algn="ctr">
                <a:solidFill>
                  <a:schemeClr val="tx1">
                    <a:lumMod val="65000"/>
                    <a:lumOff val="35000"/>
                  </a:schemeClr>
                </a:solidFill>
                <a:round/>
              </a:ln>
              <a:effectLst/>
            </c:spPr>
          </c:errBars>
          <c:xVal>
            <c:numRef>
              <c:f>'Eff. area Abs'!$J$5:$J$13</c:f>
              <c:numCache>
                <c:formatCode>0.0000</c:formatCode>
                <c:ptCount val="9"/>
                <c:pt idx="0">
                  <c:v>2.0017448636363637</c:v>
                </c:pt>
                <c:pt idx="1">
                  <c:v>3.0028051888888889</c:v>
                </c:pt>
                <c:pt idx="2">
                  <c:v>5.0054221142857145</c:v>
                </c:pt>
                <c:pt idx="3">
                  <c:v>6.0061112625000002</c:v>
                </c:pt>
                <c:pt idx="4">
                  <c:v>8.0085138888888885</c:v>
                </c:pt>
                <c:pt idx="5">
                  <c:v>10.009798249999999</c:v>
                </c:pt>
                <c:pt idx="6">
                  <c:v>11.010463166666666</c:v>
                </c:pt>
                <c:pt idx="7">
                  <c:v>13.006575111111111</c:v>
                </c:pt>
                <c:pt idx="8">
                  <c:v>15.013119250000001</c:v>
                </c:pt>
              </c:numCache>
            </c:numRef>
          </c:xVal>
          <c:yVal>
            <c:numRef>
              <c:f>'Eff. area Abs'!$K$5:$K$13</c:f>
              <c:numCache>
                <c:formatCode>0.00000E+00</c:formatCode>
                <c:ptCount val="9"/>
                <c:pt idx="0">
                  <c:v>9.8059235077111394E-4</c:v>
                </c:pt>
                <c:pt idx="1">
                  <c:v>9.8060099585213023E-4</c:v>
                </c:pt>
                <c:pt idx="2">
                  <c:v>9.805997917865239E-4</c:v>
                </c:pt>
                <c:pt idx="3">
                  <c:v>9.8060166239387759E-4</c:v>
                </c:pt>
                <c:pt idx="4">
                  <c:v>9.8060129914032926E-4</c:v>
                </c:pt>
                <c:pt idx="5">
                  <c:v>9.8060060127662884E-4</c:v>
                </c:pt>
                <c:pt idx="6">
                  <c:v>9.8060578664418171E-4</c:v>
                </c:pt>
                <c:pt idx="7">
                  <c:v>9.8059824456595891E-4</c:v>
                </c:pt>
                <c:pt idx="8">
                  <c:v>9.8059935924115047E-4</c:v>
                </c:pt>
              </c:numCache>
            </c:numRef>
          </c:yVal>
          <c:smooth val="0"/>
          <c:extLst>
            <c:ext xmlns:c16="http://schemas.microsoft.com/office/drawing/2014/chart" uri="{C3380CC4-5D6E-409C-BE32-E72D297353CC}">
              <c16:uniqueId val="{00000002-7AFD-4B13-90F1-F8E274C6D3C1}"/>
            </c:ext>
          </c:extLst>
        </c:ser>
        <c:ser>
          <c:idx val="3"/>
          <c:order val="3"/>
          <c:tx>
            <c:v>Theor. abs.</c:v>
          </c:tx>
          <c:spPr>
            <a:ln w="19050" cap="rnd">
              <a:solidFill>
                <a:srgbClr val="C0504D"/>
              </a:solidFill>
              <a:round/>
            </a:ln>
            <a:effectLst/>
          </c:spPr>
          <c:marker>
            <c:symbol val="circle"/>
            <c:size val="5"/>
            <c:spPr>
              <a:noFill/>
              <a:ln w="9525">
                <a:noFill/>
              </a:ln>
              <a:effectLst/>
            </c:spPr>
          </c:marker>
          <c:xVal>
            <c:numRef>
              <c:f>'Eff. area Theoritical'!$I$57:$N$57</c:f>
              <c:numCache>
                <c:formatCode>General</c:formatCode>
                <c:ptCount val="6"/>
                <c:pt idx="0">
                  <c:v>0.3</c:v>
                </c:pt>
                <c:pt idx="1">
                  <c:v>1</c:v>
                </c:pt>
                <c:pt idx="2">
                  <c:v>3</c:v>
                </c:pt>
                <c:pt idx="3">
                  <c:v>10</c:v>
                </c:pt>
                <c:pt idx="4">
                  <c:v>11</c:v>
                </c:pt>
                <c:pt idx="5">
                  <c:v>15</c:v>
                </c:pt>
              </c:numCache>
            </c:numRef>
          </c:xVal>
          <c:yVal>
            <c:numRef>
              <c:f>'Eff. area Theoritical'!$I$58:$N$58</c:f>
              <c:numCache>
                <c:formatCode>0.000000E+00</c:formatCode>
                <c:ptCount val="6"/>
                <c:pt idx="0">
                  <c:v>9.8059930141903813E-4</c:v>
                </c:pt>
                <c:pt idx="1">
                  <c:v>9.8060336765883028E-4</c:v>
                </c:pt>
                <c:pt idx="2">
                  <c:v>9.8060536088514865E-4</c:v>
                </c:pt>
                <c:pt idx="3">
                  <c:v>9.8060647192109614E-4</c:v>
                </c:pt>
                <c:pt idx="4">
                  <c:v>9.8060654193145172E-4</c:v>
                </c:pt>
                <c:pt idx="5">
                  <c:v>9.8060677829094316E-4</c:v>
                </c:pt>
              </c:numCache>
            </c:numRef>
          </c:yVal>
          <c:smooth val="0"/>
          <c:extLst>
            <c:ext xmlns:c16="http://schemas.microsoft.com/office/drawing/2014/chart" uri="{C3380CC4-5D6E-409C-BE32-E72D297353CC}">
              <c16:uniqueId val="{00000003-7AFD-4B13-90F1-F8E274C6D3C1}"/>
            </c:ext>
          </c:extLst>
        </c:ser>
        <c:ser>
          <c:idx val="4"/>
          <c:order val="4"/>
          <c:tx>
            <c:v>Manuf.</c:v>
          </c:tx>
          <c:spPr>
            <a:ln w="25400" cap="rnd">
              <a:solidFill>
                <a:srgbClr val="1F497D"/>
              </a:solidFill>
              <a:round/>
            </a:ln>
            <a:effectLst/>
          </c:spPr>
          <c:marker>
            <c:symbol val="circle"/>
            <c:size val="5"/>
            <c:spPr>
              <a:noFill/>
              <a:ln w="9525">
                <a:noFill/>
              </a:ln>
              <a:effectLst/>
            </c:spPr>
          </c:marker>
          <c:xVal>
            <c:numRef>
              <c:f>'Manf. eff area'!$A$8:$A$18</c:f>
              <c:numCache>
                <c:formatCode>General</c:formatCode>
                <c:ptCount val="11"/>
                <c:pt idx="0">
                  <c:v>0.5</c:v>
                </c:pt>
                <c:pt idx="1">
                  <c:v>1</c:v>
                </c:pt>
                <c:pt idx="2" formatCode="0.00">
                  <c:v>2.0001946499999996</c:v>
                </c:pt>
                <c:pt idx="3" formatCode="0.00">
                  <c:v>3.0011803857142856</c:v>
                </c:pt>
                <c:pt idx="4" formatCode="0.00">
                  <c:v>5.0032018874999995</c:v>
                </c:pt>
                <c:pt idx="5" formatCode="0.00">
                  <c:v>6.0038167428571425</c:v>
                </c:pt>
                <c:pt idx="6" formatCode="0.00">
                  <c:v>8.0059102375000002</c:v>
                </c:pt>
                <c:pt idx="7" formatCode="0.00">
                  <c:v>10.006965874999999</c:v>
                </c:pt>
                <c:pt idx="8" formatCode="0.00">
                  <c:v>11.007600500000001</c:v>
                </c:pt>
                <c:pt idx="9" formatCode="0.00">
                  <c:v>13.003469181818183</c:v>
                </c:pt>
                <c:pt idx="10" formatCode="0.00">
                  <c:v>15.009969285714286</c:v>
                </c:pt>
              </c:numCache>
            </c:numRef>
          </c:xVal>
          <c:yVal>
            <c:numRef>
              <c:f>'Manf. eff area'!$B$8:$B$18</c:f>
              <c:numCache>
                <c:formatCode>0.0000E+00</c:formatCode>
                <c:ptCount val="11"/>
                <c:pt idx="0">
                  <c:v>9.806131E-4</c:v>
                </c:pt>
                <c:pt idx="1">
                  <c:v>9.806131E-4</c:v>
                </c:pt>
                <c:pt idx="2">
                  <c:v>9.806131E-4</c:v>
                </c:pt>
                <c:pt idx="3">
                  <c:v>9.806131E-4</c:v>
                </c:pt>
                <c:pt idx="4">
                  <c:v>9.806131E-4</c:v>
                </c:pt>
                <c:pt idx="5">
                  <c:v>9.806131E-4</c:v>
                </c:pt>
                <c:pt idx="6">
                  <c:v>9.806131E-4</c:v>
                </c:pt>
                <c:pt idx="7">
                  <c:v>9.806131E-4</c:v>
                </c:pt>
                <c:pt idx="8">
                  <c:v>9.806131E-4</c:v>
                </c:pt>
                <c:pt idx="9">
                  <c:v>9.806131E-4</c:v>
                </c:pt>
                <c:pt idx="10">
                  <c:v>9.806131E-4</c:v>
                </c:pt>
              </c:numCache>
            </c:numRef>
          </c:yVal>
          <c:smooth val="0"/>
          <c:extLst>
            <c:ext xmlns:c16="http://schemas.microsoft.com/office/drawing/2014/chart" uri="{C3380CC4-5D6E-409C-BE32-E72D297353CC}">
              <c16:uniqueId val="{00000004-7AFD-4B13-90F1-F8E274C6D3C1}"/>
            </c:ext>
          </c:extLst>
        </c:ser>
        <c:dLbls>
          <c:showLegendKey val="0"/>
          <c:showVal val="0"/>
          <c:showCatName val="0"/>
          <c:showSerName val="0"/>
          <c:showPercent val="0"/>
          <c:showBubbleSize val="0"/>
        </c:dLbls>
        <c:axId val="1546324232"/>
        <c:axId val="1546323248"/>
      </c:scatterChart>
      <c:valAx>
        <c:axId val="154632423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baseline="0">
                    <a:effectLst/>
                  </a:rPr>
                  <a:t>Pressure / kPa</a:t>
                </a:r>
                <a:endParaRPr lang="en-US" sz="12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6323248"/>
        <c:crosses val="autoZero"/>
        <c:crossBetween val="midCat"/>
      </c:valAx>
      <c:valAx>
        <c:axId val="1546323248"/>
        <c:scaling>
          <c:orientation val="minMax"/>
          <c:min val="9.8054000000000045E-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Effective area / m</a:t>
                </a:r>
                <a:r>
                  <a:rPr lang="en-US" sz="1200" b="1" baseline="30000"/>
                  <a:t>2</a:t>
                </a:r>
              </a:p>
            </c:rich>
          </c:tx>
          <c:layout>
            <c:manualLayout>
              <c:xMode val="edge"/>
              <c:yMode val="edge"/>
              <c:x val="1.2619950283992279E-2"/>
              <c:y val="0.249366218928516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6324232"/>
        <c:crosses val="autoZero"/>
        <c:crossBetween val="midCat"/>
        <c:majorUnit val="1.0000000000000005E-8"/>
      </c:valAx>
      <c:spPr>
        <a:noFill/>
        <a:ln>
          <a:noFill/>
        </a:ln>
        <a:effectLst/>
      </c:spPr>
    </c:plotArea>
    <c:legend>
      <c:legendPos val="r"/>
      <c:layout>
        <c:manualLayout>
          <c:xMode val="edge"/>
          <c:yMode val="edge"/>
          <c:x val="4.5781430099015391E-2"/>
          <c:y val="0.87180381864031686"/>
          <c:w val="0.92107184518601837"/>
          <c:h val="0.12185168030466779"/>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94475423668126"/>
          <c:y val="9.3262410418331651E-2"/>
          <c:w val="0.76325334777992604"/>
          <c:h val="0.70098022723038322"/>
        </c:manualLayout>
      </c:layout>
      <c:scatterChart>
        <c:scatterStyle val="lineMarker"/>
        <c:varyColors val="0"/>
        <c:ser>
          <c:idx val="0"/>
          <c:order val="0"/>
          <c:tx>
            <c:v>Press. Diff.</c:v>
          </c:tx>
          <c:spPr>
            <a:ln w="19050" cap="rnd">
              <a:noFill/>
              <a:round/>
            </a:ln>
            <a:effectLst/>
          </c:spPr>
          <c:marker>
            <c:symbol val="circle"/>
            <c:size val="5"/>
            <c:spPr>
              <a:solidFill>
                <a:schemeClr val="accent1"/>
              </a:solidFill>
              <a:ln w="9525">
                <a:solidFill>
                  <a:schemeClr val="accent1"/>
                </a:solidFill>
              </a:ln>
              <a:effectLst/>
            </c:spPr>
          </c:marker>
          <c:xVal>
            <c:numRef>
              <c:f>'FPG Vs. Schw. Gauge'!$B$4:$B$148</c:f>
              <c:numCache>
                <c:formatCode>0.000</c:formatCode>
                <c:ptCount val="145"/>
                <c:pt idx="0">
                  <c:v>100.03275000000001</c:v>
                </c:pt>
                <c:pt idx="1">
                  <c:v>100.03286</c:v>
                </c:pt>
                <c:pt idx="2">
                  <c:v>100.03304</c:v>
                </c:pt>
                <c:pt idx="3">
                  <c:v>100.03327</c:v>
                </c:pt>
                <c:pt idx="4">
                  <c:v>100.04575999999999</c:v>
                </c:pt>
                <c:pt idx="5">
                  <c:v>100.04587000000001</c:v>
                </c:pt>
                <c:pt idx="6">
                  <c:v>100.08462</c:v>
                </c:pt>
                <c:pt idx="7">
                  <c:v>100.08477000000001</c:v>
                </c:pt>
                <c:pt idx="8">
                  <c:v>100.08481999999999</c:v>
                </c:pt>
                <c:pt idx="9">
                  <c:v>100.08485999999999</c:v>
                </c:pt>
                <c:pt idx="10">
                  <c:v>100.08485999999999</c:v>
                </c:pt>
                <c:pt idx="11">
                  <c:v>100.11236</c:v>
                </c:pt>
                <c:pt idx="12">
                  <c:v>100.11236</c:v>
                </c:pt>
                <c:pt idx="13">
                  <c:v>100.11238999999999</c:v>
                </c:pt>
                <c:pt idx="14">
                  <c:v>100.11251000000001</c:v>
                </c:pt>
                <c:pt idx="15">
                  <c:v>299.96644000000003</c:v>
                </c:pt>
                <c:pt idx="16">
                  <c:v>299.9667</c:v>
                </c:pt>
                <c:pt idx="17">
                  <c:v>299.97941000000003</c:v>
                </c:pt>
                <c:pt idx="18">
                  <c:v>299.97951999999998</c:v>
                </c:pt>
                <c:pt idx="19">
                  <c:v>299.97955999999999</c:v>
                </c:pt>
                <c:pt idx="20">
                  <c:v>299.97977000000003</c:v>
                </c:pt>
                <c:pt idx="21">
                  <c:v>300.03339</c:v>
                </c:pt>
                <c:pt idx="22">
                  <c:v>300.03362000000004</c:v>
                </c:pt>
                <c:pt idx="23">
                  <c:v>300.03408999999999</c:v>
                </c:pt>
                <c:pt idx="24">
                  <c:v>300.05608999999998</c:v>
                </c:pt>
                <c:pt idx="25">
                  <c:v>300.05633</c:v>
                </c:pt>
                <c:pt idx="26">
                  <c:v>300.05651</c:v>
                </c:pt>
                <c:pt idx="27">
                  <c:v>300.05653000000001</c:v>
                </c:pt>
                <c:pt idx="28">
                  <c:v>300.05663000000004</c:v>
                </c:pt>
                <c:pt idx="29">
                  <c:v>999.93361000000004</c:v>
                </c:pt>
                <c:pt idx="30">
                  <c:v>999.93427999999994</c:v>
                </c:pt>
                <c:pt idx="31">
                  <c:v>999.94707000000005</c:v>
                </c:pt>
                <c:pt idx="32">
                  <c:v>999.94727</c:v>
                </c:pt>
                <c:pt idx="33">
                  <c:v>999.94729000000007</c:v>
                </c:pt>
                <c:pt idx="34">
                  <c:v>999.95476000000008</c:v>
                </c:pt>
                <c:pt idx="35">
                  <c:v>999.95480999999995</c:v>
                </c:pt>
                <c:pt idx="36">
                  <c:v>999.95501000000013</c:v>
                </c:pt>
                <c:pt idx="37">
                  <c:v>999.96784000000002</c:v>
                </c:pt>
                <c:pt idx="38">
                  <c:v>999.96796000000006</c:v>
                </c:pt>
                <c:pt idx="39">
                  <c:v>999.9681700000001</c:v>
                </c:pt>
                <c:pt idx="40">
                  <c:v>999.97491000000002</c:v>
                </c:pt>
                <c:pt idx="41">
                  <c:v>999.97495000000004</c:v>
                </c:pt>
                <c:pt idx="42">
                  <c:v>999.97516000000007</c:v>
                </c:pt>
                <c:pt idx="43">
                  <c:v>999.97530000000006</c:v>
                </c:pt>
                <c:pt idx="44">
                  <c:v>999.97530999999992</c:v>
                </c:pt>
                <c:pt idx="45">
                  <c:v>1999.7309</c:v>
                </c:pt>
                <c:pt idx="46">
                  <c:v>1999.7311999999999</c:v>
                </c:pt>
                <c:pt idx="47">
                  <c:v>1999.7315000000001</c:v>
                </c:pt>
                <c:pt idx="48">
                  <c:v>1999.7441000000001</c:v>
                </c:pt>
                <c:pt idx="49">
                  <c:v>1999.7444</c:v>
                </c:pt>
                <c:pt idx="50">
                  <c:v>1999.8723</c:v>
                </c:pt>
                <c:pt idx="51">
                  <c:v>1999.8724</c:v>
                </c:pt>
                <c:pt idx="52">
                  <c:v>1999.8728000000001</c:v>
                </c:pt>
                <c:pt idx="53">
                  <c:v>1999.8729000000001</c:v>
                </c:pt>
                <c:pt idx="54">
                  <c:v>1999.8732000000002</c:v>
                </c:pt>
                <c:pt idx="55">
                  <c:v>1999.8861999999999</c:v>
                </c:pt>
                <c:pt idx="56">
                  <c:v>1999.8861999999999</c:v>
                </c:pt>
                <c:pt idx="57">
                  <c:v>1999.8864000000001</c:v>
                </c:pt>
                <c:pt idx="58">
                  <c:v>1999.8865000000001</c:v>
                </c:pt>
                <c:pt idx="59">
                  <c:v>1999.8867</c:v>
                </c:pt>
                <c:pt idx="60">
                  <c:v>2999.5889999999999</c:v>
                </c:pt>
                <c:pt idx="61">
                  <c:v>2999.5893000000001</c:v>
                </c:pt>
                <c:pt idx="62">
                  <c:v>2999.6032</c:v>
                </c:pt>
                <c:pt idx="63">
                  <c:v>2999.6035999999999</c:v>
                </c:pt>
                <c:pt idx="64">
                  <c:v>2999.7673999999997</c:v>
                </c:pt>
                <c:pt idx="65">
                  <c:v>2999.7676999999999</c:v>
                </c:pt>
                <c:pt idx="66">
                  <c:v>2999.7678999999998</c:v>
                </c:pt>
                <c:pt idx="67">
                  <c:v>2999.7785999999996</c:v>
                </c:pt>
                <c:pt idx="68">
                  <c:v>2999.7789000000002</c:v>
                </c:pt>
                <c:pt idx="69">
                  <c:v>2999.7809999999999</c:v>
                </c:pt>
                <c:pt idx="70">
                  <c:v>2999.7815000000001</c:v>
                </c:pt>
                <c:pt idx="71">
                  <c:v>2999.7815000000001</c:v>
                </c:pt>
                <c:pt idx="72">
                  <c:v>2999.7820999999999</c:v>
                </c:pt>
                <c:pt idx="73">
                  <c:v>2999.7822999999999</c:v>
                </c:pt>
                <c:pt idx="74">
                  <c:v>4999.0585999999994</c:v>
                </c:pt>
                <c:pt idx="75">
                  <c:v>4999.0726999999997</c:v>
                </c:pt>
                <c:pt idx="76">
                  <c:v>4999.0727999999999</c:v>
                </c:pt>
                <c:pt idx="77">
                  <c:v>4999.0727999999999</c:v>
                </c:pt>
                <c:pt idx="78">
                  <c:v>4999.0729000000001</c:v>
                </c:pt>
                <c:pt idx="79">
                  <c:v>4999.3406999999997</c:v>
                </c:pt>
                <c:pt idx="80">
                  <c:v>4999.3418000000001</c:v>
                </c:pt>
                <c:pt idx="81">
                  <c:v>4999.3429999999998</c:v>
                </c:pt>
                <c:pt idx="82">
                  <c:v>4999.3564999999999</c:v>
                </c:pt>
                <c:pt idx="83">
                  <c:v>4999.3584000000001</c:v>
                </c:pt>
                <c:pt idx="84">
                  <c:v>4999.5060000000003</c:v>
                </c:pt>
                <c:pt idx="85">
                  <c:v>4999.5063</c:v>
                </c:pt>
                <c:pt idx="86">
                  <c:v>4999.5077999999994</c:v>
                </c:pt>
                <c:pt idx="87">
                  <c:v>4999.518</c:v>
                </c:pt>
                <c:pt idx="88">
                  <c:v>7999.1152999999995</c:v>
                </c:pt>
                <c:pt idx="89">
                  <c:v>7999.1155999999992</c:v>
                </c:pt>
                <c:pt idx="90">
                  <c:v>7999.1169</c:v>
                </c:pt>
                <c:pt idx="91">
                  <c:v>7999.118199999999</c:v>
                </c:pt>
                <c:pt idx="92">
                  <c:v>7999.1267000000007</c:v>
                </c:pt>
                <c:pt idx="93">
                  <c:v>7999.1355999999996</c:v>
                </c:pt>
                <c:pt idx="94">
                  <c:v>7999.1359999999995</c:v>
                </c:pt>
                <c:pt idx="95">
                  <c:v>7999.1509000000005</c:v>
                </c:pt>
                <c:pt idx="96">
                  <c:v>7999.1553000000004</c:v>
                </c:pt>
                <c:pt idx="97">
                  <c:v>7999.1789999999992</c:v>
                </c:pt>
                <c:pt idx="98">
                  <c:v>7999.1805999999997</c:v>
                </c:pt>
                <c:pt idx="99">
                  <c:v>7999.1805999999997</c:v>
                </c:pt>
                <c:pt idx="100">
                  <c:v>7999.1805999999997</c:v>
                </c:pt>
                <c:pt idx="101">
                  <c:v>9998.9109000000008</c:v>
                </c:pt>
                <c:pt idx="102">
                  <c:v>9998.9125000000004</c:v>
                </c:pt>
                <c:pt idx="103">
                  <c:v>9998.9148000000005</c:v>
                </c:pt>
                <c:pt idx="104">
                  <c:v>9998.9184999999998</c:v>
                </c:pt>
                <c:pt idx="105">
                  <c:v>9998.9277000000002</c:v>
                </c:pt>
                <c:pt idx="106">
                  <c:v>9998.9794000000002</c:v>
                </c:pt>
                <c:pt idx="107">
                  <c:v>9998.9822000000004</c:v>
                </c:pt>
                <c:pt idx="108">
                  <c:v>9998.9822999999997</c:v>
                </c:pt>
                <c:pt idx="109">
                  <c:v>9998.9825000000001</c:v>
                </c:pt>
                <c:pt idx="110">
                  <c:v>9998.9974000000002</c:v>
                </c:pt>
                <c:pt idx="111">
                  <c:v>9999.0036</c:v>
                </c:pt>
                <c:pt idx="112">
                  <c:v>9999.008600000001</c:v>
                </c:pt>
                <c:pt idx="113">
                  <c:v>9999.0105999999996</c:v>
                </c:pt>
                <c:pt idx="114">
                  <c:v>9999.0126999999993</c:v>
                </c:pt>
                <c:pt idx="115">
                  <c:v>12998.179000000002</c:v>
                </c:pt>
                <c:pt idx="116">
                  <c:v>12998.191000000001</c:v>
                </c:pt>
                <c:pt idx="117">
                  <c:v>12998.192999999999</c:v>
                </c:pt>
                <c:pt idx="118">
                  <c:v>12998.192999999999</c:v>
                </c:pt>
                <c:pt idx="119">
                  <c:v>12998.192999999999</c:v>
                </c:pt>
                <c:pt idx="120">
                  <c:v>12998.422</c:v>
                </c:pt>
                <c:pt idx="121">
                  <c:v>12998.424000000001</c:v>
                </c:pt>
                <c:pt idx="122">
                  <c:v>12998.424999999999</c:v>
                </c:pt>
                <c:pt idx="123">
                  <c:v>12998.436</c:v>
                </c:pt>
                <c:pt idx="124">
                  <c:v>12998.436</c:v>
                </c:pt>
                <c:pt idx="125">
                  <c:v>12998.44</c:v>
                </c:pt>
                <c:pt idx="126">
                  <c:v>12998.645</c:v>
                </c:pt>
                <c:pt idx="127">
                  <c:v>12998.646999999999</c:v>
                </c:pt>
                <c:pt idx="128">
                  <c:v>12998.646999999999</c:v>
                </c:pt>
                <c:pt idx="129">
                  <c:v>12998.649000000001</c:v>
                </c:pt>
                <c:pt idx="130">
                  <c:v>12998.661</c:v>
                </c:pt>
                <c:pt idx="131">
                  <c:v>14998.338</c:v>
                </c:pt>
                <c:pt idx="132">
                  <c:v>14998.341</c:v>
                </c:pt>
                <c:pt idx="133">
                  <c:v>14998.341</c:v>
                </c:pt>
                <c:pt idx="134">
                  <c:v>14998.341</c:v>
                </c:pt>
                <c:pt idx="135">
                  <c:v>14998.343999999999</c:v>
                </c:pt>
                <c:pt idx="136">
                  <c:v>14998.346000000001</c:v>
                </c:pt>
                <c:pt idx="137">
                  <c:v>14998.346000000001</c:v>
                </c:pt>
                <c:pt idx="138">
                  <c:v>14998.348</c:v>
                </c:pt>
                <c:pt idx="139">
                  <c:v>14998.353000000001</c:v>
                </c:pt>
                <c:pt idx="140">
                  <c:v>14998.355999999998</c:v>
                </c:pt>
                <c:pt idx="141">
                  <c:v>14998.390000000001</c:v>
                </c:pt>
                <c:pt idx="142">
                  <c:v>14998.397999999999</c:v>
                </c:pt>
                <c:pt idx="143">
                  <c:v>14998.404</c:v>
                </c:pt>
                <c:pt idx="144">
                  <c:v>14998.413999999999</c:v>
                </c:pt>
              </c:numCache>
            </c:numRef>
          </c:xVal>
          <c:yVal>
            <c:numRef>
              <c:f>'FPG Vs. Schw. Gauge'!$D$4:$D$148</c:f>
              <c:numCache>
                <c:formatCode>0.000</c:formatCode>
                <c:ptCount val="145"/>
                <c:pt idx="0">
                  <c:v>7.3853832062610536E-2</c:v>
                </c:pt>
                <c:pt idx="1">
                  <c:v>9.371752726117677E-2</c:v>
                </c:pt>
                <c:pt idx="2">
                  <c:v>9.0541472981442439E-2</c:v>
                </c:pt>
                <c:pt idx="3">
                  <c:v>3.7385683860208019E-2</c:v>
                </c:pt>
                <c:pt idx="4">
                  <c:v>5.9843345411167093E-2</c:v>
                </c:pt>
                <c:pt idx="5">
                  <c:v>6.7724625382155068E-2</c:v>
                </c:pt>
                <c:pt idx="6">
                  <c:v>5.0968288206632906E-2</c:v>
                </c:pt>
                <c:pt idx="7">
                  <c:v>4.4830684108646324E-2</c:v>
                </c:pt>
                <c:pt idx="8">
                  <c:v>3.5783508032409372E-2</c:v>
                </c:pt>
                <c:pt idx="9">
                  <c:v>5.3728860660598343E-2</c:v>
                </c:pt>
                <c:pt idx="10">
                  <c:v>3.4746636522541507E-2</c:v>
                </c:pt>
                <c:pt idx="11">
                  <c:v>3.4209135889042841E-2</c:v>
                </c:pt>
                <c:pt idx="12">
                  <c:v>3.2211766009766052E-2</c:v>
                </c:pt>
                <c:pt idx="13">
                  <c:v>3.6176505768324319E-2</c:v>
                </c:pt>
                <c:pt idx="14">
                  <c:v>5.7028889500472246E-2</c:v>
                </c:pt>
                <c:pt idx="15">
                  <c:v>0.11773436259932168</c:v>
                </c:pt>
                <c:pt idx="16">
                  <c:v>7.8520270719707241E-2</c:v>
                </c:pt>
                <c:pt idx="17">
                  <c:v>9.8758752831258789E-2</c:v>
                </c:pt>
                <c:pt idx="18">
                  <c:v>2.6743480198831548E-2</c:v>
                </c:pt>
                <c:pt idx="19">
                  <c:v>6.8648222568469919E-2</c:v>
                </c:pt>
                <c:pt idx="20">
                  <c:v>6.6440853884216722E-2</c:v>
                </c:pt>
                <c:pt idx="21">
                  <c:v>7.4847194715687237E-2</c:v>
                </c:pt>
                <c:pt idx="22">
                  <c:v>6.263297829690373E-2</c:v>
                </c:pt>
                <c:pt idx="23">
                  <c:v>6.3161662998538759E-2</c:v>
                </c:pt>
                <c:pt idx="24">
                  <c:v>3.4198062462735379E-2</c:v>
                </c:pt>
                <c:pt idx="25">
                  <c:v>3.9950171211501129E-2</c:v>
                </c:pt>
                <c:pt idx="26">
                  <c:v>1.6800421007474142E-2</c:v>
                </c:pt>
                <c:pt idx="27">
                  <c:v>5.073570391755311E-2</c:v>
                </c:pt>
                <c:pt idx="28">
                  <c:v>3.3658062462677663E-2</c:v>
                </c:pt>
                <c:pt idx="29">
                  <c:v>6.6213574573680489E-2</c:v>
                </c:pt>
                <c:pt idx="30">
                  <c:v>7.2624347465534811E-2</c:v>
                </c:pt>
                <c:pt idx="31">
                  <c:v>2.7741474226786522E-2</c:v>
                </c:pt>
                <c:pt idx="32">
                  <c:v>3.6574637336912019E-2</c:v>
                </c:pt>
                <c:pt idx="33">
                  <c:v>7.5458283779767044E-2</c:v>
                </c:pt>
                <c:pt idx="34">
                  <c:v>4.0520189019957797E-2</c:v>
                </c:pt>
                <c:pt idx="35">
                  <c:v>8.4412286194492481E-2</c:v>
                </c:pt>
                <c:pt idx="36">
                  <c:v>4.1340884719261339E-2</c:v>
                </c:pt>
                <c:pt idx="37">
                  <c:v>3.9424397340553696E-2</c:v>
                </c:pt>
                <c:pt idx="38">
                  <c:v>8.3246494514241931E-2</c:v>
                </c:pt>
                <c:pt idx="39">
                  <c:v>4.1091765393957758E-2</c:v>
                </c:pt>
                <c:pt idx="40">
                  <c:v>4.6245800208112087E-2</c:v>
                </c:pt>
                <c:pt idx="41">
                  <c:v>6.0196375594614437E-2</c:v>
                </c:pt>
                <c:pt idx="42">
                  <c:v>3.0016857219493431E-2</c:v>
                </c:pt>
                <c:pt idx="43">
                  <c:v>7.9811054058268383E-2</c:v>
                </c:pt>
                <c:pt idx="44">
                  <c:v>5.3835271702496357E-2</c:v>
                </c:pt>
                <c:pt idx="45">
                  <c:v>4.7404430698861688E-2</c:v>
                </c:pt>
                <c:pt idx="46">
                  <c:v>3.4121557158186988E-2</c:v>
                </c:pt>
                <c:pt idx="47">
                  <c:v>1.3847905556076512E-2</c:v>
                </c:pt>
                <c:pt idx="48">
                  <c:v>7.1155686160864207E-2</c:v>
                </c:pt>
                <c:pt idx="49">
                  <c:v>-5.0777024398485082E-5</c:v>
                </c:pt>
                <c:pt idx="50">
                  <c:v>1.1946072803766583E-2</c:v>
                </c:pt>
                <c:pt idx="51">
                  <c:v>7.567179521424805E-2</c:v>
                </c:pt>
                <c:pt idx="52">
                  <c:v>8.3279259323944643E-2</c:v>
                </c:pt>
                <c:pt idx="53">
                  <c:v>0.11112438588793339</c:v>
                </c:pt>
                <c:pt idx="54">
                  <c:v>7.0967059959002654E-2</c:v>
                </c:pt>
                <c:pt idx="55">
                  <c:v>0.12869338941254682</c:v>
                </c:pt>
                <c:pt idx="56">
                  <c:v>0.15565783120314336</c:v>
                </c:pt>
                <c:pt idx="57">
                  <c:v>9.5536849445807093E-2</c:v>
                </c:pt>
                <c:pt idx="58">
                  <c:v>9.0443434299459113E-2</c:v>
                </c:pt>
                <c:pt idx="59">
                  <c:v>0.12619603655025458</c:v>
                </c:pt>
                <c:pt idx="60">
                  <c:v>-3.3706720923873945E-2</c:v>
                </c:pt>
                <c:pt idx="61">
                  <c:v>-4.1002443372235575E-3</c:v>
                </c:pt>
                <c:pt idx="62">
                  <c:v>5.5821253770773183E-2</c:v>
                </c:pt>
                <c:pt idx="63">
                  <c:v>1.447528152311861E-2</c:v>
                </c:pt>
                <c:pt idx="64">
                  <c:v>-5.4368501382214163E-2</c:v>
                </c:pt>
                <c:pt idx="65">
                  <c:v>0.11710490743280388</c:v>
                </c:pt>
                <c:pt idx="66">
                  <c:v>-8.9291013487127202E-3</c:v>
                </c:pt>
                <c:pt idx="67">
                  <c:v>-0.12870147954890854</c:v>
                </c:pt>
                <c:pt idx="68">
                  <c:v>3.2731095178405667E-2</c:v>
                </c:pt>
                <c:pt idx="69">
                  <c:v>6.9282134631976078E-2</c:v>
                </c:pt>
                <c:pt idx="70">
                  <c:v>1.7849365101483272E-2</c:v>
                </c:pt>
                <c:pt idx="71">
                  <c:v>5.4773591678895173E-2</c:v>
                </c:pt>
                <c:pt idx="72">
                  <c:v>-9.6610466944184736E-3</c:v>
                </c:pt>
                <c:pt idx="73">
                  <c:v>5.4135581941409328E-2</c:v>
                </c:pt>
                <c:pt idx="74">
                  <c:v>1.0196202529186849E-3</c:v>
                </c:pt>
                <c:pt idx="75">
                  <c:v>-0.14086669252264983</c:v>
                </c:pt>
                <c:pt idx="76">
                  <c:v>-2.8430557729734574E-2</c:v>
                </c:pt>
                <c:pt idx="77">
                  <c:v>2.4364613289435511E-2</c:v>
                </c:pt>
                <c:pt idx="78">
                  <c:v>7.4198711960889341E-2</c:v>
                </c:pt>
                <c:pt idx="79">
                  <c:v>0.25655164762156346</c:v>
                </c:pt>
                <c:pt idx="80">
                  <c:v>7.269292873388622E-2</c:v>
                </c:pt>
                <c:pt idx="81">
                  <c:v>0.11443621965463535</c:v>
                </c:pt>
                <c:pt idx="82">
                  <c:v>0.13888611756465252</c:v>
                </c:pt>
                <c:pt idx="83">
                  <c:v>7.7065226127160713E-2</c:v>
                </c:pt>
                <c:pt idx="84">
                  <c:v>0.37045004127867287</c:v>
                </c:pt>
                <c:pt idx="85">
                  <c:v>-0.25384563576426444</c:v>
                </c:pt>
                <c:pt idx="86">
                  <c:v>-0.12351973391741922</c:v>
                </c:pt>
                <c:pt idx="87">
                  <c:v>0.15844385253876681</c:v>
                </c:pt>
                <c:pt idx="88">
                  <c:v>-0.10959000359162019</c:v>
                </c:pt>
                <c:pt idx="89">
                  <c:v>-0.30263564278266131</c:v>
                </c:pt>
                <c:pt idx="90">
                  <c:v>-0.17410697389914276</c:v>
                </c:pt>
                <c:pt idx="91">
                  <c:v>4.9296491501081618E-2</c:v>
                </c:pt>
                <c:pt idx="92">
                  <c:v>2.9810988745339273E-2</c:v>
                </c:pt>
                <c:pt idx="93">
                  <c:v>3.533383975536708E-2</c:v>
                </c:pt>
                <c:pt idx="94">
                  <c:v>-0.11586717972386396</c:v>
                </c:pt>
                <c:pt idx="95">
                  <c:v>0.13887702730062301</c:v>
                </c:pt>
                <c:pt idx="96">
                  <c:v>0.15517062074468413</c:v>
                </c:pt>
                <c:pt idx="97">
                  <c:v>1.5856128778978018E-2</c:v>
                </c:pt>
                <c:pt idx="98">
                  <c:v>-0.12027792521803349</c:v>
                </c:pt>
                <c:pt idx="99">
                  <c:v>-5.3654221318538475E-2</c:v>
                </c:pt>
                <c:pt idx="100">
                  <c:v>2.3244263350534311E-2</c:v>
                </c:pt>
                <c:pt idx="101">
                  <c:v>-0.27493180878809653</c:v>
                </c:pt>
                <c:pt idx="102">
                  <c:v>-7.779375248355791E-2</c:v>
                </c:pt>
                <c:pt idx="103">
                  <c:v>-0.10660826822640956</c:v>
                </c:pt>
                <c:pt idx="104">
                  <c:v>-0.11784779434310622</c:v>
                </c:pt>
                <c:pt idx="105">
                  <c:v>-0.12295426348646288</c:v>
                </c:pt>
                <c:pt idx="106">
                  <c:v>-0.34323409876014921</c:v>
                </c:pt>
                <c:pt idx="107">
                  <c:v>-7.948438570019789E-2</c:v>
                </c:pt>
                <c:pt idx="108">
                  <c:v>0.20277309940138366</c:v>
                </c:pt>
                <c:pt idx="109">
                  <c:v>-3.3356995172653114E-3</c:v>
                </c:pt>
                <c:pt idx="110">
                  <c:v>0.3406429460264917</c:v>
                </c:pt>
                <c:pt idx="111">
                  <c:v>-0.19386073144778493</c:v>
                </c:pt>
                <c:pt idx="112">
                  <c:v>5.4804928400699282E-2</c:v>
                </c:pt>
                <c:pt idx="113">
                  <c:v>2.8707433866657084E-3</c:v>
                </c:pt>
                <c:pt idx="114">
                  <c:v>6.9859901310337591E-2</c:v>
                </c:pt>
                <c:pt idx="115">
                  <c:v>-8.2672391488813446E-2</c:v>
                </c:pt>
                <c:pt idx="116">
                  <c:v>-0.11481728074795683</c:v>
                </c:pt>
                <c:pt idx="117">
                  <c:v>-0.24447818296175683</c:v>
                </c:pt>
                <c:pt idx="118">
                  <c:v>-0.20799466038988612</c:v>
                </c:pt>
                <c:pt idx="119">
                  <c:v>-0.16352163877127168</c:v>
                </c:pt>
                <c:pt idx="120">
                  <c:v>-0.38296790563981631</c:v>
                </c:pt>
                <c:pt idx="121">
                  <c:v>0.18175560563940962</c:v>
                </c:pt>
                <c:pt idx="122">
                  <c:v>0.2226462571961747</c:v>
                </c:pt>
                <c:pt idx="123">
                  <c:v>-0.2085756748856511</c:v>
                </c:pt>
                <c:pt idx="124">
                  <c:v>-0.15175882425319287</c:v>
                </c:pt>
                <c:pt idx="125">
                  <c:v>7.2167159580203588E-2</c:v>
                </c:pt>
                <c:pt idx="126">
                  <c:v>-3.6336856639536563E-2</c:v>
                </c:pt>
                <c:pt idx="127">
                  <c:v>-0.10742607774227508</c:v>
                </c:pt>
                <c:pt idx="128">
                  <c:v>-0.13174554058605281</c:v>
                </c:pt>
                <c:pt idx="129">
                  <c:v>-4.5510065509006381E-2</c:v>
                </c:pt>
                <c:pt idx="130">
                  <c:v>-0.18334472340029606</c:v>
                </c:pt>
                <c:pt idx="131">
                  <c:v>-3.833239374216646E-2</c:v>
                </c:pt>
                <c:pt idx="132">
                  <c:v>2.9611868030769983E-3</c:v>
                </c:pt>
                <c:pt idx="133">
                  <c:v>-1.9010026215255493E-2</c:v>
                </c:pt>
                <c:pt idx="134">
                  <c:v>-6.2970106810098514E-3</c:v>
                </c:pt>
                <c:pt idx="135">
                  <c:v>-0.14161138828058029</c:v>
                </c:pt>
                <c:pt idx="136">
                  <c:v>-0.1402641744025459</c:v>
                </c:pt>
                <c:pt idx="137">
                  <c:v>-0.12595872387646523</c:v>
                </c:pt>
                <c:pt idx="138">
                  <c:v>-5.5323233613307821E-2</c:v>
                </c:pt>
                <c:pt idx="139">
                  <c:v>-0.11967933497544436</c:v>
                </c:pt>
                <c:pt idx="140">
                  <c:v>0.15762905134033645</c:v>
                </c:pt>
                <c:pt idx="141">
                  <c:v>-1.9480151629977627E-2</c:v>
                </c:pt>
                <c:pt idx="142">
                  <c:v>-0.11836104548274307</c:v>
                </c:pt>
                <c:pt idx="143">
                  <c:v>-2.4815698749080184E-2</c:v>
                </c:pt>
                <c:pt idx="144">
                  <c:v>-6.2050329799603787E-2</c:v>
                </c:pt>
              </c:numCache>
            </c:numRef>
          </c:yVal>
          <c:smooth val="0"/>
          <c:extLst>
            <c:ext xmlns:c16="http://schemas.microsoft.com/office/drawing/2014/chart" uri="{C3380CC4-5D6E-409C-BE32-E72D297353CC}">
              <c16:uniqueId val="{00000000-884B-4D51-9B4B-30CB55EDBF95}"/>
            </c:ext>
          </c:extLst>
        </c:ser>
        <c:ser>
          <c:idx val="1"/>
          <c:order val="1"/>
          <c:tx>
            <c:v>Uncertainty k=2</c:v>
          </c:tx>
          <c:spPr>
            <a:ln w="25400" cap="rnd">
              <a:solidFill>
                <a:schemeClr val="accent2"/>
              </a:solidFill>
              <a:prstDash val="dash"/>
              <a:round/>
            </a:ln>
            <a:effectLst/>
          </c:spPr>
          <c:marker>
            <c:symbol val="circle"/>
            <c:size val="5"/>
            <c:spPr>
              <a:noFill/>
              <a:ln w="9525">
                <a:noFill/>
              </a:ln>
              <a:effectLst/>
            </c:spPr>
          </c:marker>
          <c:xVal>
            <c:numRef>
              <c:f>'FPG Vs. Schw. Gauge'!$H$4:$H$13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Gauge'!$W$5:$W$14</c:f>
              <c:numCache>
                <c:formatCode>0.000</c:formatCode>
                <c:ptCount val="10"/>
                <c:pt idx="0">
                  <c:v>0.11537126270183976</c:v>
                </c:pt>
                <c:pt idx="1">
                  <c:v>0.11800422800297419</c:v>
                </c:pt>
                <c:pt idx="2">
                  <c:v>0.12947425604976126</c:v>
                </c:pt>
                <c:pt idx="3">
                  <c:v>0.15066018581811935</c:v>
                </c:pt>
                <c:pt idx="4">
                  <c:v>0.16901213599115361</c:v>
                </c:pt>
                <c:pt idx="5">
                  <c:v>0.21184755799059363</c:v>
                </c:pt>
                <c:pt idx="6">
                  <c:v>0.25294683892050485</c:v>
                </c:pt>
                <c:pt idx="7">
                  <c:v>0.31990783122586908</c:v>
                </c:pt>
                <c:pt idx="8">
                  <c:v>0.35347777314088524</c:v>
                </c:pt>
                <c:pt idx="9">
                  <c:v>0.37324473569567873</c:v>
                </c:pt>
              </c:numCache>
            </c:numRef>
          </c:yVal>
          <c:smooth val="0"/>
          <c:extLst>
            <c:ext xmlns:c16="http://schemas.microsoft.com/office/drawing/2014/chart" uri="{C3380CC4-5D6E-409C-BE32-E72D297353CC}">
              <c16:uniqueId val="{00000001-884B-4D51-9B4B-30CB55EDBF95}"/>
            </c:ext>
          </c:extLst>
        </c:ser>
        <c:ser>
          <c:idx val="3"/>
          <c:order val="2"/>
          <c:tx>
            <c:v>u-</c:v>
          </c:tx>
          <c:spPr>
            <a:ln w="25400" cap="rnd">
              <a:solidFill>
                <a:schemeClr val="accent2"/>
              </a:solidFill>
              <a:prstDash val="dash"/>
              <a:round/>
            </a:ln>
            <a:effectLst/>
          </c:spPr>
          <c:marker>
            <c:symbol val="circle"/>
            <c:size val="5"/>
            <c:spPr>
              <a:noFill/>
              <a:ln w="9525">
                <a:noFill/>
              </a:ln>
              <a:effectLst/>
            </c:spPr>
          </c:marker>
          <c:xVal>
            <c:numRef>
              <c:f>'FPG Vs. Schw. Gauge'!$H$4:$H$13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Gauge'!$X$5:$X$14</c:f>
              <c:numCache>
                <c:formatCode>0.0000</c:formatCode>
                <c:ptCount val="10"/>
                <c:pt idx="0">
                  <c:v>-0.11537126270183976</c:v>
                </c:pt>
                <c:pt idx="1">
                  <c:v>-0.11800422800297419</c:v>
                </c:pt>
                <c:pt idx="2">
                  <c:v>-0.12947425604976126</c:v>
                </c:pt>
                <c:pt idx="3">
                  <c:v>-0.15066018581811935</c:v>
                </c:pt>
                <c:pt idx="4">
                  <c:v>-0.16901213599115361</c:v>
                </c:pt>
                <c:pt idx="5">
                  <c:v>-0.21184755799059363</c:v>
                </c:pt>
                <c:pt idx="6">
                  <c:v>-0.25294683892050485</c:v>
                </c:pt>
                <c:pt idx="7">
                  <c:v>-0.31990783122586908</c:v>
                </c:pt>
                <c:pt idx="8">
                  <c:v>-0.35347777314088524</c:v>
                </c:pt>
                <c:pt idx="9">
                  <c:v>-0.37324473569567873</c:v>
                </c:pt>
              </c:numCache>
            </c:numRef>
          </c:yVal>
          <c:smooth val="0"/>
          <c:extLst>
            <c:ext xmlns:c16="http://schemas.microsoft.com/office/drawing/2014/chart" uri="{C3380CC4-5D6E-409C-BE32-E72D297353CC}">
              <c16:uniqueId val="{00000002-884B-4D51-9B4B-30CB55EDBF95}"/>
            </c:ext>
          </c:extLst>
        </c:ser>
        <c:dLbls>
          <c:showLegendKey val="0"/>
          <c:showVal val="0"/>
          <c:showCatName val="0"/>
          <c:showSerName val="0"/>
          <c:showPercent val="0"/>
          <c:showBubbleSize val="0"/>
        </c:dLbls>
        <c:axId val="499169816"/>
        <c:axId val="499171456"/>
      </c:scatterChart>
      <c:valAx>
        <c:axId val="499169816"/>
        <c:scaling>
          <c:orientation val="minMax"/>
          <c:max val="15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Pressure / 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71456"/>
        <c:crosses val="autoZero"/>
        <c:crossBetween val="midCat"/>
      </c:valAx>
      <c:valAx>
        <c:axId val="499171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Pressure Difference / Pa</a:t>
                </a:r>
              </a:p>
            </c:rich>
          </c:tx>
          <c:layout>
            <c:manualLayout>
              <c:xMode val="edge"/>
              <c:yMode val="edge"/>
              <c:x val="2.9595597562606952E-3"/>
              <c:y val="9.6166820274389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69816"/>
        <c:crosses val="autoZero"/>
        <c:crossBetween val="midCat"/>
      </c:valAx>
      <c:spPr>
        <a:noFill/>
        <a:ln>
          <a:noFill/>
        </a:ln>
        <a:effectLst/>
      </c:spPr>
    </c:plotArea>
    <c:legend>
      <c:legendPos val="r"/>
      <c:legendEntry>
        <c:idx val="2"/>
        <c:delete val="1"/>
      </c:legendEntry>
      <c:layout>
        <c:manualLayout>
          <c:xMode val="edge"/>
          <c:yMode val="edge"/>
          <c:x val="0.11286673524333184"/>
          <c:y val="0.86542682745545552"/>
          <c:w val="0.80211727405755717"/>
          <c:h val="0.134572661175973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45963366621854"/>
          <c:y val="9.9918164075644397E-2"/>
          <c:w val="0.7722293907240253"/>
          <c:h val="0.69175949558029382"/>
        </c:manualLayout>
      </c:layout>
      <c:scatterChart>
        <c:scatterStyle val="lineMarker"/>
        <c:varyColors val="0"/>
        <c:ser>
          <c:idx val="0"/>
          <c:order val="0"/>
          <c:tx>
            <c:v>Press. Diff.</c:v>
          </c:tx>
          <c:spPr>
            <a:ln w="19050" cap="rnd">
              <a:noFill/>
              <a:round/>
            </a:ln>
            <a:effectLst/>
          </c:spPr>
          <c:marker>
            <c:symbol val="circle"/>
            <c:size val="5"/>
            <c:spPr>
              <a:solidFill>
                <a:schemeClr val="accent1"/>
              </a:solidFill>
              <a:ln w="9525">
                <a:solidFill>
                  <a:schemeClr val="accent1"/>
                </a:solidFill>
              </a:ln>
              <a:effectLst/>
            </c:spPr>
          </c:marker>
          <c:xVal>
            <c:numRef>
              <c:f>'FPG Vs. Schw. Abs.'!$B$23:$B$62</c:f>
              <c:numCache>
                <c:formatCode>0.000</c:formatCode>
                <c:ptCount val="40"/>
                <c:pt idx="0">
                  <c:v>1998.8583000000001</c:v>
                </c:pt>
                <c:pt idx="1">
                  <c:v>1998.8590000000002</c:v>
                </c:pt>
                <c:pt idx="2">
                  <c:v>1998.8942999999999</c:v>
                </c:pt>
                <c:pt idx="3">
                  <c:v>1998.9072999999999</c:v>
                </c:pt>
                <c:pt idx="4">
                  <c:v>1999.8239000000001</c:v>
                </c:pt>
                <c:pt idx="5">
                  <c:v>1999.8367000000001</c:v>
                </c:pt>
                <c:pt idx="6">
                  <c:v>2998.6408999999999</c:v>
                </c:pt>
                <c:pt idx="7">
                  <c:v>2998.6424999999999</c:v>
                </c:pt>
                <c:pt idx="8">
                  <c:v>2998.6878999999999</c:v>
                </c:pt>
                <c:pt idx="9">
                  <c:v>2998.6994999999997</c:v>
                </c:pt>
                <c:pt idx="10">
                  <c:v>2999.8927000000003</c:v>
                </c:pt>
                <c:pt idx="11">
                  <c:v>2999.8928000000001</c:v>
                </c:pt>
                <c:pt idx="12">
                  <c:v>4998.1498999999994</c:v>
                </c:pt>
                <c:pt idx="13">
                  <c:v>4998.1696999999995</c:v>
                </c:pt>
                <c:pt idx="14">
                  <c:v>4998.3642</c:v>
                </c:pt>
                <c:pt idx="15">
                  <c:v>4998.3670000000002</c:v>
                </c:pt>
                <c:pt idx="16">
                  <c:v>4999.6869999999999</c:v>
                </c:pt>
                <c:pt idx="17">
                  <c:v>4999.6881000000003</c:v>
                </c:pt>
                <c:pt idx="18">
                  <c:v>7997.9386999999997</c:v>
                </c:pt>
                <c:pt idx="19">
                  <c:v>7997.9543999999996</c:v>
                </c:pt>
                <c:pt idx="20">
                  <c:v>7998.0806000000002</c:v>
                </c:pt>
                <c:pt idx="21">
                  <c:v>7998.0910000000003</c:v>
                </c:pt>
                <c:pt idx="22">
                  <c:v>9997.9884000000002</c:v>
                </c:pt>
                <c:pt idx="23">
                  <c:v>9997.9920000000002</c:v>
                </c:pt>
                <c:pt idx="24">
                  <c:v>9998.6594999999998</c:v>
                </c:pt>
                <c:pt idx="25">
                  <c:v>9998.674500000001</c:v>
                </c:pt>
                <c:pt idx="26">
                  <c:v>9999.1864000000005</c:v>
                </c:pt>
                <c:pt idx="27">
                  <c:v>9999.1904000000013</c:v>
                </c:pt>
                <c:pt idx="28">
                  <c:v>12997.589000000002</c:v>
                </c:pt>
                <c:pt idx="29">
                  <c:v>12997.603999999999</c:v>
                </c:pt>
                <c:pt idx="30">
                  <c:v>12997.645999999999</c:v>
                </c:pt>
                <c:pt idx="31">
                  <c:v>12997.651</c:v>
                </c:pt>
                <c:pt idx="32">
                  <c:v>13000.869000000001</c:v>
                </c:pt>
                <c:pt idx="33">
                  <c:v>13000.874000000002</c:v>
                </c:pt>
                <c:pt idx="34">
                  <c:v>14997.431999999999</c:v>
                </c:pt>
                <c:pt idx="35">
                  <c:v>14997.437</c:v>
                </c:pt>
                <c:pt idx="36">
                  <c:v>14999.161999999998</c:v>
                </c:pt>
                <c:pt idx="37">
                  <c:v>14999.165000000001</c:v>
                </c:pt>
                <c:pt idx="38">
                  <c:v>15001.867</c:v>
                </c:pt>
                <c:pt idx="39">
                  <c:v>15001.87</c:v>
                </c:pt>
              </c:numCache>
            </c:numRef>
          </c:xVal>
          <c:yVal>
            <c:numRef>
              <c:f>'FPG Vs. Schw. Abs.'!$D$17:$D$62</c:f>
              <c:numCache>
                <c:formatCode>0.000</c:formatCode>
                <c:ptCount val="46"/>
                <c:pt idx="0">
                  <c:v>-6.7799999998214844E-3</c:v>
                </c:pt>
                <c:pt idx="1">
                  <c:v>-3.4159999999928914E-2</c:v>
                </c:pt>
                <c:pt idx="2">
                  <c:v>-7.7400000001262015E-3</c:v>
                </c:pt>
                <c:pt idx="3">
                  <c:v>-1.2890000000084001E-2</c:v>
                </c:pt>
                <c:pt idx="4">
                  <c:v>-6.4409999999952561E-2</c:v>
                </c:pt>
                <c:pt idx="5">
                  <c:v>-6.6689999999994143E-2</c:v>
                </c:pt>
                <c:pt idx="6">
                  <c:v>8.6999999998624844E-3</c:v>
                </c:pt>
                <c:pt idx="7">
                  <c:v>4.9999999998817657E-3</c:v>
                </c:pt>
                <c:pt idx="8">
                  <c:v>2.0700000000033469E-2</c:v>
                </c:pt>
                <c:pt idx="9">
                  <c:v>1.2700000000222644E-2</c:v>
                </c:pt>
                <c:pt idx="10">
                  <c:v>-4.6900000000050568E-2</c:v>
                </c:pt>
                <c:pt idx="11">
                  <c:v>-5.6700000000091677E-2</c:v>
                </c:pt>
                <c:pt idx="12">
                  <c:v>3.0099999999947613E-2</c:v>
                </c:pt>
                <c:pt idx="13">
                  <c:v>2.7500000000145519E-2</c:v>
                </c:pt>
                <c:pt idx="14">
                  <c:v>1.6100000000278669E-2</c:v>
                </c:pt>
                <c:pt idx="15">
                  <c:v>9.5000000001164153E-3</c:v>
                </c:pt>
                <c:pt idx="16">
                  <c:v>-6.5700000000106229E-2</c:v>
                </c:pt>
                <c:pt idx="17">
                  <c:v>-6.0800000000199361E-2</c:v>
                </c:pt>
                <c:pt idx="18">
                  <c:v>3.6100000000260479E-2</c:v>
                </c:pt>
                <c:pt idx="19">
                  <c:v>2.4300000000948785E-2</c:v>
                </c:pt>
                <c:pt idx="20">
                  <c:v>2.0800000000235741E-2</c:v>
                </c:pt>
                <c:pt idx="21">
                  <c:v>3.4999999999854481E-2</c:v>
                </c:pt>
                <c:pt idx="22">
                  <c:v>-6.1999999999898137E-2</c:v>
                </c:pt>
                <c:pt idx="23">
                  <c:v>-4.5100000000275031E-2</c:v>
                </c:pt>
                <c:pt idx="24">
                  <c:v>2.930000000014843E-2</c:v>
                </c:pt>
                <c:pt idx="25">
                  <c:v>2.9600000000755244E-2</c:v>
                </c:pt>
                <c:pt idx="26">
                  <c:v>2.9399999999441206E-2</c:v>
                </c:pt>
                <c:pt idx="27">
                  <c:v>1.0999999999512511E-2</c:v>
                </c:pt>
                <c:pt idx="28">
                  <c:v>-5.4000000000087311E-3</c:v>
                </c:pt>
                <c:pt idx="29">
                  <c:v>-1.1000000000422006E-2</c:v>
                </c:pt>
                <c:pt idx="30">
                  <c:v>2.2500000000945874E-2</c:v>
                </c:pt>
                <c:pt idx="31">
                  <c:v>1.0499999998501153E-2</c:v>
                </c:pt>
                <c:pt idx="32">
                  <c:v>-1.7400000000634464E-2</c:v>
                </c:pt>
                <c:pt idx="33">
                  <c:v>-1.6400000000430737E-2</c:v>
                </c:pt>
                <c:pt idx="34">
                  <c:v>-3.0000000002473826E-2</c:v>
                </c:pt>
                <c:pt idx="35">
                  <c:v>-1.4999999999417923E-2</c:v>
                </c:pt>
                <c:pt idx="36">
                  <c:v>-2.899999999863212E-2</c:v>
                </c:pt>
                <c:pt idx="37">
                  <c:v>-5.4000000000087311E-2</c:v>
                </c:pt>
                <c:pt idx="38">
                  <c:v>-3.8000000000465661E-2</c:v>
                </c:pt>
                <c:pt idx="39">
                  <c:v>-6.6000000000713044E-2</c:v>
                </c:pt>
                <c:pt idx="40">
                  <c:v>-2.0999999998821295E-2</c:v>
                </c:pt>
                <c:pt idx="41">
                  <c:v>-2.9000000000451109E-2</c:v>
                </c:pt>
                <c:pt idx="42">
                  <c:v>-3.19999999992433E-2</c:v>
                </c:pt>
                <c:pt idx="43">
                  <c:v>-8.0000000016298145E-3</c:v>
                </c:pt>
                <c:pt idx="44">
                  <c:v>-6.5000000000509317E-2</c:v>
                </c:pt>
                <c:pt idx="45">
                  <c:v>-5.0000000001091394E-2</c:v>
                </c:pt>
              </c:numCache>
            </c:numRef>
          </c:yVal>
          <c:smooth val="0"/>
          <c:extLst>
            <c:ext xmlns:c16="http://schemas.microsoft.com/office/drawing/2014/chart" uri="{C3380CC4-5D6E-409C-BE32-E72D297353CC}">
              <c16:uniqueId val="{00000000-B350-4536-A6F0-E24B8DA29303}"/>
            </c:ext>
          </c:extLst>
        </c:ser>
        <c:ser>
          <c:idx val="1"/>
          <c:order val="1"/>
          <c:tx>
            <c:v>Uncertainty k=2</c:v>
          </c:tx>
          <c:spPr>
            <a:ln w="25400" cap="rnd">
              <a:solidFill>
                <a:schemeClr val="accent2"/>
              </a:solidFill>
              <a:prstDash val="dash"/>
              <a:round/>
            </a:ln>
            <a:effectLst/>
          </c:spPr>
          <c:marker>
            <c:symbol val="circle"/>
            <c:size val="5"/>
            <c:spPr>
              <a:noFill/>
              <a:ln w="9525">
                <a:noFill/>
              </a:ln>
              <a:effectLst/>
            </c:spPr>
          </c:marker>
          <c:xVal>
            <c:numRef>
              <c:f>'FPG Vs. Schw. Abs.'!$H$4:$H$13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Abs.'!$W$5:$W$14</c:f>
              <c:numCache>
                <c:formatCode>0.000</c:formatCode>
                <c:ptCount val="10"/>
                <c:pt idx="0">
                  <c:v>0.11249937990779835</c:v>
                </c:pt>
                <c:pt idx="1">
                  <c:v>0.11534473658306615</c:v>
                </c:pt>
                <c:pt idx="2">
                  <c:v>0.12670095339321741</c:v>
                </c:pt>
                <c:pt idx="3">
                  <c:v>0.14291768583378189</c:v>
                </c:pt>
                <c:pt idx="4">
                  <c:v>0.15937697600230449</c:v>
                </c:pt>
                <c:pt idx="5">
                  <c:v>0.19260961794283168</c:v>
                </c:pt>
                <c:pt idx="6">
                  <c:v>0.24284206900707947</c:v>
                </c:pt>
                <c:pt idx="7">
                  <c:v>0.27648109927699743</c:v>
                </c:pt>
                <c:pt idx="8">
                  <c:v>0.32706730267582407</c:v>
                </c:pt>
                <c:pt idx="9">
                  <c:v>0.36085179849855137</c:v>
                </c:pt>
              </c:numCache>
            </c:numRef>
          </c:yVal>
          <c:smooth val="0"/>
          <c:extLst>
            <c:ext xmlns:c16="http://schemas.microsoft.com/office/drawing/2014/chart" uri="{C3380CC4-5D6E-409C-BE32-E72D297353CC}">
              <c16:uniqueId val="{00000001-B350-4536-A6F0-E24B8DA29303}"/>
            </c:ext>
          </c:extLst>
        </c:ser>
        <c:ser>
          <c:idx val="3"/>
          <c:order val="2"/>
          <c:tx>
            <c:v>u-</c:v>
          </c:tx>
          <c:spPr>
            <a:ln w="25400" cap="rnd">
              <a:solidFill>
                <a:schemeClr val="accent2"/>
              </a:solidFill>
              <a:prstDash val="dash"/>
              <a:round/>
            </a:ln>
            <a:effectLst/>
          </c:spPr>
          <c:marker>
            <c:symbol val="circle"/>
            <c:size val="5"/>
            <c:spPr>
              <a:noFill/>
              <a:ln w="9525">
                <a:noFill/>
              </a:ln>
              <a:effectLst/>
            </c:spPr>
          </c:marker>
          <c:xVal>
            <c:numRef>
              <c:f>'FPG Vs. Schw. Abs.'!$H$4:$H$13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Abs.'!$X$5:$X$14</c:f>
              <c:numCache>
                <c:formatCode>0.0000</c:formatCode>
                <c:ptCount val="10"/>
                <c:pt idx="0">
                  <c:v>-0.11249937990779835</c:v>
                </c:pt>
                <c:pt idx="1">
                  <c:v>-0.11534473658306615</c:v>
                </c:pt>
                <c:pt idx="2">
                  <c:v>-0.12670095339321741</c:v>
                </c:pt>
                <c:pt idx="3">
                  <c:v>-0.14291768583378189</c:v>
                </c:pt>
                <c:pt idx="4">
                  <c:v>-0.15937697600230449</c:v>
                </c:pt>
                <c:pt idx="5">
                  <c:v>-0.19260961794283168</c:v>
                </c:pt>
                <c:pt idx="6">
                  <c:v>-0.24284206900707947</c:v>
                </c:pt>
                <c:pt idx="7">
                  <c:v>-0.27648109927699743</c:v>
                </c:pt>
                <c:pt idx="8">
                  <c:v>-0.32706730267582407</c:v>
                </c:pt>
                <c:pt idx="9">
                  <c:v>-0.36085179849855137</c:v>
                </c:pt>
              </c:numCache>
            </c:numRef>
          </c:yVal>
          <c:smooth val="0"/>
          <c:extLst>
            <c:ext xmlns:c16="http://schemas.microsoft.com/office/drawing/2014/chart" uri="{C3380CC4-5D6E-409C-BE32-E72D297353CC}">
              <c16:uniqueId val="{00000002-B350-4536-A6F0-E24B8DA29303}"/>
            </c:ext>
          </c:extLst>
        </c:ser>
        <c:dLbls>
          <c:showLegendKey val="0"/>
          <c:showVal val="0"/>
          <c:showCatName val="0"/>
          <c:showSerName val="0"/>
          <c:showPercent val="0"/>
          <c:showBubbleSize val="0"/>
        </c:dLbls>
        <c:axId val="499169816"/>
        <c:axId val="499171456"/>
      </c:scatterChart>
      <c:valAx>
        <c:axId val="499169816"/>
        <c:scaling>
          <c:orientation val="minMax"/>
          <c:max val="15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Pressure / 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71456"/>
        <c:crosses val="autoZero"/>
        <c:crossBetween val="midCat"/>
      </c:valAx>
      <c:valAx>
        <c:axId val="499171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Pressure Difference / Pa</a:t>
                </a:r>
              </a:p>
            </c:rich>
          </c:tx>
          <c:layout>
            <c:manualLayout>
              <c:xMode val="edge"/>
              <c:yMode val="edge"/>
              <c:x val="1.2072390531976186E-2"/>
              <c:y val="0.195147924286707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69816"/>
        <c:crosses val="autoZero"/>
        <c:crossBetween val="midCat"/>
      </c:valAx>
      <c:spPr>
        <a:noFill/>
        <a:ln>
          <a:noFill/>
        </a:ln>
        <a:effectLst/>
      </c:spPr>
    </c:plotArea>
    <c:legend>
      <c:legendPos val="r"/>
      <c:legendEntry>
        <c:idx val="2"/>
        <c:delete val="1"/>
      </c:legendEntry>
      <c:layout>
        <c:manualLayout>
          <c:xMode val="edge"/>
          <c:yMode val="edge"/>
          <c:x val="1.0837385065051918E-2"/>
          <c:y val="0.86542725580038604"/>
          <c:w val="0.90041178289589774"/>
          <c:h val="0.134572661175973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6408541376518"/>
          <c:y val="6.8599865355070511E-2"/>
          <c:w val="0.80136086309188459"/>
          <c:h val="0.76905484684755776"/>
        </c:manualLayout>
      </c:layout>
      <c:scatterChart>
        <c:scatterStyle val="lineMarker"/>
        <c:varyColors val="0"/>
        <c:ser>
          <c:idx val="0"/>
          <c:order val="0"/>
          <c:tx>
            <c:v>Press. Diff.</c:v>
          </c:tx>
          <c:spPr>
            <a:ln w="19050" cap="rnd">
              <a:noFill/>
              <a:round/>
            </a:ln>
            <a:effectLst/>
          </c:spPr>
          <c:marker>
            <c:symbol val="circle"/>
            <c:size val="5"/>
            <c:spPr>
              <a:solidFill>
                <a:schemeClr val="accent1"/>
              </a:solidFill>
              <a:ln w="9525">
                <a:solidFill>
                  <a:schemeClr val="accent1"/>
                </a:solidFill>
              </a:ln>
              <a:effectLst/>
            </c:spPr>
          </c:marker>
          <c:xVal>
            <c:numRef>
              <c:f>'Messungen\FPG Vs. SE2\[se2_fpg_vg-2018-06-14 corr.xlsx]Final Results'!$B$4:$B$58</c:f>
              <c:numCache>
                <c:formatCode>General</c:formatCode>
                <c:ptCount val="55"/>
                <c:pt idx="0">
                  <c:v>2.9922047161800003</c:v>
                </c:pt>
                <c:pt idx="1">
                  <c:v>2.9704950726499999</c:v>
                </c:pt>
                <c:pt idx="2">
                  <c:v>2.9758477243999999</c:v>
                </c:pt>
                <c:pt idx="3">
                  <c:v>2.9890520660150002</c:v>
                </c:pt>
                <c:pt idx="4">
                  <c:v>2.9795317574000002</c:v>
                </c:pt>
                <c:pt idx="5">
                  <c:v>2.9721300467000002</c:v>
                </c:pt>
                <c:pt idx="6">
                  <c:v>3.0096026638</c:v>
                </c:pt>
                <c:pt idx="7">
                  <c:v>9.9807997405000002</c:v>
                </c:pt>
                <c:pt idx="8">
                  <c:v>9.9629440005000003</c:v>
                </c:pt>
                <c:pt idx="9">
                  <c:v>9.974093099500001</c:v>
                </c:pt>
                <c:pt idx="10">
                  <c:v>9.9805269982999985</c:v>
                </c:pt>
                <c:pt idx="11">
                  <c:v>9.9646171973000008</c:v>
                </c:pt>
                <c:pt idx="12">
                  <c:v>9.982707940500001</c:v>
                </c:pt>
                <c:pt idx="13">
                  <c:v>10.006508074741999</c:v>
                </c:pt>
                <c:pt idx="14">
                  <c:v>10.005062712601001</c:v>
                </c:pt>
                <c:pt idx="15">
                  <c:v>9.9972287058209997</c:v>
                </c:pt>
                <c:pt idx="16">
                  <c:v>19.93472833949</c:v>
                </c:pt>
                <c:pt idx="17">
                  <c:v>19.936994232415</c:v>
                </c:pt>
                <c:pt idx="18">
                  <c:v>19.934548464199999</c:v>
                </c:pt>
                <c:pt idx="19">
                  <c:v>19.928516285000001</c:v>
                </c:pt>
                <c:pt idx="20">
                  <c:v>19.925508400999998</c:v>
                </c:pt>
                <c:pt idx="21">
                  <c:v>19.921585744000001</c:v>
                </c:pt>
                <c:pt idx="22">
                  <c:v>20.006302938114999</c:v>
                </c:pt>
                <c:pt idx="23">
                  <c:v>19.998620142511001</c:v>
                </c:pt>
                <c:pt idx="24">
                  <c:v>20.010800695768001</c:v>
                </c:pt>
                <c:pt idx="25">
                  <c:v>29.936691494000002</c:v>
                </c:pt>
                <c:pt idx="26">
                  <c:v>29.930600777999999</c:v>
                </c:pt>
                <c:pt idx="27">
                  <c:v>29.918856443999996</c:v>
                </c:pt>
                <c:pt idx="28">
                  <c:v>52.465052590000006</c:v>
                </c:pt>
                <c:pt idx="29">
                  <c:v>52.97094224648</c:v>
                </c:pt>
                <c:pt idx="30">
                  <c:v>53.038528092139991</c:v>
                </c:pt>
                <c:pt idx="31">
                  <c:v>53.034176615490004</c:v>
                </c:pt>
                <c:pt idx="32">
                  <c:v>52.972084808999995</c:v>
                </c:pt>
                <c:pt idx="33">
                  <c:v>53.103338188000002</c:v>
                </c:pt>
                <c:pt idx="34">
                  <c:v>99.589149605999992</c:v>
                </c:pt>
                <c:pt idx="35">
                  <c:v>99.685947009000003</c:v>
                </c:pt>
                <c:pt idx="36">
                  <c:v>99.739862165999995</c:v>
                </c:pt>
                <c:pt idx="37">
                  <c:v>99.740082189999995</c:v>
                </c:pt>
                <c:pt idx="38">
                  <c:v>99.668541470000008</c:v>
                </c:pt>
                <c:pt idx="39">
                  <c:v>149.581849716085</c:v>
                </c:pt>
                <c:pt idx="40">
                  <c:v>149.57588296899999</c:v>
                </c:pt>
                <c:pt idx="41">
                  <c:v>149.64960717</c:v>
                </c:pt>
                <c:pt idx="42">
                  <c:v>149.66449025560001</c:v>
                </c:pt>
                <c:pt idx="43">
                  <c:v>149.682352407</c:v>
                </c:pt>
                <c:pt idx="44">
                  <c:v>149.92234635214001</c:v>
                </c:pt>
                <c:pt idx="45">
                  <c:v>149.9768929244</c:v>
                </c:pt>
                <c:pt idx="46">
                  <c:v>299.11405728715999</c:v>
                </c:pt>
                <c:pt idx="47">
                  <c:v>299.07673081400003</c:v>
                </c:pt>
                <c:pt idx="48">
                  <c:v>299.20011441398015</c:v>
                </c:pt>
                <c:pt idx="49">
                  <c:v>299.222314102523</c:v>
                </c:pt>
                <c:pt idx="50">
                  <c:v>299.15788463799998</c:v>
                </c:pt>
                <c:pt idx="51">
                  <c:v>299.165113265</c:v>
                </c:pt>
                <c:pt idx="52">
                  <c:v>299.14671847900001</c:v>
                </c:pt>
                <c:pt idx="53">
                  <c:v>299.23769446990002</c:v>
                </c:pt>
                <c:pt idx="54">
                  <c:v>299.79636225299998</c:v>
                </c:pt>
              </c:numCache>
            </c:numRef>
          </c:xVal>
          <c:yVal>
            <c:numRef>
              <c:f>'Messungen\FPG Vs. SE2\[se2_fpg_vg-2018-06-14 corr.xlsx]Final Results'!$D$4:$D$58</c:f>
              <c:numCache>
                <c:formatCode>0.000</c:formatCode>
                <c:ptCount val="55"/>
                <c:pt idx="0">
                  <c:v>-6.4444182027152408E-3</c:v>
                </c:pt>
                <c:pt idx="1">
                  <c:v>1.6263007631482473E-2</c:v>
                </c:pt>
                <c:pt idx="2">
                  <c:v>1.0910781167033701E-2</c:v>
                </c:pt>
                <c:pt idx="3">
                  <c:v>-2.2844042686460675E-3</c:v>
                </c:pt>
                <c:pt idx="4">
                  <c:v>8.2259277471972148E-3</c:v>
                </c:pt>
                <c:pt idx="5">
                  <c:v>1.6629329514816327E-2</c:v>
                </c:pt>
                <c:pt idx="6">
                  <c:v>-1.8852472802883824E-2</c:v>
                </c:pt>
                <c:pt idx="7">
                  <c:v>-1.4289997181100134E-2</c:v>
                </c:pt>
                <c:pt idx="8">
                  <c:v>3.5881644716493355E-3</c:v>
                </c:pt>
                <c:pt idx="9">
                  <c:v>-6.5600588572607421E-3</c:v>
                </c:pt>
                <c:pt idx="10">
                  <c:v>-1.2017264789962567E-2</c:v>
                </c:pt>
                <c:pt idx="11">
                  <c:v>4.9096887034618675E-3</c:v>
                </c:pt>
                <c:pt idx="12">
                  <c:v>-1.2202609111039209E-2</c:v>
                </c:pt>
                <c:pt idx="13">
                  <c:v>-2.0972219544370674E-2</c:v>
                </c:pt>
                <c:pt idx="14">
                  <c:v>-1.753054850351532E-2</c:v>
                </c:pt>
                <c:pt idx="15">
                  <c:v>-8.6960986427797593E-3</c:v>
                </c:pt>
                <c:pt idx="16">
                  <c:v>-8.4023545578801873E-3</c:v>
                </c:pt>
                <c:pt idx="17">
                  <c:v>-6.6788740006309411E-3</c:v>
                </c:pt>
                <c:pt idx="18">
                  <c:v>-4.2295557395135575E-3</c:v>
                </c:pt>
                <c:pt idx="19">
                  <c:v>7.8728386168798181E-3</c:v>
                </c:pt>
                <c:pt idx="20">
                  <c:v>1.387072942115708E-2</c:v>
                </c:pt>
                <c:pt idx="21">
                  <c:v>1.7803863913705698E-2</c:v>
                </c:pt>
                <c:pt idx="22">
                  <c:v>-1.7960120225545495E-2</c:v>
                </c:pt>
                <c:pt idx="23">
                  <c:v>-9.2768615937508514E-3</c:v>
                </c:pt>
                <c:pt idx="24">
                  <c:v>-1.9463610352172367E-2</c:v>
                </c:pt>
                <c:pt idx="25">
                  <c:v>5.1292171115669305E-2</c:v>
                </c:pt>
                <c:pt idx="26">
                  <c:v>4.9400186555626391E-2</c:v>
                </c:pt>
                <c:pt idx="27">
                  <c:v>5.4171461305642765E-2</c:v>
                </c:pt>
                <c:pt idx="28">
                  <c:v>6.3411375312085738E-3</c:v>
                </c:pt>
                <c:pt idx="29">
                  <c:v>-1.8082070383790949E-2</c:v>
                </c:pt>
                <c:pt idx="30">
                  <c:v>-4.8716658254434719E-2</c:v>
                </c:pt>
                <c:pt idx="31">
                  <c:v>-1.5404335536310043E-2</c:v>
                </c:pt>
                <c:pt idx="32">
                  <c:v>6.1567503282489611E-2</c:v>
                </c:pt>
                <c:pt idx="33">
                  <c:v>-1.3763084949175663E-2</c:v>
                </c:pt>
                <c:pt idx="34">
                  <c:v>5.868318409788742E-2</c:v>
                </c:pt>
                <c:pt idx="35">
                  <c:v>7.7749064529029965E-2</c:v>
                </c:pt>
                <c:pt idx="36">
                  <c:v>7.8775993894055318E-2</c:v>
                </c:pt>
                <c:pt idx="37">
                  <c:v>6.7583054619220206E-2</c:v>
                </c:pt>
                <c:pt idx="38">
                  <c:v>7.9208424384418663E-2</c:v>
                </c:pt>
                <c:pt idx="39">
                  <c:v>-1.1433502782608684E-2</c:v>
                </c:pt>
                <c:pt idx="40">
                  <c:v>5.18476411400286E-2</c:v>
                </c:pt>
                <c:pt idx="41">
                  <c:v>5.5980001962865344E-2</c:v>
                </c:pt>
                <c:pt idx="42">
                  <c:v>4.6051288584180838E-2</c:v>
                </c:pt>
                <c:pt idx="43">
                  <c:v>3.5804231841666478E-2</c:v>
                </c:pt>
                <c:pt idx="44">
                  <c:v>-8.412996057984401E-3</c:v>
                </c:pt>
                <c:pt idx="45">
                  <c:v>-1.2014606213313073E-2</c:v>
                </c:pt>
                <c:pt idx="46">
                  <c:v>2.3091893639957561E-2</c:v>
                </c:pt>
                <c:pt idx="47">
                  <c:v>0.11625041349702769</c:v>
                </c:pt>
                <c:pt idx="48">
                  <c:v>5.8917102784960207E-2</c:v>
                </c:pt>
                <c:pt idx="49">
                  <c:v>4.9711055540626603E-2</c:v>
                </c:pt>
                <c:pt idx="50">
                  <c:v>0.12040323705707578</c:v>
                </c:pt>
                <c:pt idx="51">
                  <c:v>0.12773618835200296</c:v>
                </c:pt>
                <c:pt idx="52">
                  <c:v>0.16945195108581856</c:v>
                </c:pt>
                <c:pt idx="53">
                  <c:v>9.7370120192863396E-2</c:v>
                </c:pt>
                <c:pt idx="54">
                  <c:v>0.11263369522907851</c:v>
                </c:pt>
              </c:numCache>
            </c:numRef>
          </c:yVal>
          <c:smooth val="0"/>
          <c:extLst>
            <c:ext xmlns:c16="http://schemas.microsoft.com/office/drawing/2014/chart" uri="{C3380CC4-5D6E-409C-BE32-E72D297353CC}">
              <c16:uniqueId val="{00000000-2C90-4D47-AF21-DFEEF58732E9}"/>
            </c:ext>
          </c:extLst>
        </c:ser>
        <c:ser>
          <c:idx val="1"/>
          <c:order val="1"/>
          <c:tx>
            <c:v>Uncertainty k=2</c:v>
          </c:tx>
          <c:spPr>
            <a:ln w="25400" cap="rnd">
              <a:solidFill>
                <a:schemeClr val="accent2"/>
              </a:solidFill>
              <a:prstDash val="dash"/>
              <a:round/>
            </a:ln>
            <a:effectLst/>
          </c:spPr>
          <c:marker>
            <c:symbol val="circle"/>
            <c:size val="5"/>
            <c:spPr>
              <a:noFill/>
              <a:ln w="9525">
                <a:noFill/>
              </a:ln>
              <a:effectLst/>
            </c:spPr>
          </c:marker>
          <c:xVal>
            <c:numRef>
              <c:f>'Messungen\FPG Vs. SE2\[se2_fpg_vg-2018-06-14 corr.xlsx]Final Results'!$H$4:$H$11</c:f>
              <c:numCache>
                <c:formatCode>General</c:formatCode>
                <c:ptCount val="8"/>
                <c:pt idx="0">
                  <c:v>3</c:v>
                </c:pt>
                <c:pt idx="1">
                  <c:v>10</c:v>
                </c:pt>
                <c:pt idx="2">
                  <c:v>20</c:v>
                </c:pt>
                <c:pt idx="3">
                  <c:v>30</c:v>
                </c:pt>
                <c:pt idx="4">
                  <c:v>50</c:v>
                </c:pt>
                <c:pt idx="5">
                  <c:v>100</c:v>
                </c:pt>
                <c:pt idx="6">
                  <c:v>150</c:v>
                </c:pt>
                <c:pt idx="7">
                  <c:v>300</c:v>
                </c:pt>
              </c:numCache>
            </c:numRef>
          </c:xVal>
          <c:yVal>
            <c:numRef>
              <c:f>'Messungen\FPG Vs. SE2\[se2_fpg_vg-2018-06-14 corr.xlsx]Final Results'!$T$5:$T$12</c:f>
              <c:numCache>
                <c:formatCode>0.000</c:formatCode>
                <c:ptCount val="8"/>
                <c:pt idx="0">
                  <c:v>6.4092625671721857E-3</c:v>
                </c:pt>
                <c:pt idx="1">
                  <c:v>1.1640478749972559E-2</c:v>
                </c:pt>
                <c:pt idx="2">
                  <c:v>2.1334795132539542E-2</c:v>
                </c:pt>
                <c:pt idx="3">
                  <c:v>3.091804434113735E-2</c:v>
                </c:pt>
                <c:pt idx="4">
                  <c:v>5.6090583033778167E-2</c:v>
                </c:pt>
                <c:pt idx="5">
                  <c:v>9.9917104546480423E-2</c:v>
                </c:pt>
                <c:pt idx="6">
                  <c:v>0.15203169625001994</c:v>
                </c:pt>
                <c:pt idx="7">
                  <c:v>0.30206563505475448</c:v>
                </c:pt>
              </c:numCache>
            </c:numRef>
          </c:yVal>
          <c:smooth val="0"/>
          <c:extLst>
            <c:ext xmlns:c16="http://schemas.microsoft.com/office/drawing/2014/chart" uri="{C3380CC4-5D6E-409C-BE32-E72D297353CC}">
              <c16:uniqueId val="{00000001-2C90-4D47-AF21-DFEEF58732E9}"/>
            </c:ext>
          </c:extLst>
        </c:ser>
        <c:ser>
          <c:idx val="2"/>
          <c:order val="2"/>
          <c:tx>
            <c:v>u-</c:v>
          </c:tx>
          <c:spPr>
            <a:ln w="25400" cap="rnd">
              <a:solidFill>
                <a:schemeClr val="accent2"/>
              </a:solidFill>
              <a:prstDash val="dash"/>
              <a:round/>
            </a:ln>
            <a:effectLst/>
          </c:spPr>
          <c:marker>
            <c:symbol val="circle"/>
            <c:size val="5"/>
            <c:spPr>
              <a:noFill/>
              <a:ln w="9525">
                <a:noFill/>
              </a:ln>
              <a:effectLst/>
            </c:spPr>
          </c:marker>
          <c:xVal>
            <c:numRef>
              <c:f>'Messungen\FPG Vs. SE2\[se2_fpg_vg-2018-06-14 corr.xlsx]Final Results'!$H$4:$H$11</c:f>
              <c:numCache>
                <c:formatCode>General</c:formatCode>
                <c:ptCount val="8"/>
                <c:pt idx="0">
                  <c:v>3</c:v>
                </c:pt>
                <c:pt idx="1">
                  <c:v>10</c:v>
                </c:pt>
                <c:pt idx="2">
                  <c:v>20</c:v>
                </c:pt>
                <c:pt idx="3">
                  <c:v>30</c:v>
                </c:pt>
                <c:pt idx="4">
                  <c:v>50</c:v>
                </c:pt>
                <c:pt idx="5">
                  <c:v>100</c:v>
                </c:pt>
                <c:pt idx="6">
                  <c:v>150</c:v>
                </c:pt>
                <c:pt idx="7">
                  <c:v>300</c:v>
                </c:pt>
              </c:numCache>
            </c:numRef>
          </c:xVal>
          <c:yVal>
            <c:numRef>
              <c:f>'Messungen\FPG Vs. SE2\[se2_fpg_vg-2018-06-14 corr.xlsx]Final Results'!$U$5:$U$12</c:f>
              <c:numCache>
                <c:formatCode>0.0000</c:formatCode>
                <c:ptCount val="8"/>
                <c:pt idx="0">
                  <c:v>-6.4092625671721857E-3</c:v>
                </c:pt>
                <c:pt idx="1">
                  <c:v>-1.1640478749972559E-2</c:v>
                </c:pt>
                <c:pt idx="2">
                  <c:v>-2.1334795132539542E-2</c:v>
                </c:pt>
                <c:pt idx="3">
                  <c:v>-3.091804434113735E-2</c:v>
                </c:pt>
                <c:pt idx="4">
                  <c:v>-5.6090583033778167E-2</c:v>
                </c:pt>
                <c:pt idx="5">
                  <c:v>-9.9917104546480423E-2</c:v>
                </c:pt>
                <c:pt idx="6">
                  <c:v>-0.15203169625001994</c:v>
                </c:pt>
                <c:pt idx="7">
                  <c:v>-0.30206563505475448</c:v>
                </c:pt>
              </c:numCache>
            </c:numRef>
          </c:yVal>
          <c:smooth val="0"/>
          <c:extLst>
            <c:ext xmlns:c16="http://schemas.microsoft.com/office/drawing/2014/chart" uri="{C3380CC4-5D6E-409C-BE32-E72D297353CC}">
              <c16:uniqueId val="{00000002-2C90-4D47-AF21-DFEEF58732E9}"/>
            </c:ext>
          </c:extLst>
        </c:ser>
        <c:dLbls>
          <c:showLegendKey val="0"/>
          <c:showVal val="0"/>
          <c:showCatName val="0"/>
          <c:showSerName val="0"/>
          <c:showPercent val="0"/>
          <c:showBubbleSize val="0"/>
        </c:dLbls>
        <c:axId val="499169816"/>
        <c:axId val="499171456"/>
      </c:scatterChart>
      <c:valAx>
        <c:axId val="499169816"/>
        <c:scaling>
          <c:orientation val="minMax"/>
          <c:max val="3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Pressure / Pa</a:t>
                </a:r>
              </a:p>
            </c:rich>
          </c:tx>
          <c:layout>
            <c:manualLayout>
              <c:xMode val="edge"/>
              <c:yMode val="edge"/>
              <c:x val="0.44611390722665345"/>
              <c:y val="0.7812813955724998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71456"/>
        <c:crosses val="autoZero"/>
        <c:crossBetween val="midCat"/>
      </c:valAx>
      <c:valAx>
        <c:axId val="499171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Pressure Difference / Pa</a:t>
                </a:r>
              </a:p>
            </c:rich>
          </c:tx>
          <c:layout>
            <c:manualLayout>
              <c:xMode val="edge"/>
              <c:yMode val="edge"/>
              <c:x val="1.6943667971385165E-3"/>
              <c:y val="0.16196995889137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69816"/>
        <c:crosses val="autoZero"/>
        <c:crossBetween val="midCat"/>
      </c:valAx>
      <c:spPr>
        <a:noFill/>
        <a:ln>
          <a:noFill/>
        </a:ln>
        <a:effectLst/>
      </c:spPr>
    </c:plotArea>
    <c:legend>
      <c:legendPos val="r"/>
      <c:legendEntry>
        <c:idx val="2"/>
        <c:delete val="1"/>
      </c:legendEntry>
      <c:layout>
        <c:manualLayout>
          <c:xMode val="edge"/>
          <c:yMode val="edge"/>
          <c:x val="6.4331823857518164E-2"/>
          <c:y val="0.89607867982019485"/>
          <c:w val="0.90328324701227991"/>
          <c:h val="0.1018734727124626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30282-BCCA-4366-8E8C-9798D4BA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2892</Words>
  <Characters>16490</Characters>
  <Application>Microsoft Office Word</Application>
  <DocSecurity>0</DocSecurity>
  <Lines>137</Lines>
  <Paragraphs>38</Paragraphs>
  <ScaleCrop>false</ScaleCrop>
  <HeadingPairs>
    <vt:vector size="8" baseType="variant">
      <vt:variant>
        <vt:lpstr>Title</vt:lpstr>
      </vt:variant>
      <vt:variant>
        <vt:i4>1</vt:i4>
      </vt:variant>
      <vt:variant>
        <vt:lpstr>Titel</vt:lpstr>
      </vt:variant>
      <vt:variant>
        <vt:i4>1</vt:i4>
      </vt:variant>
      <vt:variant>
        <vt:lpstr>タイトル</vt:lpstr>
      </vt:variant>
      <vt:variant>
        <vt:i4>1</vt:i4>
      </vt:variant>
      <vt:variant>
        <vt:lpstr>ชื่อเรื่อง</vt:lpstr>
      </vt:variant>
      <vt:variant>
        <vt:i4>1</vt:i4>
      </vt:variant>
    </vt:vector>
  </HeadingPairs>
  <TitlesOfParts>
    <vt:vector size="4" baseType="lpstr">
      <vt:lpstr/>
      <vt:lpstr/>
      <vt:lpstr/>
      <vt:lpstr/>
    </vt:vector>
  </TitlesOfParts>
  <Company>Hewlett-Packard Company</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jeerasakp</dc:creator>
  <cp:keywords/>
  <dc:description/>
  <cp:lastModifiedBy>Ahmed Salama Abd-el-Ghfar Hashad</cp:lastModifiedBy>
  <cp:revision>20</cp:revision>
  <cp:lastPrinted>2019-09-11T07:54:00Z</cp:lastPrinted>
  <dcterms:created xsi:type="dcterms:W3CDTF">2019-09-10T09:37:00Z</dcterms:created>
  <dcterms:modified xsi:type="dcterms:W3CDTF">2019-10-23T09:23:00Z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http://www.zotero.org/styles/ieee-instrumentation-and-measurement-magazine</vt:lpwstr>
  </property>
  <property fmtid="{D5CDD505-2E9C-101B-9397-08002B2CF9AE}" pid="4" name="Mendeley Unique User Id_1">
    <vt:lpwstr>f8d0cadf-48ca-30f8-bfb7-d0441c33f7da</vt:lpwstr>
  </property>
  <property fmtid="{D5CDD505-2E9C-101B-9397-08002B2CF9AE}" pid="5" name="Mendeley Recent Style Id 0_1">
    <vt:lpwstr>http://www.zotero.org/styles/chicago-author-date</vt:lpwstr>
  </property>
  <property fmtid="{D5CDD505-2E9C-101B-9397-08002B2CF9AE}" pid="6" name="Mendeley Recent Style Name 0_1">
    <vt:lpwstr>Chicago Manual of Style 16th edition (author-date)</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http://www.zotero.org/styles/chicago-note-bibliography</vt:lpwstr>
  </property>
  <property fmtid="{D5CDD505-2E9C-101B-9397-08002B2CF9AE}" pid="10" name="Mendeley Recent Style Name 2_1">
    <vt:lpwstr>Chicago Manual of Style 16th edition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9th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http://www.zotero.org/styles/ieee-instrumentation-and-measurement-magazine</vt:lpwstr>
  </property>
  <property fmtid="{D5CDD505-2E9C-101B-9397-08002B2CF9AE}" pid="18" name="Mendeley Recent Style Name 6_1">
    <vt:lpwstr>IEEE Instrumentation &amp; Measurement Magazine</vt:lpwstr>
  </property>
  <property fmtid="{D5CDD505-2E9C-101B-9397-08002B2CF9AE}" pid="19" name="Mendeley Recent Style Id 7_1">
    <vt:lpwstr>http://www.zotero.org/styles/ieee-journal-of-solid-state-circuits</vt:lpwstr>
  </property>
  <property fmtid="{D5CDD505-2E9C-101B-9397-08002B2CF9AE}" pid="20" name="Mendeley Recent Style Name 7_1">
    <vt:lpwstr>IEEE Journal of Solid-State Circuits</vt:lpwstr>
  </property>
  <property fmtid="{D5CDD505-2E9C-101B-9397-08002B2CF9AE}" pid="21" name="Mendeley Recent Style Id 8_1">
    <vt:lpwstr>http://www.zotero.org/styles/iet-science-measurement-and-technology</vt:lpwstr>
  </property>
  <property fmtid="{D5CDD505-2E9C-101B-9397-08002B2CF9AE}" pid="22" name="Mendeley Recent Style Name 8_1">
    <vt:lpwstr>IET Science, Measurement &amp; Technology</vt:lpwstr>
  </property>
  <property fmtid="{D5CDD505-2E9C-101B-9397-08002B2CF9AE}" pid="23" name="Mendeley Recent Style Id 9_1">
    <vt:lpwstr>http://www.zotero.org/styles/metrologia</vt:lpwstr>
  </property>
  <property fmtid="{D5CDD505-2E9C-101B-9397-08002B2CF9AE}" pid="24" name="Mendeley Recent Style Name 9_1">
    <vt:lpwstr>Metrologia</vt:lpwstr>
  </property>
</Properties>
</file>