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D0405" w14:textId="2CA676AD" w:rsidR="005A0365" w:rsidRPr="0023325E" w:rsidRDefault="005A0365" w:rsidP="005A0365">
      <w:pPr>
        <w:pStyle w:val="Title"/>
        <w:spacing w:after="240"/>
        <w:rPr>
          <w:lang w:val="en-GB"/>
        </w:rPr>
      </w:pPr>
      <w:r w:rsidRPr="00733536">
        <w:rPr>
          <w:lang w:val="en-GB"/>
        </w:rPr>
        <w:t xml:space="preserve">Industry 4.0 </w:t>
      </w:r>
      <w:r w:rsidR="00E00EEA" w:rsidRPr="00733536">
        <w:rPr>
          <w:lang w:val="en-GB"/>
        </w:rPr>
        <w:t xml:space="preserve">technologies and </w:t>
      </w:r>
      <w:r w:rsidR="00D57DD9" w:rsidRPr="00733536">
        <w:rPr>
          <w:lang w:val="en-GB"/>
        </w:rPr>
        <w:t xml:space="preserve">manufacturing </w:t>
      </w:r>
      <w:r w:rsidR="00F3540E" w:rsidRPr="00733536">
        <w:rPr>
          <w:lang w:val="en-GB"/>
        </w:rPr>
        <w:t>back-shoring</w:t>
      </w:r>
      <w:r w:rsidR="00E00EEA" w:rsidRPr="00733536">
        <w:rPr>
          <w:lang w:val="en-GB"/>
        </w:rPr>
        <w:t>:</w:t>
      </w:r>
      <w:r w:rsidR="00D57DD9" w:rsidRPr="00733536">
        <w:rPr>
          <w:lang w:val="en-GB"/>
        </w:rPr>
        <w:t xml:space="preserve"> </w:t>
      </w:r>
      <w:r w:rsidR="00733536" w:rsidRPr="00733536">
        <w:rPr>
          <w:lang w:val="en-GB"/>
        </w:rPr>
        <w:t>a</w:t>
      </w:r>
      <w:r w:rsidR="00D57DD9" w:rsidRPr="0023325E">
        <w:rPr>
          <w:lang w:val="en-GB"/>
        </w:rPr>
        <w:t xml:space="preserve"> European perspective</w:t>
      </w:r>
    </w:p>
    <w:p w14:paraId="3AB03F2F" w14:textId="77777777" w:rsidR="005A0365" w:rsidRPr="0023325E" w:rsidRDefault="005A0365" w:rsidP="005A0365">
      <w:pPr>
        <w:pStyle w:val="Author"/>
        <w:rPr>
          <w:lang w:val="en-GB"/>
        </w:rPr>
      </w:pPr>
      <w:r w:rsidRPr="0023325E">
        <w:rPr>
          <w:lang w:val="en-GB"/>
        </w:rPr>
        <w:t>Luciano Fratocchi</w:t>
      </w:r>
      <w:r w:rsidRPr="0023325E">
        <w:rPr>
          <w:vertAlign w:val="superscript"/>
          <w:lang w:val="en-GB"/>
        </w:rPr>
        <w:t>1</w:t>
      </w:r>
      <w:r w:rsidRPr="0023325E">
        <w:rPr>
          <w:lang w:val="en-GB"/>
        </w:rPr>
        <w:t>, Cristina Di Stefano</w:t>
      </w:r>
      <w:r w:rsidRPr="0023325E">
        <w:rPr>
          <w:vertAlign w:val="superscript"/>
          <w:lang w:val="en-GB"/>
        </w:rPr>
        <w:t>1</w:t>
      </w:r>
    </w:p>
    <w:p w14:paraId="184BB783" w14:textId="0C3881A3" w:rsidR="005A0365" w:rsidRPr="0023325E" w:rsidRDefault="005A0365" w:rsidP="005A0365">
      <w:pPr>
        <w:pStyle w:val="Affiliation"/>
        <w:rPr>
          <w:b/>
          <w:lang w:val="en-GB"/>
        </w:rPr>
      </w:pPr>
      <w:r w:rsidRPr="0023325E">
        <w:rPr>
          <w:i w:val="0"/>
          <w:vertAlign w:val="superscript"/>
          <w:lang w:val="en-GB"/>
        </w:rPr>
        <w:t>1</w:t>
      </w:r>
      <w:r w:rsidR="002B130A" w:rsidRPr="0023325E">
        <w:rPr>
          <w:i w:val="0"/>
          <w:lang w:val="en-GB"/>
        </w:rPr>
        <w:t xml:space="preserve"> </w:t>
      </w:r>
      <w:r w:rsidRPr="0023325E">
        <w:rPr>
          <w:lang w:val="en-GB"/>
        </w:rPr>
        <w:t>University of L’Aquila, Department of Industrial and Information Engineering and Economics, L’Aquila</w:t>
      </w:r>
      <w:r w:rsidR="002B130A" w:rsidRPr="0023325E">
        <w:rPr>
          <w:lang w:val="en-GB"/>
        </w:rPr>
        <w:t xml:space="preserve">, </w:t>
      </w:r>
      <w:r w:rsidRPr="0023325E">
        <w:rPr>
          <w:lang w:val="en-GB"/>
        </w:rPr>
        <w:t>Italy</w:t>
      </w:r>
    </w:p>
    <w:p w14:paraId="2BCBD5E9" w14:textId="77777777" w:rsidR="005A0365" w:rsidRPr="0023325E" w:rsidRDefault="005A0365" w:rsidP="005A0365">
      <w:pPr>
        <w:pStyle w:val="Abstract"/>
        <w:rPr>
          <w:lang w:val="en-GB"/>
        </w:rPr>
      </w:pPr>
      <w:r w:rsidRPr="0023325E">
        <w:rPr>
          <w:noProof/>
          <w:lang w:val="en-GB"/>
        </w:rPr>
        <mc:AlternateContent>
          <mc:Choice Requires="wps">
            <w:drawing>
              <wp:inline distT="0" distB="0" distL="0" distR="0" wp14:anchorId="3796D51B" wp14:editId="307A42C1">
                <wp:extent cx="6480175" cy="913765"/>
                <wp:effectExtent l="0" t="0" r="0" b="0"/>
                <wp:docPr id="3"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05E4363B" w14:textId="0BE77C63" w:rsidR="00B25007" w:rsidRPr="0023325E" w:rsidRDefault="00B25007" w:rsidP="005A0365">
                            <w:pPr>
                              <w:pStyle w:val="Abstract"/>
                              <w:rPr>
                                <w:lang w:val="en-GB"/>
                              </w:rPr>
                            </w:pPr>
                            <w:r w:rsidRPr="0023325E">
                              <w:rPr>
                                <w:lang w:val="en-GB"/>
                              </w:rPr>
                              <w:t xml:space="preserve">ABSTRACT </w:t>
                            </w:r>
                          </w:p>
                          <w:p w14:paraId="1F0130C7" w14:textId="1B9FB8D3" w:rsidR="00B25007" w:rsidRPr="0023325E" w:rsidRDefault="00B25007" w:rsidP="007F2114">
                            <w:pPr>
                              <w:pStyle w:val="Abstract"/>
                              <w:rPr>
                                <w:lang w:val="en-GB"/>
                              </w:rPr>
                            </w:pPr>
                            <w:r>
                              <w:rPr>
                                <w:lang w:val="en-GB"/>
                              </w:rPr>
                              <w:t>Over</w:t>
                            </w:r>
                            <w:r w:rsidRPr="0023325E">
                              <w:rPr>
                                <w:lang w:val="en-GB"/>
                              </w:rPr>
                              <w:t xml:space="preserve"> the last two decades</w:t>
                            </w:r>
                            <w:r w:rsidRPr="009149BB">
                              <w:rPr>
                                <w:lang w:val="en-GB"/>
                              </w:rPr>
                              <w:t>,</w:t>
                            </w:r>
                            <w:r w:rsidRPr="0023325E">
                              <w:rPr>
                                <w:lang w:val="en-GB"/>
                              </w:rPr>
                              <w:t xml:space="preserve"> companies have increasingly </w:t>
                            </w:r>
                            <w:r w:rsidRPr="009149BB">
                              <w:rPr>
                                <w:lang w:val="en-GB"/>
                              </w:rPr>
                              <w:t xml:space="preserve">been </w:t>
                            </w:r>
                            <w:r w:rsidRPr="0023325E">
                              <w:rPr>
                                <w:lang w:val="en-GB"/>
                              </w:rPr>
                              <w:t>re-</w:t>
                            </w:r>
                            <w:r w:rsidRPr="009149BB">
                              <w:rPr>
                                <w:lang w:val="en-GB"/>
                              </w:rPr>
                              <w:t>evaluating</w:t>
                            </w:r>
                            <w:r w:rsidRPr="0023325E">
                              <w:rPr>
                                <w:lang w:val="en-GB"/>
                              </w:rPr>
                              <w:t xml:space="preserve"> their off-shoring strategies and </w:t>
                            </w:r>
                            <w:r w:rsidRPr="009149BB">
                              <w:rPr>
                                <w:lang w:val="en-GB"/>
                              </w:rPr>
                              <w:t>implementing</w:t>
                            </w:r>
                            <w:r w:rsidRPr="0023325E">
                              <w:rPr>
                                <w:lang w:val="en-GB"/>
                              </w:rPr>
                              <w:t xml:space="preserve"> decisions</w:t>
                            </w:r>
                            <w:r w:rsidRPr="009149BB">
                              <w:rPr>
                                <w:lang w:val="en-GB"/>
                              </w:rPr>
                              <w:t xml:space="preserve"> on </w:t>
                            </w:r>
                            <w:r>
                              <w:rPr>
                                <w:lang w:val="en-GB"/>
                              </w:rPr>
                              <w:t>r</w:t>
                            </w:r>
                            <w:r w:rsidRPr="009149BB">
                              <w:rPr>
                                <w:lang w:val="en-GB"/>
                              </w:rPr>
                              <w:t>elocations of</w:t>
                            </w:r>
                            <w:r>
                              <w:rPr>
                                <w:lang w:val="en-GB"/>
                              </w:rPr>
                              <w:t xml:space="preserve"> s</w:t>
                            </w:r>
                            <w:r w:rsidRPr="009149BB">
                              <w:rPr>
                                <w:lang w:val="en-GB"/>
                              </w:rPr>
                              <w:t xml:space="preserve">econd </w:t>
                            </w:r>
                            <w:r>
                              <w:rPr>
                                <w:lang w:val="en-GB"/>
                              </w:rPr>
                              <w:t>d</w:t>
                            </w:r>
                            <w:r w:rsidRPr="009149BB">
                              <w:rPr>
                                <w:lang w:val="en-GB"/>
                              </w:rPr>
                              <w:t>egree (RSD).</w:t>
                            </w:r>
                            <w:r w:rsidRPr="0023325E">
                              <w:rPr>
                                <w:lang w:val="en-GB"/>
                              </w:rPr>
                              <w:t xml:space="preserve"> In some cases, the RSD </w:t>
                            </w:r>
                            <w:r w:rsidRPr="009149BB">
                              <w:rPr>
                                <w:lang w:val="en-GB"/>
                              </w:rPr>
                              <w:t xml:space="preserve">decision </w:t>
                            </w:r>
                            <w:r w:rsidRPr="0023325E">
                              <w:rPr>
                                <w:lang w:val="en-GB"/>
                              </w:rPr>
                              <w:t xml:space="preserve">has been implemented through back-shoring. The topic has attracted the attention of several scholars, some of </w:t>
                            </w:r>
                            <w:r w:rsidRPr="009149BB">
                              <w:rPr>
                                <w:lang w:val="en-GB"/>
                              </w:rPr>
                              <w:t>whom have</w:t>
                            </w:r>
                            <w:r w:rsidRPr="0023325E">
                              <w:rPr>
                                <w:lang w:val="en-GB"/>
                              </w:rPr>
                              <w:t xml:space="preserve"> specifically investigated the role of Industry 4.0 technologies in the back-shoring decision</w:t>
                            </w:r>
                            <w:r w:rsidRPr="009149BB">
                              <w:rPr>
                                <w:lang w:val="en-GB"/>
                              </w:rPr>
                              <w:t>-</w:t>
                            </w:r>
                            <w:r w:rsidRPr="0023325E">
                              <w:rPr>
                                <w:lang w:val="en-GB"/>
                              </w:rPr>
                              <w:t xml:space="preserve">making process. </w:t>
                            </w:r>
                            <w:r>
                              <w:rPr>
                                <w:lang w:val="en-GB"/>
                              </w:rPr>
                              <w:t>T</w:t>
                            </w:r>
                            <w:r w:rsidRPr="009149BB">
                              <w:rPr>
                                <w:lang w:val="en-GB"/>
                              </w:rPr>
                              <w:t>h</w:t>
                            </w:r>
                            <w:r>
                              <w:rPr>
                                <w:lang w:val="en-GB"/>
                              </w:rPr>
                              <w:t>is</w:t>
                            </w:r>
                            <w:r w:rsidRPr="0023325E">
                              <w:rPr>
                                <w:lang w:val="en-GB"/>
                              </w:rPr>
                              <w:t xml:space="preserve"> paper aims to shed new light on the role that Industry 4.0 technologies play as a driver or an enabling factor for companies </w:t>
                            </w:r>
                            <w:r w:rsidRPr="009149BB">
                              <w:rPr>
                                <w:lang w:val="en-GB"/>
                              </w:rPr>
                              <w:t>that</w:t>
                            </w:r>
                            <w:r w:rsidRPr="0023325E">
                              <w:rPr>
                                <w:lang w:val="en-GB"/>
                              </w:rPr>
                              <w:t xml:space="preserve"> are evaluating RSD alternatives. A two-</w:t>
                            </w:r>
                            <w:r w:rsidRPr="009149BB">
                              <w:rPr>
                                <w:lang w:val="en-GB"/>
                              </w:rPr>
                              <w:t>step</w:t>
                            </w:r>
                            <w:r w:rsidRPr="0023325E">
                              <w:rPr>
                                <w:lang w:val="en-GB"/>
                              </w:rPr>
                              <w:t xml:space="preserve"> explorative approach </w:t>
                            </w:r>
                            <w:r>
                              <w:rPr>
                                <w:lang w:val="en-GB"/>
                              </w:rPr>
                              <w:t>has been used for this research</w:t>
                            </w:r>
                            <w:r w:rsidRPr="009149BB">
                              <w:rPr>
                                <w:lang w:val="en-GB"/>
                              </w:rPr>
                              <w:t>.</w:t>
                            </w:r>
                            <w:r w:rsidRPr="0023325E">
                              <w:rPr>
                                <w:lang w:val="en-GB"/>
                              </w:rPr>
                              <w:t xml:space="preserve"> In the first step, a theoretical approach </w:t>
                            </w:r>
                            <w:r>
                              <w:rPr>
                                <w:lang w:val="en-GB"/>
                              </w:rPr>
                              <w:t>has been</w:t>
                            </w:r>
                            <w:r w:rsidRPr="0023325E">
                              <w:rPr>
                                <w:lang w:val="en-GB"/>
                              </w:rPr>
                              <w:t xml:space="preserve"> followed by developing a structured literature review based on 115 Scopus</w:t>
                            </w:r>
                            <w:r w:rsidRPr="009149BB">
                              <w:rPr>
                                <w:lang w:val="en-GB"/>
                              </w:rPr>
                              <w:t>-</w:t>
                            </w:r>
                            <w:r w:rsidRPr="0023325E">
                              <w:rPr>
                                <w:lang w:val="en-GB"/>
                              </w:rPr>
                              <w:t xml:space="preserve">indexed journal articles. The second step of the methodology is based on </w:t>
                            </w:r>
                            <w:r w:rsidRPr="009149BB">
                              <w:rPr>
                                <w:lang w:val="en-GB"/>
                              </w:rPr>
                              <w:t xml:space="preserve">the </w:t>
                            </w:r>
                            <w:r w:rsidRPr="0023325E">
                              <w:rPr>
                                <w:lang w:val="en-GB"/>
                              </w:rPr>
                              <w:t xml:space="preserve">empirical evidence </w:t>
                            </w:r>
                            <w:r w:rsidRPr="009149BB">
                              <w:rPr>
                                <w:lang w:val="en-GB"/>
                              </w:rPr>
                              <w:t>of</w:t>
                            </w:r>
                            <w:r w:rsidRPr="0023325E">
                              <w:rPr>
                                <w:lang w:val="en-GB"/>
                              </w:rPr>
                              <w:t xml:space="preserve"> European countries </w:t>
                            </w:r>
                            <w:r>
                              <w:rPr>
                                <w:lang w:val="en-GB"/>
                              </w:rPr>
                              <w:t>using</w:t>
                            </w:r>
                            <w:r w:rsidRPr="0023325E">
                              <w:rPr>
                                <w:lang w:val="en-GB"/>
                              </w:rPr>
                              <w:t xml:space="preserve"> the UnivAQ </w:t>
                            </w:r>
                            <w:r w:rsidRPr="009149BB">
                              <w:rPr>
                                <w:lang w:val="en-GB"/>
                              </w:rPr>
                              <w:t>manufacturing reshoring dataset. The collected</w:t>
                            </w:r>
                            <w:r w:rsidRPr="0023325E">
                              <w:rPr>
                                <w:lang w:val="en-GB"/>
                              </w:rPr>
                              <w:t xml:space="preserve"> data </w:t>
                            </w:r>
                            <w:r w:rsidRPr="009149BB">
                              <w:rPr>
                                <w:lang w:val="en-GB"/>
                              </w:rPr>
                              <w:t>provides</w:t>
                            </w:r>
                            <w:r w:rsidRPr="0023325E">
                              <w:rPr>
                                <w:lang w:val="en-GB"/>
                              </w:rPr>
                              <w:t xml:space="preserve"> evidence of the growing interest of scholars in this issue; however, attention has mainly </w:t>
                            </w:r>
                            <w:r w:rsidRPr="009149BB">
                              <w:rPr>
                                <w:lang w:val="en-GB"/>
                              </w:rPr>
                              <w:t xml:space="preserve">been </w:t>
                            </w:r>
                            <w:r w:rsidRPr="0023325E">
                              <w:rPr>
                                <w:lang w:val="en-GB"/>
                              </w:rPr>
                              <w:t xml:space="preserve">focused on two single technologies, production automation and additive manufacturing. </w:t>
                            </w:r>
                            <w:r w:rsidRPr="009149BB">
                              <w:rPr>
                                <w:lang w:val="en-GB"/>
                              </w:rPr>
                              <w:t>The empirical</w:t>
                            </w:r>
                            <w:r w:rsidRPr="0023325E">
                              <w:rPr>
                                <w:lang w:val="en-GB"/>
                              </w:rPr>
                              <w:t xml:space="preserve"> data </w:t>
                            </w:r>
                            <w:r w:rsidRPr="009149BB">
                              <w:rPr>
                                <w:lang w:val="en-GB"/>
                              </w:rPr>
                              <w:t>offers</w:t>
                            </w:r>
                            <w:r w:rsidRPr="0023325E">
                              <w:rPr>
                                <w:lang w:val="en-GB"/>
                              </w:rPr>
                              <w:t xml:space="preserve"> interesting findings in terms of industry and geographic </w:t>
                            </w:r>
                            <w:r w:rsidRPr="009149BB">
                              <w:rPr>
                                <w:lang w:val="en-GB"/>
                              </w:rPr>
                              <w:t>characterisation</w:t>
                            </w:r>
                            <w:r w:rsidRPr="0023325E">
                              <w:rPr>
                                <w:lang w:val="en-GB"/>
                              </w:rPr>
                              <w:t>.</w:t>
                            </w:r>
                          </w:p>
                        </w:txbxContent>
                      </wps:txbx>
                      <wps:bodyPr rot="0" vert="horz" wrap="square" lIns="108000" tIns="108000" rIns="108000" bIns="108000" anchor="t" anchorCtr="0" upright="1">
                        <a:spAutoFit/>
                      </wps:bodyPr>
                    </wps:wsp>
                  </a:graphicData>
                </a:graphic>
              </wp:inline>
            </w:drawing>
          </mc:Choice>
          <mc:Fallback>
            <w:pict>
              <v:rect w14:anchorId="3796D51B"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" fillcolor="#c6d9f1" stroked="f" strokeweight=".5pt">
                <v:shadow color="#243f60" opacity=".5" offset="1pt"/>
                <v:path arrowok="t"/>
                <v:textbox style="mso-fit-shape-to-text:t" inset="3mm,3mm,3mm,3mm">
                  <w:txbxContent>
                    <w:p w14:paraId="05E4363B" w14:textId="0BE77C63" w:rsidR="00B25007" w:rsidRPr="0023325E" w:rsidRDefault="00B25007" w:rsidP="005A0365">
                      <w:pPr>
                        <w:pStyle w:val="Abstract"/>
                        <w:rPr>
                          <w:lang w:val="en-GB"/>
                        </w:rPr>
                      </w:pPr>
                      <w:r w:rsidRPr="0023325E">
                        <w:rPr>
                          <w:lang w:val="en-GB"/>
                        </w:rPr>
                        <w:t xml:space="preserve">ABSTRACT </w:t>
                      </w:r>
                    </w:p>
                    <w:p w14:paraId="1F0130C7" w14:textId="1B9FB8D3" w:rsidR="00B25007" w:rsidRPr="0023325E" w:rsidRDefault="00B25007" w:rsidP="007F2114">
                      <w:pPr>
                        <w:pStyle w:val="Abstract"/>
                        <w:rPr>
                          <w:lang w:val="en-GB"/>
                        </w:rPr>
                      </w:pPr>
                      <w:r>
                        <w:rPr>
                          <w:lang w:val="en-GB"/>
                        </w:rPr>
                        <w:t>Over</w:t>
                      </w:r>
                      <w:r w:rsidRPr="0023325E">
                        <w:rPr>
                          <w:lang w:val="en-GB"/>
                        </w:rPr>
                        <w:t xml:space="preserve"> the last two decades</w:t>
                      </w:r>
                      <w:r w:rsidRPr="009149BB">
                        <w:rPr>
                          <w:lang w:val="en-GB"/>
                        </w:rPr>
                        <w:t>,</w:t>
                      </w:r>
                      <w:r w:rsidRPr="0023325E">
                        <w:rPr>
                          <w:lang w:val="en-GB"/>
                        </w:rPr>
                        <w:t xml:space="preserve"> companies have increasingly </w:t>
                      </w:r>
                      <w:r w:rsidRPr="009149BB">
                        <w:rPr>
                          <w:lang w:val="en-GB"/>
                        </w:rPr>
                        <w:t xml:space="preserve">been </w:t>
                      </w:r>
                      <w:r w:rsidRPr="0023325E">
                        <w:rPr>
                          <w:lang w:val="en-GB"/>
                        </w:rPr>
                        <w:t>re-</w:t>
                      </w:r>
                      <w:r w:rsidRPr="009149BB">
                        <w:rPr>
                          <w:lang w:val="en-GB"/>
                        </w:rPr>
                        <w:t>evaluating</w:t>
                      </w:r>
                      <w:r w:rsidRPr="0023325E">
                        <w:rPr>
                          <w:lang w:val="en-GB"/>
                        </w:rPr>
                        <w:t xml:space="preserve"> their off-shoring strategies and </w:t>
                      </w:r>
                      <w:r w:rsidRPr="009149BB">
                        <w:rPr>
                          <w:lang w:val="en-GB"/>
                        </w:rPr>
                        <w:t>implementing</w:t>
                      </w:r>
                      <w:r w:rsidRPr="0023325E">
                        <w:rPr>
                          <w:lang w:val="en-GB"/>
                        </w:rPr>
                        <w:t xml:space="preserve"> decisions</w:t>
                      </w:r>
                      <w:r w:rsidRPr="009149BB">
                        <w:rPr>
                          <w:lang w:val="en-GB"/>
                        </w:rPr>
                        <w:t xml:space="preserve"> on </w:t>
                      </w:r>
                      <w:r>
                        <w:rPr>
                          <w:lang w:val="en-GB"/>
                        </w:rPr>
                        <w:t>r</w:t>
                      </w:r>
                      <w:r w:rsidRPr="009149BB">
                        <w:rPr>
                          <w:lang w:val="en-GB"/>
                        </w:rPr>
                        <w:t>elocations of</w:t>
                      </w:r>
                      <w:r>
                        <w:rPr>
                          <w:lang w:val="en-GB"/>
                        </w:rPr>
                        <w:t xml:space="preserve"> s</w:t>
                      </w:r>
                      <w:r w:rsidRPr="009149BB">
                        <w:rPr>
                          <w:lang w:val="en-GB"/>
                        </w:rPr>
                        <w:t xml:space="preserve">econd </w:t>
                      </w:r>
                      <w:r>
                        <w:rPr>
                          <w:lang w:val="en-GB"/>
                        </w:rPr>
                        <w:t>d</w:t>
                      </w:r>
                      <w:r w:rsidRPr="009149BB">
                        <w:rPr>
                          <w:lang w:val="en-GB"/>
                        </w:rPr>
                        <w:t>egree (RSD).</w:t>
                      </w:r>
                      <w:r w:rsidRPr="0023325E">
                        <w:rPr>
                          <w:lang w:val="en-GB"/>
                        </w:rPr>
                        <w:t xml:space="preserve"> In some cases, the RSD </w:t>
                      </w:r>
                      <w:r w:rsidRPr="009149BB">
                        <w:rPr>
                          <w:lang w:val="en-GB"/>
                        </w:rPr>
                        <w:t xml:space="preserve">decision </w:t>
                      </w:r>
                      <w:r w:rsidRPr="0023325E">
                        <w:rPr>
                          <w:lang w:val="en-GB"/>
                        </w:rPr>
                        <w:t xml:space="preserve">has been implemented through back-shoring. The topic has attracted the attention of several scholars, some of </w:t>
                      </w:r>
                      <w:r w:rsidRPr="009149BB">
                        <w:rPr>
                          <w:lang w:val="en-GB"/>
                        </w:rPr>
                        <w:t>whom have</w:t>
                      </w:r>
                      <w:r w:rsidRPr="0023325E">
                        <w:rPr>
                          <w:lang w:val="en-GB"/>
                        </w:rPr>
                        <w:t xml:space="preserve"> specifically investigated the role of Industry 4.0 technologies in the back-shoring decision</w:t>
                      </w:r>
                      <w:r w:rsidRPr="009149BB">
                        <w:rPr>
                          <w:lang w:val="en-GB"/>
                        </w:rPr>
                        <w:t>-</w:t>
                      </w:r>
                      <w:r w:rsidRPr="0023325E">
                        <w:rPr>
                          <w:lang w:val="en-GB"/>
                        </w:rPr>
                        <w:t xml:space="preserve">making process. </w:t>
                      </w:r>
                      <w:r>
                        <w:rPr>
                          <w:lang w:val="en-GB"/>
                        </w:rPr>
                        <w:t>T</w:t>
                      </w:r>
                      <w:r w:rsidRPr="009149BB">
                        <w:rPr>
                          <w:lang w:val="en-GB"/>
                        </w:rPr>
                        <w:t>h</w:t>
                      </w:r>
                      <w:r>
                        <w:rPr>
                          <w:lang w:val="en-GB"/>
                        </w:rPr>
                        <w:t>is</w:t>
                      </w:r>
                      <w:r w:rsidRPr="0023325E">
                        <w:rPr>
                          <w:lang w:val="en-GB"/>
                        </w:rPr>
                        <w:t xml:space="preserve"> paper aims to shed new light on the role that Industry 4.0 technologies play as a driver or an enabling factor for companies </w:t>
                      </w:r>
                      <w:r w:rsidRPr="009149BB">
                        <w:rPr>
                          <w:lang w:val="en-GB"/>
                        </w:rPr>
                        <w:t>that</w:t>
                      </w:r>
                      <w:r w:rsidRPr="0023325E">
                        <w:rPr>
                          <w:lang w:val="en-GB"/>
                        </w:rPr>
                        <w:t xml:space="preserve"> are evaluating RSD alternatives. A two-</w:t>
                      </w:r>
                      <w:r w:rsidRPr="009149BB">
                        <w:rPr>
                          <w:lang w:val="en-GB"/>
                        </w:rPr>
                        <w:t>step</w:t>
                      </w:r>
                      <w:r w:rsidRPr="0023325E">
                        <w:rPr>
                          <w:lang w:val="en-GB"/>
                        </w:rPr>
                        <w:t xml:space="preserve"> explorative approach </w:t>
                      </w:r>
                      <w:r>
                        <w:rPr>
                          <w:lang w:val="en-GB"/>
                        </w:rPr>
                        <w:t>has been used for this research</w:t>
                      </w:r>
                      <w:r w:rsidRPr="009149BB">
                        <w:rPr>
                          <w:lang w:val="en-GB"/>
                        </w:rPr>
                        <w:t>.</w:t>
                      </w:r>
                      <w:r w:rsidRPr="0023325E">
                        <w:rPr>
                          <w:lang w:val="en-GB"/>
                        </w:rPr>
                        <w:t xml:space="preserve"> In the first step, a theoretical approach </w:t>
                      </w:r>
                      <w:r>
                        <w:rPr>
                          <w:lang w:val="en-GB"/>
                        </w:rPr>
                        <w:t>has been</w:t>
                      </w:r>
                      <w:r w:rsidRPr="0023325E">
                        <w:rPr>
                          <w:lang w:val="en-GB"/>
                        </w:rPr>
                        <w:t xml:space="preserve"> followed by developing a structured literature review based on 115 Scopus</w:t>
                      </w:r>
                      <w:r w:rsidRPr="009149BB">
                        <w:rPr>
                          <w:lang w:val="en-GB"/>
                        </w:rPr>
                        <w:t>-</w:t>
                      </w:r>
                      <w:r w:rsidRPr="0023325E">
                        <w:rPr>
                          <w:lang w:val="en-GB"/>
                        </w:rPr>
                        <w:t xml:space="preserve">indexed journal articles. The second step of the methodology is based on </w:t>
                      </w:r>
                      <w:r w:rsidRPr="009149BB">
                        <w:rPr>
                          <w:lang w:val="en-GB"/>
                        </w:rPr>
                        <w:t xml:space="preserve">the </w:t>
                      </w:r>
                      <w:r w:rsidRPr="0023325E">
                        <w:rPr>
                          <w:lang w:val="en-GB"/>
                        </w:rPr>
                        <w:t xml:space="preserve">empirical evidence </w:t>
                      </w:r>
                      <w:r w:rsidRPr="009149BB">
                        <w:rPr>
                          <w:lang w:val="en-GB"/>
                        </w:rPr>
                        <w:t>of</w:t>
                      </w:r>
                      <w:r w:rsidRPr="0023325E">
                        <w:rPr>
                          <w:lang w:val="en-GB"/>
                        </w:rPr>
                        <w:t xml:space="preserve"> European countries </w:t>
                      </w:r>
                      <w:r>
                        <w:rPr>
                          <w:lang w:val="en-GB"/>
                        </w:rPr>
                        <w:t>using</w:t>
                      </w:r>
                      <w:r w:rsidRPr="0023325E">
                        <w:rPr>
                          <w:lang w:val="en-GB"/>
                        </w:rPr>
                        <w:t xml:space="preserve"> the UnivAQ </w:t>
                      </w:r>
                      <w:r w:rsidRPr="009149BB">
                        <w:rPr>
                          <w:lang w:val="en-GB"/>
                        </w:rPr>
                        <w:t>manufacturing reshoring dataset. The collected</w:t>
                      </w:r>
                      <w:r w:rsidRPr="0023325E">
                        <w:rPr>
                          <w:lang w:val="en-GB"/>
                        </w:rPr>
                        <w:t xml:space="preserve"> data </w:t>
                      </w:r>
                      <w:r w:rsidRPr="009149BB">
                        <w:rPr>
                          <w:lang w:val="en-GB"/>
                        </w:rPr>
                        <w:t>provides</w:t>
                      </w:r>
                      <w:r w:rsidRPr="0023325E">
                        <w:rPr>
                          <w:lang w:val="en-GB"/>
                        </w:rPr>
                        <w:t xml:space="preserve"> evidence of the growing interest of scholars in this issue; however, attention has mainly </w:t>
                      </w:r>
                      <w:r w:rsidRPr="009149BB">
                        <w:rPr>
                          <w:lang w:val="en-GB"/>
                        </w:rPr>
                        <w:t xml:space="preserve">been </w:t>
                      </w:r>
                      <w:r w:rsidRPr="0023325E">
                        <w:rPr>
                          <w:lang w:val="en-GB"/>
                        </w:rPr>
                        <w:t xml:space="preserve">focused on two single technologies, production automation and additive manufacturing. </w:t>
                      </w:r>
                      <w:r w:rsidRPr="009149BB">
                        <w:rPr>
                          <w:lang w:val="en-GB"/>
                        </w:rPr>
                        <w:t>The empirical</w:t>
                      </w:r>
                      <w:r w:rsidRPr="0023325E">
                        <w:rPr>
                          <w:lang w:val="en-GB"/>
                        </w:rPr>
                        <w:t xml:space="preserve"> data </w:t>
                      </w:r>
                      <w:r w:rsidRPr="009149BB">
                        <w:rPr>
                          <w:lang w:val="en-GB"/>
                        </w:rPr>
                        <w:t>offers</w:t>
                      </w:r>
                      <w:r w:rsidRPr="0023325E">
                        <w:rPr>
                          <w:lang w:val="en-GB"/>
                        </w:rPr>
                        <w:t xml:space="preserve"> interesting findings in terms of industry and geographic </w:t>
                      </w:r>
                      <w:r w:rsidRPr="009149BB">
                        <w:rPr>
                          <w:lang w:val="en-GB"/>
                        </w:rPr>
                        <w:t>characterisation</w:t>
                      </w:r>
                      <w:r w:rsidRPr="0023325E">
                        <w:rPr>
                          <w:lang w:val="en-GB"/>
                        </w:rPr>
                        <w:t>.</w:t>
                      </w:r>
                    </w:p>
                  </w:txbxContent>
                </v:textbox>
                <w10:anchorlock/>
              </v:rect>
            </w:pict>
          </mc:Fallback>
        </mc:AlternateContent>
      </w:r>
    </w:p>
    <w:bookmarkStart w:id="0" w:name="_Hlk4671301"/>
    <w:p w14:paraId="467E3389" w14:textId="77777777" w:rsidR="002B130A" w:rsidRPr="00733536" w:rsidRDefault="002B130A" w:rsidP="002B130A">
      <w:pPr>
        <w:pStyle w:val="Editor"/>
        <w:rPr>
          <w:lang w:val="en-GB"/>
        </w:rPr>
      </w:pPr>
      <w:r w:rsidRPr="00733536">
        <w:rPr>
          <w:noProof/>
          <w:lang w:val="en-GB" w:eastAsia="nl-NL"/>
        </w:rPr>
        <mc:AlternateContent>
          <mc:Choice Requires="wps">
            <w:drawing>
              <wp:inline distT="0" distB="0" distL="0" distR="0" wp14:anchorId="7C78B990" wp14:editId="3E73D6B4">
                <wp:extent cx="6480175" cy="0"/>
                <wp:effectExtent l="9525" t="9525" r="6350" b="952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B65049"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">
                <v:stroke dashstyle="1 1" endcap="round"/>
                <w10:anchorlock/>
              </v:shape>
            </w:pict>
          </mc:Fallback>
        </mc:AlternateContent>
      </w:r>
    </w:p>
    <w:bookmarkEnd w:id="0"/>
    <w:p w14:paraId="728BE90E" w14:textId="77777777" w:rsidR="002B130A" w:rsidRPr="00733536" w:rsidRDefault="002B130A" w:rsidP="002B130A">
      <w:pPr>
        <w:pStyle w:val="SectionName"/>
        <w:rPr>
          <w:b w:val="0"/>
          <w:lang w:val="en-GB"/>
        </w:rPr>
      </w:pPr>
      <w:r w:rsidRPr="00733536">
        <w:rPr>
          <w:lang w:val="en-GB"/>
        </w:rPr>
        <w:t>Section:</w:t>
      </w:r>
      <w:r w:rsidRPr="00733536">
        <w:rPr>
          <w:b w:val="0"/>
          <w:lang w:val="en-GB"/>
        </w:rPr>
        <w:t xml:space="preserve"> </w:t>
      </w:r>
      <w:permStart w:id="1160923288" w:edGrp="everyone"/>
      <w:r w:rsidRPr="00733536">
        <w:rPr>
          <w:b w:val="0"/>
          <w:lang w:val="en-GB"/>
        </w:rPr>
        <w:t>RESEARCH PAPER</w:t>
      </w:r>
      <w:permEnd w:id="1160923288"/>
      <w:r w:rsidRPr="00733536">
        <w:rPr>
          <w:b w:val="0"/>
          <w:lang w:val="en-GB"/>
        </w:rPr>
        <w:t xml:space="preserve"> </w:t>
      </w:r>
    </w:p>
    <w:p w14:paraId="36F903C0" w14:textId="6B3FD3B7" w:rsidR="005A0365" w:rsidRPr="00733536" w:rsidRDefault="005A0365" w:rsidP="005A0365">
      <w:pPr>
        <w:pStyle w:val="Keywords"/>
      </w:pPr>
      <w:r w:rsidRPr="00733536">
        <w:rPr>
          <w:b/>
        </w:rPr>
        <w:t>Keywords:</w:t>
      </w:r>
      <w:r w:rsidRPr="00733536">
        <w:t xml:space="preserve"> </w:t>
      </w:r>
      <w:r w:rsidR="00211393" w:rsidRPr="00733536">
        <w:t>reshoring</w:t>
      </w:r>
      <w:r w:rsidR="0048532F" w:rsidRPr="00733536">
        <w:t>;</w:t>
      </w:r>
      <w:r w:rsidR="00211393" w:rsidRPr="00733536">
        <w:t xml:space="preserve"> Industry 4.0</w:t>
      </w:r>
      <w:r w:rsidR="0048532F" w:rsidRPr="00733536">
        <w:t>;</w:t>
      </w:r>
      <w:r w:rsidR="00211393" w:rsidRPr="00733536">
        <w:t xml:space="preserve"> manufacturing, </w:t>
      </w:r>
    </w:p>
    <w:p w14:paraId="22DE1B32" w14:textId="1063130B" w:rsidR="002B130A" w:rsidRPr="00733536" w:rsidRDefault="002B130A" w:rsidP="002B130A">
      <w:pPr>
        <w:pStyle w:val="Citation"/>
        <w:rPr>
          <w:lang w:val="en-GB"/>
        </w:rPr>
      </w:pPr>
      <w:bookmarkStart w:id="1" w:name="_Hlk54689848"/>
      <w:r w:rsidRPr="00733536">
        <w:rPr>
          <w:b/>
          <w:lang w:val="en-GB"/>
        </w:rPr>
        <w:t>Citation:</w:t>
      </w:r>
      <w:r w:rsidRPr="00733536">
        <w:rPr>
          <w:lang w:val="en-GB"/>
        </w:rPr>
        <w:t xml:space="preserve"> </w:t>
      </w:r>
      <w:r w:rsidRPr="00733536">
        <w:rPr>
          <w:lang w:val="en-GB"/>
        </w:rPr>
        <w:fldChar w:fldCharType="begin"/>
      </w:r>
      <w:r w:rsidRPr="00733536">
        <w:rPr>
          <w:lang w:val="en-GB"/>
        </w:rPr>
        <w:instrText xml:space="preserve"> DOCPROPERTY  "Acta IMEKO Article Authors"  \* MERGEFORMAT </w:instrText>
      </w:r>
      <w:r w:rsidRPr="00733536">
        <w:rPr>
          <w:lang w:val="en-GB"/>
        </w:rPr>
        <w:fldChar w:fldCharType="separate"/>
      </w:r>
      <w:r w:rsidR="000311B9" w:rsidRPr="00733536">
        <w:rPr>
          <w:lang w:val="en-GB"/>
        </w:rPr>
        <w:t>Luciano Fratocchi, Cristina Di Stefano</w:t>
      </w:r>
      <w:r w:rsidRPr="00733536">
        <w:rPr>
          <w:lang w:val="en-GB"/>
        </w:rPr>
        <w:fldChar w:fldCharType="end"/>
      </w:r>
      <w:r w:rsidRPr="00733536">
        <w:rPr>
          <w:lang w:val="en-GB"/>
        </w:rPr>
        <w:t xml:space="preserve">, </w:t>
      </w:r>
      <w:r w:rsidRPr="00733536">
        <w:rPr>
          <w:lang w:val="en-GB"/>
        </w:rPr>
        <w:fldChar w:fldCharType="begin"/>
      </w:r>
      <w:r w:rsidRPr="00733536">
        <w:rPr>
          <w:lang w:val="en-GB"/>
        </w:rPr>
        <w:instrText xml:space="preserve"> TITLE   \* MERGEFORMAT </w:instrText>
      </w:r>
      <w:r w:rsidRPr="00733536">
        <w:rPr>
          <w:lang w:val="en-GB"/>
        </w:rPr>
        <w:fldChar w:fldCharType="separate"/>
      </w:r>
      <w:r w:rsidR="008F7C96" w:rsidRPr="00733536">
        <w:rPr>
          <w:lang w:val="en-GB"/>
        </w:rPr>
        <w:t xml:space="preserve">Industry 4.0 technologies and manufacturing back-shoring: </w:t>
      </w:r>
      <w:r w:rsidR="00B526BC">
        <w:rPr>
          <w:lang w:val="en-GB"/>
        </w:rPr>
        <w:t>a</w:t>
      </w:r>
      <w:r w:rsidR="008F7C96" w:rsidRPr="00733536">
        <w:rPr>
          <w:lang w:val="en-GB"/>
        </w:rPr>
        <w:t xml:space="preserve"> European perspective</w:t>
      </w:r>
      <w:r w:rsidRPr="00733536">
        <w:rPr>
          <w:lang w:val="en-GB"/>
        </w:rPr>
        <w:fldChar w:fldCharType="end"/>
      </w:r>
      <w:r w:rsidRPr="00733536">
        <w:rPr>
          <w:lang w:val="en-GB"/>
        </w:rPr>
        <w:t>, Acta IMEKO, vol. </w:t>
      </w:r>
      <w:r w:rsidRPr="00733536">
        <w:rPr>
          <w:lang w:val="en-GB"/>
        </w:rPr>
        <w:fldChar w:fldCharType="begin"/>
      </w:r>
      <w:r w:rsidRPr="00733536">
        <w:rPr>
          <w:lang w:val="en-GB"/>
        </w:rPr>
        <w:instrText xml:space="preserve"> DOCPROPERTY  "Acta IMEKO Issue Volume"  \#0 \* MERGEFORMAT </w:instrText>
      </w:r>
      <w:r w:rsidRPr="00733536">
        <w:rPr>
          <w:lang w:val="en-GB"/>
        </w:rPr>
        <w:fldChar w:fldCharType="separate"/>
      </w:r>
      <w:r w:rsidR="000311B9" w:rsidRPr="00733536">
        <w:rPr>
          <w:lang w:val="en-GB"/>
        </w:rPr>
        <w:t>9</w:t>
      </w:r>
      <w:r w:rsidRPr="00733536">
        <w:rPr>
          <w:lang w:val="en-GB"/>
        </w:rPr>
        <w:fldChar w:fldCharType="end"/>
      </w:r>
      <w:r w:rsidRPr="00733536">
        <w:rPr>
          <w:lang w:val="en-GB"/>
        </w:rPr>
        <w:t>, no. </w:t>
      </w:r>
      <w:r w:rsidRPr="00733536">
        <w:rPr>
          <w:lang w:val="en-GB"/>
        </w:rPr>
        <w:fldChar w:fldCharType="begin"/>
      </w:r>
      <w:r w:rsidRPr="00733536">
        <w:rPr>
          <w:lang w:val="en-GB"/>
        </w:rPr>
        <w:instrText xml:space="preserve"> DOCPROPERTY  "Acta IMEKO Issue Number"  \#0 \* MERGEFORMAT </w:instrText>
      </w:r>
      <w:r w:rsidRPr="00733536">
        <w:rPr>
          <w:lang w:val="en-GB"/>
        </w:rPr>
        <w:fldChar w:fldCharType="separate"/>
      </w:r>
      <w:r w:rsidR="000311B9" w:rsidRPr="00733536">
        <w:rPr>
          <w:lang w:val="en-GB"/>
        </w:rPr>
        <w:t>4</w:t>
      </w:r>
      <w:r w:rsidRPr="00733536">
        <w:rPr>
          <w:lang w:val="en-GB"/>
        </w:rPr>
        <w:fldChar w:fldCharType="end"/>
      </w:r>
      <w:r w:rsidRPr="00733536">
        <w:rPr>
          <w:lang w:val="en-GB"/>
        </w:rPr>
        <w:t>, article </w:t>
      </w:r>
      <w:r w:rsidRPr="00733536">
        <w:rPr>
          <w:lang w:val="en-GB"/>
        </w:rPr>
        <w:fldChar w:fldCharType="begin"/>
      </w:r>
      <w:r w:rsidRPr="00733536">
        <w:rPr>
          <w:lang w:val="en-GB"/>
        </w:rPr>
        <w:instrText xml:space="preserve"> DOCPROPERTY  "Acta IMEKO Article Number"  \#0 \* MERGEFORMAT </w:instrText>
      </w:r>
      <w:r w:rsidRPr="00733536">
        <w:rPr>
          <w:lang w:val="en-GB"/>
        </w:rPr>
        <w:fldChar w:fldCharType="separate"/>
      </w:r>
      <w:r w:rsidR="000311B9" w:rsidRPr="00733536">
        <w:rPr>
          <w:lang w:val="en-GB"/>
        </w:rPr>
        <w:t>3</w:t>
      </w:r>
      <w:r w:rsidRPr="00733536">
        <w:rPr>
          <w:lang w:val="en-GB"/>
        </w:rPr>
        <w:fldChar w:fldCharType="end"/>
      </w:r>
      <w:r w:rsidRPr="00733536">
        <w:rPr>
          <w:lang w:val="en-GB"/>
        </w:rPr>
        <w:t xml:space="preserve">, </w:t>
      </w:r>
      <w:r w:rsidRPr="00733536">
        <w:rPr>
          <w:lang w:val="en-GB"/>
        </w:rPr>
        <w:fldChar w:fldCharType="begin"/>
      </w:r>
      <w:r w:rsidRPr="00733536">
        <w:rPr>
          <w:lang w:val="en-GB"/>
        </w:rPr>
        <w:instrText xml:space="preserve"> DOCPROPERTY  "Acta IMEKO Issue Month"  \* MERGEFORMAT </w:instrText>
      </w:r>
      <w:r w:rsidRPr="00733536">
        <w:rPr>
          <w:lang w:val="en-GB"/>
        </w:rPr>
        <w:fldChar w:fldCharType="separate"/>
      </w:r>
      <w:r w:rsidR="000311B9" w:rsidRPr="00733536">
        <w:rPr>
          <w:lang w:val="en-GB"/>
        </w:rPr>
        <w:t>December</w:t>
      </w:r>
      <w:r w:rsidRPr="00733536">
        <w:rPr>
          <w:lang w:val="en-GB"/>
        </w:rPr>
        <w:fldChar w:fldCharType="end"/>
      </w:r>
      <w:r w:rsidRPr="00733536">
        <w:rPr>
          <w:lang w:val="en-GB"/>
        </w:rPr>
        <w:t> </w:t>
      </w:r>
      <w:r w:rsidRPr="00733536">
        <w:rPr>
          <w:lang w:val="en-GB"/>
        </w:rPr>
        <w:fldChar w:fldCharType="begin"/>
      </w:r>
      <w:r w:rsidRPr="00733536">
        <w:rPr>
          <w:lang w:val="en-GB"/>
        </w:rPr>
        <w:instrText xml:space="preserve"> DOCPROPERTY  "Acta IMEKO Issue Year"  \* MERGEFORMAT </w:instrText>
      </w:r>
      <w:r w:rsidRPr="00733536">
        <w:rPr>
          <w:lang w:val="en-GB"/>
        </w:rPr>
        <w:fldChar w:fldCharType="separate"/>
      </w:r>
      <w:r w:rsidR="000311B9" w:rsidRPr="00733536">
        <w:rPr>
          <w:lang w:val="en-GB"/>
        </w:rPr>
        <w:t>2020</w:t>
      </w:r>
      <w:r w:rsidRPr="00733536">
        <w:rPr>
          <w:lang w:val="en-GB"/>
        </w:rPr>
        <w:fldChar w:fldCharType="end"/>
      </w:r>
      <w:r w:rsidRPr="00733536">
        <w:rPr>
          <w:lang w:val="en-GB"/>
        </w:rPr>
        <w:t>, identifier: IMEKO-ACTA</w:t>
      </w:r>
      <w:bookmarkStart w:id="2" w:name="_Hlk4670901"/>
      <w:r w:rsidRPr="00733536">
        <w:rPr>
          <w:lang w:val="en-GB"/>
        </w:rPr>
        <w:t>-</w:t>
      </w:r>
      <w:r w:rsidRPr="00733536">
        <w:rPr>
          <w:lang w:val="en-GB"/>
        </w:rPr>
        <w:fldChar w:fldCharType="begin"/>
      </w:r>
      <w:r w:rsidRPr="00733536">
        <w:rPr>
          <w:lang w:val="en-GB"/>
        </w:rPr>
        <w:instrText xml:space="preserve"> DOCPROPERTY  "Acta IMEKO Issue Volume"  \#00 \* MERGEFORMAT </w:instrText>
      </w:r>
      <w:r w:rsidRPr="00733536">
        <w:rPr>
          <w:lang w:val="en-GB"/>
        </w:rPr>
        <w:fldChar w:fldCharType="separate"/>
      </w:r>
      <w:r w:rsidR="000311B9" w:rsidRPr="00733536">
        <w:rPr>
          <w:lang w:val="en-GB"/>
        </w:rPr>
        <w:t>09</w:t>
      </w:r>
      <w:r w:rsidRPr="00733536">
        <w:rPr>
          <w:lang w:val="en-GB"/>
        </w:rPr>
        <w:fldChar w:fldCharType="end"/>
      </w:r>
      <w:r w:rsidRPr="00733536">
        <w:rPr>
          <w:lang w:val="en-GB"/>
        </w:rPr>
        <w:t> (</w:t>
      </w:r>
      <w:r w:rsidRPr="00733536">
        <w:rPr>
          <w:lang w:val="en-GB"/>
        </w:rPr>
        <w:fldChar w:fldCharType="begin"/>
      </w:r>
      <w:r w:rsidRPr="00733536">
        <w:rPr>
          <w:lang w:val="en-GB"/>
        </w:rPr>
        <w:instrText xml:space="preserve"> DOCPROPERTY  "Acta IMEKO Issue Year"  \* MERGEFORMAT </w:instrText>
      </w:r>
      <w:r w:rsidRPr="00733536">
        <w:rPr>
          <w:lang w:val="en-GB"/>
        </w:rPr>
        <w:fldChar w:fldCharType="separate"/>
      </w:r>
      <w:r w:rsidR="000311B9" w:rsidRPr="00733536">
        <w:rPr>
          <w:lang w:val="en-GB"/>
        </w:rPr>
        <w:t>2020</w:t>
      </w:r>
      <w:r w:rsidRPr="00733536">
        <w:rPr>
          <w:lang w:val="en-GB"/>
        </w:rPr>
        <w:fldChar w:fldCharType="end"/>
      </w:r>
      <w:r w:rsidRPr="00733536">
        <w:rPr>
          <w:lang w:val="en-GB"/>
        </w:rPr>
        <w:t>)-</w:t>
      </w:r>
      <w:r w:rsidRPr="00733536">
        <w:rPr>
          <w:lang w:val="en-GB"/>
        </w:rPr>
        <w:fldChar w:fldCharType="begin"/>
      </w:r>
      <w:r w:rsidRPr="00733536">
        <w:rPr>
          <w:lang w:val="en-GB"/>
        </w:rPr>
        <w:instrText xml:space="preserve"> DOCPROPERTY  "Acta IMEKO Issue Number"  \#00 \* MERGEFORMAT </w:instrText>
      </w:r>
      <w:r w:rsidRPr="00733536">
        <w:rPr>
          <w:lang w:val="en-GB"/>
        </w:rPr>
        <w:fldChar w:fldCharType="separate"/>
      </w:r>
      <w:r w:rsidR="000311B9" w:rsidRPr="00733536">
        <w:rPr>
          <w:lang w:val="en-GB"/>
        </w:rPr>
        <w:t>04</w:t>
      </w:r>
      <w:r w:rsidRPr="00733536">
        <w:rPr>
          <w:lang w:val="en-GB"/>
        </w:rPr>
        <w:fldChar w:fldCharType="end"/>
      </w:r>
      <w:r w:rsidRPr="00733536">
        <w:rPr>
          <w:lang w:val="en-GB"/>
        </w:rPr>
        <w:t>-</w:t>
      </w:r>
      <w:r w:rsidRPr="00733536">
        <w:rPr>
          <w:lang w:val="en-GB"/>
        </w:rPr>
        <w:fldChar w:fldCharType="begin"/>
      </w:r>
      <w:r w:rsidRPr="00733536">
        <w:rPr>
          <w:lang w:val="en-GB"/>
        </w:rPr>
        <w:instrText xml:space="preserve"> DOCPROPERTY  "Acta IMEKO Article Number"  \#00 \* MERGEFORMAT </w:instrText>
      </w:r>
      <w:r w:rsidRPr="00733536">
        <w:rPr>
          <w:lang w:val="en-GB"/>
        </w:rPr>
        <w:fldChar w:fldCharType="separate"/>
      </w:r>
      <w:r w:rsidR="000311B9" w:rsidRPr="00733536">
        <w:rPr>
          <w:lang w:val="en-GB"/>
        </w:rPr>
        <w:t>03</w:t>
      </w:r>
      <w:r w:rsidRPr="00733536">
        <w:rPr>
          <w:lang w:val="en-GB"/>
        </w:rPr>
        <w:fldChar w:fldCharType="end"/>
      </w:r>
      <w:bookmarkEnd w:id="2"/>
    </w:p>
    <w:bookmarkEnd w:id="1"/>
    <w:p w14:paraId="5A683772" w14:textId="479F1ADF" w:rsidR="00CE18B6" w:rsidRPr="00733536" w:rsidRDefault="00CE18B6" w:rsidP="00CE18B6">
      <w:pPr>
        <w:pStyle w:val="Editor"/>
        <w:rPr>
          <w:lang w:val="en-GB"/>
        </w:rPr>
      </w:pPr>
      <w:r w:rsidRPr="00733536">
        <w:rPr>
          <w:b/>
          <w:lang w:val="en-GB"/>
        </w:rPr>
        <w:t xml:space="preserve">Section Editor: </w:t>
      </w:r>
      <w:r w:rsidRPr="00733536">
        <w:rPr>
          <w:b/>
          <w:lang w:val="en-GB"/>
        </w:rPr>
        <w:fldChar w:fldCharType="begin"/>
      </w:r>
      <w:r w:rsidRPr="00733536">
        <w:rPr>
          <w:b/>
          <w:lang w:val="en-GB"/>
        </w:rPr>
        <w:instrText xml:space="preserve"> </w:instrText>
      </w:r>
      <w:r w:rsidRPr="00733536">
        <w:rPr>
          <w:lang w:val="en-GB"/>
        </w:rPr>
        <w:instrText>DOCPROPERTY  "Acta IMEKO Section Editor"  \* MERGEFORMAT</w:instrText>
      </w:r>
      <w:r w:rsidRPr="00733536">
        <w:rPr>
          <w:b/>
          <w:lang w:val="en-GB"/>
        </w:rPr>
        <w:instrText xml:space="preserve"> </w:instrText>
      </w:r>
      <w:r w:rsidRPr="00733536">
        <w:rPr>
          <w:b/>
          <w:lang w:val="en-GB"/>
        </w:rPr>
        <w:fldChar w:fldCharType="separate"/>
      </w:r>
      <w:r w:rsidRPr="00733536">
        <w:rPr>
          <w:lang w:val="en-GB"/>
        </w:rPr>
        <w:t xml:space="preserve">Leopoldo Angrisani, University of Naples </w:t>
      </w:r>
      <w:r w:rsidR="00B526BC">
        <w:rPr>
          <w:lang w:val="en-GB"/>
        </w:rPr>
        <w:t>'</w:t>
      </w:r>
      <w:r w:rsidRPr="00733536">
        <w:rPr>
          <w:lang w:val="en-GB"/>
        </w:rPr>
        <w:t>Federico II</w:t>
      </w:r>
      <w:r w:rsidR="00B526BC">
        <w:rPr>
          <w:lang w:val="en-GB"/>
        </w:rPr>
        <w:t>'</w:t>
      </w:r>
      <w:r w:rsidRPr="00733536">
        <w:rPr>
          <w:lang w:val="en-GB"/>
        </w:rPr>
        <w:t>, Italy</w:t>
      </w:r>
      <w:r w:rsidRPr="00733536">
        <w:rPr>
          <w:b/>
          <w:lang w:val="en-GB"/>
        </w:rPr>
        <w:fldChar w:fldCharType="end"/>
      </w:r>
      <w:r w:rsidRPr="00733536">
        <w:rPr>
          <w:b/>
          <w:lang w:val="en-GB"/>
        </w:rPr>
        <w:t xml:space="preserve"> </w:t>
      </w:r>
    </w:p>
    <w:p w14:paraId="6B24047A" w14:textId="57AD044B" w:rsidR="00CE18B6" w:rsidRPr="00733536" w:rsidRDefault="00CE18B6" w:rsidP="00CE18B6">
      <w:pPr>
        <w:pStyle w:val="SignificantDates"/>
        <w:rPr>
          <w:lang w:val="en-GB"/>
        </w:rPr>
      </w:pPr>
      <w:r w:rsidRPr="00733536">
        <w:rPr>
          <w:b/>
          <w:lang w:val="en-GB"/>
        </w:rPr>
        <w:t>Received</w:t>
      </w:r>
      <w:r w:rsidRPr="00733536">
        <w:rPr>
          <w:lang w:val="en-GB"/>
        </w:rPr>
        <w:t xml:space="preserve"> </w:t>
      </w:r>
      <w:r w:rsidRPr="00733536">
        <w:rPr>
          <w:lang w:val="en-GB"/>
        </w:rPr>
        <w:fldChar w:fldCharType="begin"/>
      </w:r>
      <w:r w:rsidRPr="00733536">
        <w:rPr>
          <w:lang w:val="en-GB"/>
        </w:rPr>
        <w:instrText xml:space="preserve"> DOCPROPERTY  "Acta IMEKO Received MonthDayYear"  \* MERGEFORMAT </w:instrText>
      </w:r>
      <w:r w:rsidRPr="00733536">
        <w:rPr>
          <w:lang w:val="en-GB"/>
        </w:rPr>
        <w:fldChar w:fldCharType="separate"/>
      </w:r>
      <w:r w:rsidRPr="00733536">
        <w:rPr>
          <w:lang w:val="en-GB"/>
        </w:rPr>
        <w:t>October 11, 2019</w:t>
      </w:r>
      <w:r w:rsidRPr="00733536">
        <w:rPr>
          <w:lang w:val="en-GB"/>
        </w:rPr>
        <w:fldChar w:fldCharType="end"/>
      </w:r>
      <w:r w:rsidRPr="00733536">
        <w:rPr>
          <w:lang w:val="en-GB"/>
        </w:rPr>
        <w:t xml:space="preserve">; </w:t>
      </w:r>
      <w:r w:rsidRPr="00733536">
        <w:rPr>
          <w:b/>
          <w:lang w:val="en-GB"/>
        </w:rPr>
        <w:t>In final form</w:t>
      </w:r>
      <w:r w:rsidRPr="00733536">
        <w:rPr>
          <w:lang w:val="en-GB"/>
        </w:rPr>
        <w:t xml:space="preserve"> </w:t>
      </w:r>
      <w:r w:rsidRPr="00733536">
        <w:rPr>
          <w:lang w:val="en-GB"/>
        </w:rPr>
        <w:fldChar w:fldCharType="begin"/>
      </w:r>
      <w:r w:rsidRPr="00733536">
        <w:rPr>
          <w:lang w:val="en-GB"/>
        </w:rPr>
        <w:instrText xml:space="preserve"> DOCPROPERTY  "Acta IMEKO InFinalForm MonthDayYear"  \* MERGEFORMAT </w:instrText>
      </w:r>
      <w:r w:rsidRPr="00733536">
        <w:rPr>
          <w:lang w:val="en-GB"/>
        </w:rPr>
        <w:fldChar w:fldCharType="separate"/>
      </w:r>
      <w:r w:rsidRPr="00733536">
        <w:rPr>
          <w:lang w:val="en-GB"/>
        </w:rPr>
        <w:t>August 7, 2020</w:t>
      </w:r>
      <w:r w:rsidRPr="00733536">
        <w:rPr>
          <w:lang w:val="en-GB"/>
        </w:rPr>
        <w:fldChar w:fldCharType="end"/>
      </w:r>
      <w:r w:rsidRPr="00733536">
        <w:rPr>
          <w:lang w:val="en-GB"/>
        </w:rPr>
        <w:t xml:space="preserve">; </w:t>
      </w:r>
      <w:r w:rsidRPr="00733536">
        <w:rPr>
          <w:b/>
          <w:lang w:val="en-GB"/>
        </w:rPr>
        <w:t>Published</w:t>
      </w:r>
      <w:r w:rsidRPr="00733536">
        <w:rPr>
          <w:lang w:val="en-GB"/>
        </w:rPr>
        <w:t xml:space="preserve"> </w:t>
      </w:r>
      <w:r w:rsidRPr="00733536">
        <w:rPr>
          <w:lang w:val="en-GB"/>
        </w:rPr>
        <w:fldChar w:fldCharType="begin"/>
      </w:r>
      <w:r w:rsidRPr="00733536">
        <w:rPr>
          <w:lang w:val="en-GB"/>
        </w:rPr>
        <w:instrText xml:space="preserve"> DOCPROPERTY  "Acta IMEKO Issue Month"  \* MERGEFORMAT </w:instrText>
      </w:r>
      <w:r w:rsidRPr="00733536">
        <w:rPr>
          <w:lang w:val="en-GB"/>
        </w:rPr>
        <w:fldChar w:fldCharType="separate"/>
      </w:r>
      <w:r w:rsidRPr="00733536">
        <w:rPr>
          <w:lang w:val="en-GB"/>
        </w:rPr>
        <w:t>December</w:t>
      </w:r>
      <w:r w:rsidRPr="00733536">
        <w:rPr>
          <w:lang w:val="en-GB"/>
        </w:rPr>
        <w:fldChar w:fldCharType="end"/>
      </w:r>
      <w:r w:rsidRPr="00733536">
        <w:rPr>
          <w:lang w:val="en-GB"/>
        </w:rPr>
        <w:t xml:space="preserve"> </w:t>
      </w:r>
      <w:r w:rsidRPr="00733536">
        <w:rPr>
          <w:lang w:val="en-GB"/>
        </w:rPr>
        <w:fldChar w:fldCharType="begin"/>
      </w:r>
      <w:r w:rsidRPr="00733536">
        <w:rPr>
          <w:lang w:val="en-GB"/>
        </w:rPr>
        <w:instrText xml:space="preserve"> DOCPROPERTY  "Acta IMEKO Issue Year"  \* MERGEFORMAT </w:instrText>
      </w:r>
      <w:r w:rsidRPr="00733536">
        <w:rPr>
          <w:lang w:val="en-GB"/>
        </w:rPr>
        <w:fldChar w:fldCharType="separate"/>
      </w:r>
      <w:r w:rsidRPr="00733536">
        <w:rPr>
          <w:lang w:val="en-GB"/>
        </w:rPr>
        <w:t>2020</w:t>
      </w:r>
      <w:r w:rsidRPr="00733536">
        <w:rPr>
          <w:lang w:val="en-GB"/>
        </w:rPr>
        <w:fldChar w:fldCharType="end"/>
      </w:r>
    </w:p>
    <w:p w14:paraId="0565A678" w14:textId="77777777" w:rsidR="002B130A" w:rsidRPr="00733536" w:rsidRDefault="002B130A" w:rsidP="002B130A">
      <w:pPr>
        <w:pStyle w:val="SignificantDates"/>
        <w:rPr>
          <w:lang w:val="en-GB"/>
        </w:rPr>
      </w:pPr>
      <w:r w:rsidRPr="00733536">
        <w:rPr>
          <w:b/>
          <w:lang w:val="en-GB"/>
        </w:rPr>
        <w:t>Copyright:</w:t>
      </w:r>
      <w:r w:rsidRPr="00733536">
        <w:rPr>
          <w:lang w:val="en-GB"/>
        </w:rPr>
        <w:t xml:space="preserve"> This is an open-access article distributed under the terms of the Creative Commons Attribution 3.0 License, which permits unrestricted use, distribution, and reproduction in any medium, provided the original author and source are credited.</w:t>
      </w:r>
    </w:p>
    <w:p w14:paraId="318393B9" w14:textId="77777777" w:rsidR="00F038BA" w:rsidRPr="00733536" w:rsidRDefault="005A0365" w:rsidP="00F038BA">
      <w:pPr>
        <w:pStyle w:val="SectionName"/>
        <w:rPr>
          <w:b w:val="0"/>
          <w:bCs/>
          <w:lang w:val="en-GB"/>
        </w:rPr>
      </w:pPr>
      <w:r w:rsidRPr="0023325E">
        <w:rPr>
          <w:lang w:val="en-GB"/>
        </w:rPr>
        <w:t>Corresponding author:</w:t>
      </w:r>
      <w:r w:rsidR="00BC560F" w:rsidRPr="0023325E">
        <w:rPr>
          <w:b w:val="0"/>
          <w:lang w:val="en-GB"/>
        </w:rPr>
        <w:t xml:space="preserve"> </w:t>
      </w:r>
      <w:r w:rsidR="002B130A" w:rsidRPr="0023325E">
        <w:rPr>
          <w:b w:val="0"/>
          <w:lang w:val="en-GB"/>
        </w:rPr>
        <w:t xml:space="preserve">Luciano Fratocchi, e-mail: </w:t>
      </w:r>
      <w:hyperlink r:id="rId8" w:history="1">
        <w:r w:rsidR="002B130A" w:rsidRPr="0023325E">
          <w:rPr>
            <w:rStyle w:val="Hyperlink"/>
            <w:b w:val="0"/>
            <w:lang w:val="en-GB"/>
          </w:rPr>
          <w:t>luciano.fratocchi@univaq.it</w:t>
        </w:r>
      </w:hyperlink>
      <w:r w:rsidR="002B130A" w:rsidRPr="0023325E">
        <w:rPr>
          <w:lang w:val="en-GB"/>
        </w:rPr>
        <w:t xml:space="preserve"> </w:t>
      </w:r>
    </w:p>
    <w:p w14:paraId="1FC6F088" w14:textId="765CE273" w:rsidR="00F038BA" w:rsidRPr="00733536" w:rsidRDefault="00F038BA" w:rsidP="00F038BA">
      <w:pPr>
        <w:pStyle w:val="Editor"/>
        <w:rPr>
          <w:lang w:val="en-GB"/>
        </w:rPr>
      </w:pPr>
      <w:r w:rsidRPr="0023325E">
        <w:rPr>
          <w:noProof/>
          <w:lang w:val="en-GB"/>
        </w:rPr>
        <mc:AlternateContent>
          <mc:Choice Requires="wps">
            <w:drawing>
              <wp:inline distT="0" distB="0" distL="0" distR="0" wp14:anchorId="3BF7C180" wp14:editId="3BE25ED5">
                <wp:extent cx="6480175" cy="635"/>
                <wp:effectExtent l="0" t="0" r="34925" b="37465"/>
                <wp:docPr id="24" name="Gerade Verbindung mit Pfeil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635"/>
                        </a:xfrm>
                        <a:prstGeom prst="straightConnector1">
                          <a:avLst/>
                        </a:prstGeom>
                        <a:noFill/>
                        <a:ln w="9525" cap="rnd">
                          <a:solidFill>
                            <a:srgbClr val="000000"/>
                          </a:solidFill>
                          <a:prstDash val="sysDot"/>
                          <a:round/>
                          <a:headEnd/>
                          <a:tailEnd/>
                        </a:ln>
                      </wps:spPr>
                      <wps:bodyPr/>
                    </wps:wsp>
                  </a:graphicData>
                </a:graphic>
              </wp:inline>
            </w:drawing>
          </mc:Choice>
          <mc:Fallback>
            <w:pict>
              <v:shape w14:anchorId="569406F1" id="Gerade Verbindung mit Pfeil 24"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">
                <v:stroke dashstyle="1 1" endcap="round"/>
                <w10:anchorlock/>
              </v:shape>
            </w:pict>
          </mc:Fallback>
        </mc:AlternateContent>
      </w:r>
    </w:p>
    <w:p w14:paraId="2E066075" w14:textId="77777777" w:rsidR="00F038BA" w:rsidRPr="00733536" w:rsidRDefault="00F038BA" w:rsidP="00F038BA">
      <w:pPr>
        <w:ind w:firstLine="0"/>
        <w:sectPr w:rsidR="00F038BA" w:rsidRPr="00733536" w:rsidSect="00AE0E2D">
          <w:headerReference w:type="default" r:id="rId9"/>
          <w:footerReference w:type="even" r:id="rId10"/>
          <w:footerReference w:type="default" r:id="rId11"/>
          <w:type w:val="continuous"/>
          <w:pgSz w:w="11907" w:h="16840" w:code="9"/>
          <w:pgMar w:top="1134" w:right="851" w:bottom="1418" w:left="851" w:header="720" w:footer="720" w:gutter="0"/>
          <w:pgNumType w:start="1"/>
          <w:cols w:space="720"/>
          <w:formProt w:val="0"/>
          <w:docGrid w:linePitch="360"/>
        </w:sectPr>
      </w:pPr>
    </w:p>
    <w:p w14:paraId="45AF342E" w14:textId="77777777" w:rsidR="00F038BA" w:rsidRPr="00733536" w:rsidRDefault="00F038BA" w:rsidP="00F038BA">
      <w:pPr>
        <w:pStyle w:val="Level1Title"/>
        <w:ind w:left="431" w:hanging="431"/>
      </w:pPr>
      <w:r w:rsidRPr="00733536">
        <w:t>Introduction</w:t>
      </w:r>
    </w:p>
    <w:p w14:paraId="05DCA83B" w14:textId="3249996F" w:rsidR="00F038BA" w:rsidRPr="00733536" w:rsidRDefault="005A0365" w:rsidP="00F038BA">
      <w:r w:rsidRPr="00733536">
        <w:t>Manufacturing activities have been off-shored (and</w:t>
      </w:r>
      <w:r w:rsidR="00B526BC">
        <w:t>,</w:t>
      </w:r>
      <w:r w:rsidRPr="00733536">
        <w:t xml:space="preserve"> often</w:t>
      </w:r>
      <w:r w:rsidR="00B526BC">
        <w:t>,</w:t>
      </w:r>
      <w:r w:rsidRPr="00733536">
        <w:t xml:space="preserve"> also out-sourced) for a long time. Such location decisions have been motivated </w:t>
      </w:r>
      <w:r w:rsidR="00A169E5">
        <w:t xml:space="preserve">primarily </w:t>
      </w:r>
      <w:r w:rsidRPr="00733536">
        <w:t xml:space="preserve">by efficiency seeking, </w:t>
      </w:r>
      <w:r w:rsidR="00B526BC">
        <w:t xml:space="preserve">and </w:t>
      </w:r>
      <w:r w:rsidRPr="00733536">
        <w:t xml:space="preserve">they have </w:t>
      </w:r>
      <w:r w:rsidR="00B526BC" w:rsidRPr="00733536">
        <w:t xml:space="preserve">therefore </w:t>
      </w:r>
      <w:r w:rsidRPr="00733536">
        <w:t xml:space="preserve">generally </w:t>
      </w:r>
      <w:r w:rsidR="00B526BC">
        <w:t xml:space="preserve">involved </w:t>
      </w:r>
      <w:r w:rsidRPr="00733536">
        <w:t>low</w:t>
      </w:r>
      <w:r w:rsidR="00F12D34">
        <w:t>-</w:t>
      </w:r>
      <w:r w:rsidRPr="00733536">
        <w:t>cost countries (e.g. Eastern Europe and Asia). However, in the last two decades</w:t>
      </w:r>
      <w:r w:rsidR="00B526BC">
        <w:t>,</w:t>
      </w:r>
      <w:r w:rsidRPr="00733536">
        <w:t xml:space="preserve"> companies have been increasingly re-evaluating their previous off-shoring decisions having </w:t>
      </w:r>
      <w:r w:rsidR="003278DF">
        <w:t>encountered</w:t>
      </w:r>
      <w:r w:rsidRPr="00733536">
        <w:t xml:space="preserve"> several off-shoring pitfalls </w:t>
      </w:r>
      <w:r w:rsidR="002923BD" w:rsidRPr="00733536">
        <w:fldChar w:fldCharType="begin"/>
      </w:r>
      <w:r w:rsidR="002923BD" w:rsidRPr="00733536">
        <w:instrText xml:space="preserve"> REF _Ref55217342 \r \h </w:instrText>
      </w:r>
      <w:r w:rsidR="002923BD" w:rsidRPr="00733536">
        <w:fldChar w:fldCharType="separate"/>
      </w:r>
      <w:r w:rsidR="008F7C96" w:rsidRPr="00733536">
        <w:t>[1]</w:t>
      </w:r>
      <w:r w:rsidR="002923BD" w:rsidRPr="00733536">
        <w:fldChar w:fldCharType="end"/>
      </w:r>
      <w:r w:rsidRPr="00733536">
        <w:t>. As a consequence</w:t>
      </w:r>
      <w:r w:rsidR="00F1645B">
        <w:t>,</w:t>
      </w:r>
      <w:r w:rsidRPr="00733536">
        <w:t xml:space="preserve"> they </w:t>
      </w:r>
      <w:r w:rsidR="00F1645B">
        <w:t>have</w:t>
      </w:r>
      <w:r w:rsidRPr="00733536">
        <w:t xml:space="preserve"> implemented </w:t>
      </w:r>
      <w:r w:rsidR="00F1645B" w:rsidRPr="00733536">
        <w:t xml:space="preserve">decisions </w:t>
      </w:r>
      <w:r w:rsidR="00F1645B">
        <w:t xml:space="preserve">on </w:t>
      </w:r>
      <w:r w:rsidRPr="00733536">
        <w:t xml:space="preserve">relocations of second degree (RSD) </w:t>
      </w:r>
      <w:r w:rsidR="002771A1" w:rsidRPr="00733536">
        <w:fldChar w:fldCharType="begin"/>
      </w:r>
      <w:r w:rsidR="002771A1" w:rsidRPr="00733536">
        <w:instrText xml:space="preserve"> REF _Ref55217487 \r \h </w:instrText>
      </w:r>
      <w:r w:rsidR="002771A1" w:rsidRPr="00733536">
        <w:fldChar w:fldCharType="separate"/>
      </w:r>
      <w:r w:rsidR="008F7C96" w:rsidRPr="00733536">
        <w:t>[2]</w:t>
      </w:r>
      <w:r w:rsidR="002771A1" w:rsidRPr="00733536">
        <w:fldChar w:fldCharType="end"/>
      </w:r>
      <w:r w:rsidR="003278DF">
        <w:t>,</w:t>
      </w:r>
      <w:r w:rsidR="00B25007">
        <w:t xml:space="preserve"> </w:t>
      </w:r>
      <w:r w:rsidRPr="00733536">
        <w:t>also referred to as reshoring</w:t>
      </w:r>
      <w:r w:rsidR="0022278A" w:rsidRPr="00733536">
        <w:t xml:space="preserve"> </w:t>
      </w:r>
      <w:r w:rsidR="002923BD" w:rsidRPr="00733536">
        <w:fldChar w:fldCharType="begin"/>
      </w:r>
      <w:r w:rsidR="002923BD" w:rsidRPr="00733536">
        <w:instrText xml:space="preserve"> REF _Ref55217497 \r \h </w:instrText>
      </w:r>
      <w:r w:rsidR="002923BD" w:rsidRPr="00733536">
        <w:fldChar w:fldCharType="separate"/>
      </w:r>
      <w:r w:rsidR="008F7C96" w:rsidRPr="00733536">
        <w:t>[3]</w:t>
      </w:r>
      <w:r w:rsidR="002923BD" w:rsidRPr="00733536">
        <w:fldChar w:fldCharType="end"/>
      </w:r>
      <w:r w:rsidR="003278DF">
        <w:t xml:space="preserve">, </w:t>
      </w:r>
      <w:r w:rsidR="00F1645B">
        <w:t>that</w:t>
      </w:r>
      <w:r w:rsidRPr="00733536">
        <w:t xml:space="preserve"> consist of the relocation of manufacturing activities either to the home country (</w:t>
      </w:r>
      <w:r w:rsidR="00A169E5">
        <w:t>r</w:t>
      </w:r>
      <w:r w:rsidRPr="00733536">
        <w:t xml:space="preserve">elocation to the </w:t>
      </w:r>
      <w:r w:rsidR="00A169E5">
        <w:t>h</w:t>
      </w:r>
      <w:r w:rsidRPr="00733536">
        <w:t xml:space="preserve">ome </w:t>
      </w:r>
      <w:r w:rsidR="00A169E5">
        <w:t>c</w:t>
      </w:r>
      <w:r w:rsidRPr="00733536">
        <w:t xml:space="preserve">ountry </w:t>
      </w:r>
      <w:r w:rsidR="004958A3">
        <w:t>[</w:t>
      </w:r>
      <w:r w:rsidRPr="00733536">
        <w:t>RHC</w:t>
      </w:r>
      <w:r w:rsidR="004958A3">
        <w:t>]</w:t>
      </w:r>
      <w:r w:rsidRPr="00733536">
        <w:t xml:space="preserve"> or back-shoring) or to another host country (</w:t>
      </w:r>
      <w:r w:rsidR="00A169E5">
        <w:t>r</w:t>
      </w:r>
      <w:r w:rsidRPr="00733536">
        <w:t xml:space="preserve">elocation to a </w:t>
      </w:r>
      <w:r w:rsidR="00A169E5">
        <w:t>t</w:t>
      </w:r>
      <w:r w:rsidRPr="00733536">
        <w:t xml:space="preserve">hird </w:t>
      </w:r>
      <w:r w:rsidR="00A169E5">
        <w:t>c</w:t>
      </w:r>
      <w:r w:rsidRPr="00733536">
        <w:t xml:space="preserve">ountry </w:t>
      </w:r>
      <w:r w:rsidR="004958A3">
        <w:t>[</w:t>
      </w:r>
      <w:r w:rsidRPr="00733536">
        <w:t>RTC</w:t>
      </w:r>
      <w:r w:rsidR="004958A3">
        <w:t>]</w:t>
      </w:r>
      <w:r w:rsidRPr="00733536">
        <w:t xml:space="preserve">). In the case of RTC, the relocation may be either to a new host country in the home region (near-shoring) or to a far-away host country (further off-shoring) </w:t>
      </w:r>
      <w:r w:rsidR="008F7C96" w:rsidRPr="00733536">
        <w:fldChar w:fldCharType="begin"/>
      </w:r>
      <w:r w:rsidR="008F7C96" w:rsidRPr="00733536">
        <w:instrText xml:space="preserve"> REF _Ref55217497 \r \h </w:instrText>
      </w:r>
      <w:r w:rsidR="008F7C96" w:rsidRPr="00733536">
        <w:fldChar w:fldCharType="separate"/>
      </w:r>
      <w:r w:rsidR="008F7C96" w:rsidRPr="00733536">
        <w:t>[3]</w:t>
      </w:r>
      <w:r w:rsidR="008F7C96" w:rsidRPr="00733536">
        <w:fldChar w:fldCharType="end"/>
      </w:r>
      <w:r w:rsidR="00542406" w:rsidRPr="00733536">
        <w:t>,</w:t>
      </w:r>
      <w:r w:rsidR="00B25007">
        <w:t xml:space="preserve"> </w:t>
      </w:r>
      <w:r w:rsidR="00162EBF" w:rsidRPr="00733536">
        <w:fldChar w:fldCharType="begin"/>
      </w:r>
      <w:r w:rsidR="00162EBF" w:rsidRPr="00733536">
        <w:instrText xml:space="preserve"> REF _Ref55217958 \r \h </w:instrText>
      </w:r>
      <w:r w:rsidR="00162EBF" w:rsidRPr="00733536">
        <w:fldChar w:fldCharType="separate"/>
      </w:r>
      <w:r w:rsidR="008F7C96" w:rsidRPr="00733536">
        <w:t>[4]</w:t>
      </w:r>
      <w:r w:rsidR="00162EBF" w:rsidRPr="00733536">
        <w:fldChar w:fldCharType="end"/>
      </w:r>
      <w:r w:rsidRPr="00733536">
        <w:t xml:space="preserve">. </w:t>
      </w:r>
      <w:r w:rsidR="0022278A" w:rsidRPr="00733536">
        <w:t xml:space="preserve">We </w:t>
      </w:r>
      <w:commentRangeStart w:id="3"/>
      <w:r w:rsidR="0022278A" w:rsidRPr="00733536">
        <w:t>recogni</w:t>
      </w:r>
      <w:r w:rsidR="00F1645B">
        <w:t>s</w:t>
      </w:r>
      <w:r w:rsidR="0022278A" w:rsidRPr="00733536">
        <w:t xml:space="preserve">e </w:t>
      </w:r>
      <w:commentRangeEnd w:id="3"/>
      <w:r w:rsidR="00F1645B">
        <w:rPr>
          <w:rStyle w:val="CommentReference"/>
          <w:rFonts w:asciiTheme="minorHAnsi" w:eastAsiaTheme="minorEastAsia" w:hAnsiTheme="minorHAnsi" w:cstheme="minorBidi"/>
          <w:lang w:val="it-IT" w:eastAsia="ko-KR"/>
        </w:rPr>
        <w:commentReference w:id="3"/>
      </w:r>
      <w:r w:rsidR="0022278A" w:rsidRPr="00733536">
        <w:t xml:space="preserve">the term ‘reshoring’ has often been adopted with very different meanings, ranging from the </w:t>
      </w:r>
      <w:commentRangeStart w:id="4"/>
      <w:r w:rsidR="00EF5642">
        <w:t>‘</w:t>
      </w:r>
      <w:r w:rsidR="0022278A" w:rsidRPr="00733536">
        <w:t>generic change of location with respect to a previous off-shore country</w:t>
      </w:r>
      <w:r w:rsidR="00EF5642">
        <w:t>’</w:t>
      </w:r>
      <w:r w:rsidR="0022278A" w:rsidRPr="00733536">
        <w:t xml:space="preserve"> </w:t>
      </w:r>
      <w:commentRangeEnd w:id="4"/>
      <w:r w:rsidR="00EF5642">
        <w:rPr>
          <w:rStyle w:val="CommentReference"/>
          <w:rFonts w:asciiTheme="minorHAnsi" w:eastAsiaTheme="minorEastAsia" w:hAnsiTheme="minorHAnsi" w:cstheme="minorBidi"/>
          <w:lang w:val="it-IT" w:eastAsia="ko-KR"/>
        </w:rPr>
        <w:commentReference w:id="4"/>
      </w:r>
      <w:r w:rsidR="008F7C96" w:rsidRPr="00733536">
        <w:fldChar w:fldCharType="begin"/>
      </w:r>
      <w:r w:rsidR="008F7C96" w:rsidRPr="00733536">
        <w:instrText xml:space="preserve"> REF _Ref55217497 \r \h </w:instrText>
      </w:r>
      <w:r w:rsidR="008F7C96" w:rsidRPr="00733536">
        <w:fldChar w:fldCharType="separate"/>
      </w:r>
      <w:r w:rsidR="008F7C96" w:rsidRPr="00733536">
        <w:t>[3]</w:t>
      </w:r>
      <w:r w:rsidR="008F7C96" w:rsidRPr="00733536">
        <w:fldChar w:fldCharType="end"/>
      </w:r>
      <w:r w:rsidR="009578CD" w:rsidRPr="00733536">
        <w:t xml:space="preserve"> </w:t>
      </w:r>
      <w:r w:rsidR="0022278A" w:rsidRPr="00733536">
        <w:t xml:space="preserve">to the relocation to the home </w:t>
      </w:r>
      <w:r w:rsidR="0022278A" w:rsidRPr="00733536">
        <w:t xml:space="preserve">country </w:t>
      </w:r>
      <w:r w:rsidR="00162EBF" w:rsidRPr="00733536">
        <w:fldChar w:fldCharType="begin"/>
      </w:r>
      <w:r w:rsidR="00162EBF" w:rsidRPr="00733536">
        <w:instrText xml:space="preserve"> REF _Ref55217971 \r \h </w:instrText>
      </w:r>
      <w:r w:rsidR="00162EBF" w:rsidRPr="00733536">
        <w:fldChar w:fldCharType="separate"/>
      </w:r>
      <w:r w:rsidR="008F7C96" w:rsidRPr="00733536">
        <w:t>[5]</w:t>
      </w:r>
      <w:r w:rsidR="00162EBF" w:rsidRPr="00733536">
        <w:fldChar w:fldCharType="end"/>
      </w:r>
      <w:r w:rsidR="002923BD" w:rsidRPr="00733536">
        <w:t>,</w:t>
      </w:r>
      <w:r w:rsidR="00B25007">
        <w:t xml:space="preserve"> </w:t>
      </w:r>
      <w:r w:rsidR="00162EBF" w:rsidRPr="00733536">
        <w:fldChar w:fldCharType="begin"/>
      </w:r>
      <w:r w:rsidR="00162EBF" w:rsidRPr="00733536">
        <w:instrText xml:space="preserve"> REF _Ref55217977 \r \h </w:instrText>
      </w:r>
      <w:r w:rsidR="00162EBF" w:rsidRPr="00733536">
        <w:fldChar w:fldCharType="separate"/>
      </w:r>
      <w:r w:rsidR="008F7C96" w:rsidRPr="00733536">
        <w:t>[6]</w:t>
      </w:r>
      <w:r w:rsidR="00162EBF" w:rsidRPr="00733536">
        <w:fldChar w:fldCharType="end"/>
      </w:r>
      <w:r w:rsidR="00211393" w:rsidRPr="00733536">
        <w:t>. However, in this paper</w:t>
      </w:r>
      <w:r w:rsidR="00EF5642">
        <w:t>,</w:t>
      </w:r>
      <w:r w:rsidR="00211393" w:rsidRPr="00733536">
        <w:t xml:space="preserve"> we use the term reshoring to refer to a generic RSD decision that is, independently of the governance mode (in- vs out-sourcing)</w:t>
      </w:r>
      <w:r w:rsidR="003278DF">
        <w:t>,</w:t>
      </w:r>
      <w:r w:rsidR="00211393" w:rsidRPr="00733536">
        <w:t xml:space="preserve"> adopted to manage relocated manufacturing activities. We also recogni</w:t>
      </w:r>
      <w:r w:rsidR="00EF5642">
        <w:t>s</w:t>
      </w:r>
      <w:r w:rsidR="00211393" w:rsidRPr="00733536">
        <w:t>e</w:t>
      </w:r>
      <w:r w:rsidR="00EF5642">
        <w:t xml:space="preserve"> that</w:t>
      </w:r>
      <w:r w:rsidR="0022278A" w:rsidRPr="00733536">
        <w:t xml:space="preserve"> the term </w:t>
      </w:r>
      <w:r w:rsidR="00EF5642">
        <w:t>‘</w:t>
      </w:r>
      <w:r w:rsidR="0022278A" w:rsidRPr="00733536">
        <w:t>near-shoring</w:t>
      </w:r>
      <w:r w:rsidR="00EF5642">
        <w:t>’</w:t>
      </w:r>
      <w:r w:rsidR="0022278A" w:rsidRPr="00733536">
        <w:t xml:space="preserve"> has been adopted to refer to </w:t>
      </w:r>
      <w:r w:rsidR="00EF5642">
        <w:t xml:space="preserve">the </w:t>
      </w:r>
      <w:r w:rsidR="0022278A" w:rsidRPr="00733536">
        <w:t xml:space="preserve">initial off-shoring in </w:t>
      </w:r>
      <w:r w:rsidR="00211393" w:rsidRPr="00733536">
        <w:t xml:space="preserve">countries located in </w:t>
      </w:r>
      <w:r w:rsidR="00EF5642">
        <w:t xml:space="preserve">a </w:t>
      </w:r>
      <w:commentRangeStart w:id="5"/>
      <w:r w:rsidR="00EF5642">
        <w:t>company</w:t>
      </w:r>
      <w:commentRangeEnd w:id="5"/>
      <w:r w:rsidR="00EF5642">
        <w:rPr>
          <w:rStyle w:val="CommentReference"/>
          <w:rFonts w:asciiTheme="minorHAnsi" w:eastAsiaTheme="minorEastAsia" w:hAnsiTheme="minorHAnsi" w:cstheme="minorBidi"/>
          <w:lang w:val="it-IT" w:eastAsia="ko-KR"/>
        </w:rPr>
        <w:commentReference w:id="5"/>
      </w:r>
      <w:r w:rsidR="00EF5642">
        <w:t>’s</w:t>
      </w:r>
      <w:r w:rsidR="0022278A" w:rsidRPr="00733536">
        <w:t xml:space="preserve"> home region </w:t>
      </w:r>
      <w:r w:rsidR="008F7C96" w:rsidRPr="00733536">
        <w:fldChar w:fldCharType="begin"/>
      </w:r>
      <w:r w:rsidR="008F7C96" w:rsidRPr="00733536">
        <w:instrText xml:space="preserve"> REF _Ref55217971 \r \h </w:instrText>
      </w:r>
      <w:r w:rsidR="008F7C96" w:rsidRPr="00733536">
        <w:fldChar w:fldCharType="separate"/>
      </w:r>
      <w:r w:rsidR="008F7C96" w:rsidRPr="00733536">
        <w:t>[5]</w:t>
      </w:r>
      <w:r w:rsidR="008F7C96" w:rsidRPr="00733536">
        <w:fldChar w:fldCharType="end"/>
      </w:r>
      <w:r w:rsidR="0022278A" w:rsidRPr="00733536">
        <w:t xml:space="preserve">. </w:t>
      </w:r>
      <w:r w:rsidR="00211393" w:rsidRPr="00733536">
        <w:t xml:space="preserve">However, in this paper, we use </w:t>
      </w:r>
      <w:r w:rsidR="0022278A" w:rsidRPr="00733536">
        <w:t xml:space="preserve">the term near-shoring to refer to an RSD in a second host country located in </w:t>
      </w:r>
      <w:r w:rsidR="00EF5642">
        <w:t>a company’s</w:t>
      </w:r>
      <w:r w:rsidR="0022278A" w:rsidRPr="00733536">
        <w:t xml:space="preserve"> home region. </w:t>
      </w:r>
    </w:p>
    <w:p w14:paraId="18F4AB54" w14:textId="1E677F6E" w:rsidR="00F038BA" w:rsidRPr="00733536" w:rsidRDefault="005A0365" w:rsidP="00F038BA">
      <w:r w:rsidRPr="00733536">
        <w:t xml:space="preserve">Among the three RSD alternatives (back-shoring, near-shoring and further off-shoring), RHC has attracted the attention of several scholars </w:t>
      </w:r>
      <w:r w:rsidR="004958A3">
        <w:t>over</w:t>
      </w:r>
      <w:r w:rsidR="004958A3" w:rsidRPr="00733536">
        <w:t xml:space="preserve"> </w:t>
      </w:r>
      <w:r w:rsidRPr="00733536">
        <w:t xml:space="preserve">the last ten years </w:t>
      </w:r>
      <w:r w:rsidR="008F7C96" w:rsidRPr="00733536">
        <w:fldChar w:fldCharType="begin"/>
      </w:r>
      <w:r w:rsidR="008F7C96" w:rsidRPr="00733536">
        <w:instrText xml:space="preserve"> REF _Ref55223192 \r \h </w:instrText>
      </w:r>
      <w:r w:rsidR="008F7C96" w:rsidRPr="00733536">
        <w:fldChar w:fldCharType="separate"/>
      </w:r>
      <w:r w:rsidR="008F7C96" w:rsidRPr="00733536">
        <w:t>[7]</w:t>
      </w:r>
      <w:r w:rsidR="008F7C96" w:rsidRPr="00733536">
        <w:fldChar w:fldCharType="end"/>
      </w:r>
      <w:r w:rsidR="00B25007">
        <w:t>-</w:t>
      </w:r>
      <w:r w:rsidR="008F7C96" w:rsidRPr="00733536">
        <w:fldChar w:fldCharType="begin"/>
      </w:r>
      <w:r w:rsidR="008F7C96" w:rsidRPr="00733536">
        <w:instrText xml:space="preserve"> REF _Ref55223194 \r \h </w:instrText>
      </w:r>
      <w:r w:rsidR="008F7C96" w:rsidRPr="00733536">
        <w:fldChar w:fldCharType="separate"/>
      </w:r>
      <w:r w:rsidR="008F7C96" w:rsidRPr="00733536">
        <w:t>[9]</w:t>
      </w:r>
      <w:r w:rsidR="008F7C96" w:rsidRPr="00733536">
        <w:fldChar w:fldCharType="end"/>
      </w:r>
      <w:r w:rsidRPr="00733536">
        <w:t>. More specifically, the phenomenon has been investigated</w:t>
      </w:r>
      <w:r w:rsidR="003278DF">
        <w:t xml:space="preserve"> in-depth</w:t>
      </w:r>
      <w:r w:rsidRPr="00733536">
        <w:t xml:space="preserve"> </w:t>
      </w:r>
      <w:r w:rsidR="00EF5642">
        <w:t xml:space="preserve">from </w:t>
      </w:r>
      <w:r w:rsidRPr="00733536">
        <w:t>the perspective of motivations, i.e. drivers</w:t>
      </w:r>
      <w:r w:rsidR="00EF5642">
        <w:t xml:space="preserve"> that</w:t>
      </w:r>
      <w:r w:rsidRPr="00733536">
        <w:t xml:space="preserve"> induce companies to revise their initial off-shoring decision</w:t>
      </w:r>
      <w:r w:rsidR="00EF5642">
        <w:t>s</w:t>
      </w:r>
      <w:r w:rsidRPr="00733536">
        <w:t xml:space="preserve">. Among such motivations, a growing relevance has been assumed </w:t>
      </w:r>
      <w:r w:rsidR="00CA37E3">
        <w:t>of</w:t>
      </w:r>
      <w:r w:rsidRPr="00733536">
        <w:t xml:space="preserve"> the adoption of automated production systems (see, for instance, </w:t>
      </w:r>
      <w:r w:rsidR="008F7C96" w:rsidRPr="00733536">
        <w:fldChar w:fldCharType="begin"/>
      </w:r>
      <w:r w:rsidR="008F7C96" w:rsidRPr="00733536">
        <w:instrText xml:space="preserve"> REF _Ref55223195 \r \h </w:instrText>
      </w:r>
      <w:r w:rsidR="008F7C96" w:rsidRPr="00733536">
        <w:fldChar w:fldCharType="separate"/>
      </w:r>
      <w:r w:rsidR="008F7C96" w:rsidRPr="00733536">
        <w:t>[10]</w:t>
      </w:r>
      <w:r w:rsidR="008F7C96" w:rsidRPr="00733536">
        <w:fldChar w:fldCharType="end"/>
      </w:r>
      <w:r w:rsidR="002923BD" w:rsidRPr="00733536">
        <w:t>,</w:t>
      </w:r>
      <w:r w:rsidR="00B25007">
        <w:t xml:space="preserve"> </w:t>
      </w:r>
      <w:r w:rsidR="008F7C96" w:rsidRPr="00733536">
        <w:fldChar w:fldCharType="begin"/>
      </w:r>
      <w:r w:rsidR="008F7C96" w:rsidRPr="00733536">
        <w:instrText xml:space="preserve"> REF _Ref55223196 \r \h </w:instrText>
      </w:r>
      <w:r w:rsidR="008F7C96" w:rsidRPr="00733536">
        <w:fldChar w:fldCharType="separate"/>
      </w:r>
      <w:r w:rsidR="008F7C96" w:rsidRPr="00733536">
        <w:t>[11]</w:t>
      </w:r>
      <w:r w:rsidR="008F7C96" w:rsidRPr="00733536">
        <w:fldChar w:fldCharType="end"/>
      </w:r>
      <w:r w:rsidR="00F14CC7" w:rsidRPr="00733536">
        <w:t>)</w:t>
      </w:r>
      <w:r w:rsidR="009578CD" w:rsidRPr="00733536">
        <w:t xml:space="preserve"> </w:t>
      </w:r>
      <w:r w:rsidRPr="00733536">
        <w:t xml:space="preserve">and additive manufacturing </w:t>
      </w:r>
      <w:r w:rsidR="008F7C96" w:rsidRPr="00733536">
        <w:fldChar w:fldCharType="begin"/>
      </w:r>
      <w:r w:rsidR="008F7C96" w:rsidRPr="00733536">
        <w:instrText xml:space="preserve"> REF _Ref55223197 \r \h </w:instrText>
      </w:r>
      <w:r w:rsidR="008F7C96" w:rsidRPr="00733536">
        <w:fldChar w:fldCharType="separate"/>
      </w:r>
      <w:r w:rsidR="008F7C96" w:rsidRPr="00733536">
        <w:t>[12]</w:t>
      </w:r>
      <w:r w:rsidR="008F7C96" w:rsidRPr="00733536">
        <w:fldChar w:fldCharType="end"/>
      </w:r>
      <w:r w:rsidR="00B25007">
        <w:t>-</w:t>
      </w:r>
      <w:r w:rsidR="008F7C96" w:rsidRPr="00733536">
        <w:fldChar w:fldCharType="begin"/>
      </w:r>
      <w:r w:rsidR="008F7C96" w:rsidRPr="00733536">
        <w:instrText xml:space="preserve"> REF _Ref55223199 \r \h </w:instrText>
      </w:r>
      <w:r w:rsidR="008F7C96" w:rsidRPr="00733536">
        <w:fldChar w:fldCharType="separate"/>
      </w:r>
      <w:r w:rsidR="008F7C96" w:rsidRPr="00733536">
        <w:t>[14]</w:t>
      </w:r>
      <w:r w:rsidR="008F7C96" w:rsidRPr="00733536">
        <w:fldChar w:fldCharType="end"/>
      </w:r>
      <w:r w:rsidRPr="00733536">
        <w:t>. Both the</w:t>
      </w:r>
      <w:r w:rsidR="00CA37E3">
        <w:t>se</w:t>
      </w:r>
      <w:r w:rsidRPr="00733536">
        <w:t xml:space="preserve"> production technologies are included </w:t>
      </w:r>
      <w:r w:rsidR="00CA37E3">
        <w:t>in</w:t>
      </w:r>
      <w:r w:rsidRPr="00733536">
        <w:t xml:space="preserve"> the set of Industry 4.0 technologies, i.e. those based on </w:t>
      </w:r>
      <w:r w:rsidR="00CA37E3">
        <w:t>c</w:t>
      </w:r>
      <w:r w:rsidRPr="00733536">
        <w:t xml:space="preserve">yber </w:t>
      </w:r>
      <w:r w:rsidR="00CA37E3">
        <w:t>p</w:t>
      </w:r>
      <w:r w:rsidRPr="00733536">
        <w:t xml:space="preserve">hysical </w:t>
      </w:r>
      <w:r w:rsidR="00CA37E3">
        <w:t>s</w:t>
      </w:r>
      <w:r w:rsidRPr="00733536">
        <w:t xml:space="preserve">ystems, which </w:t>
      </w:r>
      <w:r w:rsidRPr="00733536">
        <w:lastRenderedPageBreak/>
        <w:t xml:space="preserve">include </w:t>
      </w:r>
      <w:r w:rsidR="00CA37E3">
        <w:t>‘</w:t>
      </w:r>
      <w:r w:rsidRPr="00733536">
        <w:t>smart machines, warehousing systems and production facilities that have been developed digitally and feature end-to-end ICT-based integration, from inbound logistics to production, marketing, outbound logistics and service</w:t>
      </w:r>
      <w:r w:rsidR="00CA37E3">
        <w:t>’</w:t>
      </w:r>
      <w:r w:rsidRPr="00733536">
        <w:t xml:space="preserve"> </w:t>
      </w:r>
      <w:commentRangeStart w:id="6"/>
      <w:r w:rsidR="008F7C96" w:rsidRPr="00733536">
        <w:fldChar w:fldCharType="begin"/>
      </w:r>
      <w:r w:rsidR="008F7C96" w:rsidRPr="00733536">
        <w:instrText xml:space="preserve"> REF _Ref55223200 \r \h </w:instrText>
      </w:r>
      <w:r w:rsidR="008F7C96" w:rsidRPr="00733536">
        <w:fldChar w:fldCharType="separate"/>
      </w:r>
      <w:r w:rsidR="008F7C96" w:rsidRPr="00733536">
        <w:t>[15]</w:t>
      </w:r>
      <w:r w:rsidR="008F7C96" w:rsidRPr="00733536">
        <w:fldChar w:fldCharType="end"/>
      </w:r>
      <w:commentRangeEnd w:id="6"/>
      <w:r w:rsidR="00CA37E3">
        <w:rPr>
          <w:rStyle w:val="CommentReference"/>
          <w:rFonts w:asciiTheme="minorHAnsi" w:eastAsiaTheme="minorEastAsia" w:hAnsiTheme="minorHAnsi" w:cstheme="minorBidi"/>
          <w:lang w:val="it-IT" w:eastAsia="ko-KR"/>
        </w:rPr>
        <w:commentReference w:id="6"/>
      </w:r>
      <w:r w:rsidRPr="00733536">
        <w:t>.</w:t>
      </w:r>
    </w:p>
    <w:p w14:paraId="2E1B158E" w14:textId="0CC7FF64" w:rsidR="00F007A0" w:rsidRPr="00733536" w:rsidRDefault="005A0365" w:rsidP="00F038BA">
      <w:r w:rsidRPr="00733536">
        <w:t>In the international business literature, it is widely recogni</w:t>
      </w:r>
      <w:r w:rsidR="00CA37E3">
        <w:t>s</w:t>
      </w:r>
      <w:r w:rsidRPr="00733536">
        <w:t xml:space="preserve">ed that </w:t>
      </w:r>
      <w:r w:rsidR="00CA37E3">
        <w:t>i</w:t>
      </w:r>
      <w:r w:rsidRPr="00733536">
        <w:t xml:space="preserve">nformation and </w:t>
      </w:r>
      <w:r w:rsidR="00CA37E3">
        <w:t>c</w:t>
      </w:r>
      <w:r w:rsidRPr="00733536">
        <w:t xml:space="preserve">ommunication </w:t>
      </w:r>
      <w:r w:rsidR="00CA37E3">
        <w:t>t</w:t>
      </w:r>
      <w:r w:rsidRPr="00733536">
        <w:t xml:space="preserve">echnologies (ICTs) may have a relevant impact on the </w:t>
      </w:r>
      <w:r w:rsidR="00CA37E3">
        <w:t>company</w:t>
      </w:r>
      <w:r w:rsidRPr="00733536">
        <w:t>’s internationali</w:t>
      </w:r>
      <w:r w:rsidR="00CA37E3">
        <w:t>s</w:t>
      </w:r>
      <w:r w:rsidRPr="00733536">
        <w:t xml:space="preserve">ation since they allow for remote coordination, extending the span of control and reducing its cost </w:t>
      </w:r>
      <w:r w:rsidR="008F7C96" w:rsidRPr="00733536">
        <w:fldChar w:fldCharType="begin"/>
      </w:r>
      <w:r w:rsidR="008F7C96" w:rsidRPr="00733536">
        <w:instrText xml:space="preserve"> REF _Ref55223201 \r \h </w:instrText>
      </w:r>
      <w:r w:rsidR="008F7C96" w:rsidRPr="00733536">
        <w:fldChar w:fldCharType="separate"/>
      </w:r>
      <w:r w:rsidR="008F7C96" w:rsidRPr="00733536">
        <w:t>[16]</w:t>
      </w:r>
      <w:r w:rsidR="008F7C96" w:rsidRPr="00733536">
        <w:fldChar w:fldCharType="end"/>
      </w:r>
      <w:r w:rsidR="00B25007">
        <w:t>-</w:t>
      </w:r>
      <w:r w:rsidR="008F7C96" w:rsidRPr="00733536">
        <w:fldChar w:fldCharType="begin"/>
      </w:r>
      <w:r w:rsidR="008F7C96" w:rsidRPr="00733536">
        <w:instrText xml:space="preserve"> REF _Ref55223203 \r \h </w:instrText>
      </w:r>
      <w:r w:rsidR="008F7C96" w:rsidRPr="00733536">
        <w:fldChar w:fldCharType="separate"/>
      </w:r>
      <w:r w:rsidR="008F7C96" w:rsidRPr="00733536">
        <w:t>[18]</w:t>
      </w:r>
      <w:r w:rsidR="008F7C96" w:rsidRPr="00733536">
        <w:fldChar w:fldCharType="end"/>
      </w:r>
      <w:r w:rsidRPr="00733536">
        <w:t xml:space="preserve">. Moreover, such technologies permit companies to </w:t>
      </w:r>
      <w:r w:rsidR="00CA37E3">
        <w:t>‘</w:t>
      </w:r>
      <w:r w:rsidRPr="00733536">
        <w:t>fine slice</w:t>
      </w:r>
      <w:r w:rsidR="00CA37E3">
        <w:t>’</w:t>
      </w:r>
      <w:r w:rsidRPr="00733536">
        <w:t xml:space="preserve"> their value</w:t>
      </w:r>
      <w:r w:rsidR="00CA37E3">
        <w:t>-</w:t>
      </w:r>
      <w:r w:rsidRPr="00733536">
        <w:t xml:space="preserve">adding activities and to locate their production in different </w:t>
      </w:r>
      <w:commentRangeStart w:id="7"/>
      <w:r w:rsidR="00CA37E3">
        <w:t>places</w:t>
      </w:r>
      <w:commentRangeEnd w:id="7"/>
      <w:r w:rsidR="00CA37E3">
        <w:rPr>
          <w:rStyle w:val="CommentReference"/>
          <w:rFonts w:asciiTheme="minorHAnsi" w:eastAsiaTheme="minorEastAsia" w:hAnsiTheme="minorHAnsi" w:cstheme="minorBidi"/>
          <w:lang w:val="it-IT" w:eastAsia="ko-KR"/>
        </w:rPr>
        <w:commentReference w:id="7"/>
      </w:r>
      <w:r w:rsidRPr="00733536">
        <w:t xml:space="preserve">, as in the </w:t>
      </w:r>
      <w:r w:rsidR="00CA37E3">
        <w:t>‘</w:t>
      </w:r>
      <w:r w:rsidRPr="00733536">
        <w:t>global factory</w:t>
      </w:r>
      <w:r w:rsidR="00CA37E3">
        <w:t>’</w:t>
      </w:r>
      <w:r w:rsidRPr="00733536">
        <w:t xml:space="preserve"> scenario </w:t>
      </w:r>
      <w:r w:rsidR="008F7C96" w:rsidRPr="00733536">
        <w:fldChar w:fldCharType="begin"/>
      </w:r>
      <w:r w:rsidR="008F7C96" w:rsidRPr="00733536">
        <w:instrText xml:space="preserve"> REF _Ref55223204 \r \h </w:instrText>
      </w:r>
      <w:r w:rsidR="008F7C96" w:rsidRPr="00733536">
        <w:fldChar w:fldCharType="separate"/>
      </w:r>
      <w:r w:rsidR="008F7C96" w:rsidRPr="00733536">
        <w:t>[19]</w:t>
      </w:r>
      <w:r w:rsidR="008F7C96" w:rsidRPr="00733536">
        <w:fldChar w:fldCharType="end"/>
      </w:r>
      <w:r w:rsidR="002923BD" w:rsidRPr="00733536">
        <w:t>,</w:t>
      </w:r>
      <w:r w:rsidR="00B25007">
        <w:t xml:space="preserve"> </w:t>
      </w:r>
      <w:r w:rsidR="008F7C96" w:rsidRPr="00733536">
        <w:fldChar w:fldCharType="begin"/>
      </w:r>
      <w:r w:rsidR="008F7C96" w:rsidRPr="00733536">
        <w:instrText xml:space="preserve"> REF _Ref55223205 \r \h </w:instrText>
      </w:r>
      <w:r w:rsidR="008F7C96" w:rsidRPr="00733536">
        <w:fldChar w:fldCharType="separate"/>
      </w:r>
      <w:r w:rsidR="008F7C96" w:rsidRPr="00733536">
        <w:t>[20]</w:t>
      </w:r>
      <w:r w:rsidR="008F7C96" w:rsidRPr="00733536">
        <w:fldChar w:fldCharType="end"/>
      </w:r>
      <w:r w:rsidRPr="00733536">
        <w:t>. However, technologies embedded in Industry 4.0 may also promote a reconfiguration of the company production footprint</w:t>
      </w:r>
      <w:r w:rsidR="00A169E5">
        <w:t>,</w:t>
      </w:r>
      <w:r w:rsidRPr="00733536">
        <w:t xml:space="preserve"> since they increase </w:t>
      </w:r>
      <w:r w:rsidR="00CA37E3">
        <w:t>a company’s</w:t>
      </w:r>
      <w:r w:rsidR="00211393" w:rsidRPr="00733536">
        <w:t xml:space="preserve"> </w:t>
      </w:r>
      <w:r w:rsidRPr="00733536">
        <w:t xml:space="preserve">productivity </w:t>
      </w:r>
      <w:r w:rsidR="008F7C96" w:rsidRPr="00733536">
        <w:fldChar w:fldCharType="begin"/>
      </w:r>
      <w:r w:rsidR="008F7C96" w:rsidRPr="00733536">
        <w:instrText xml:space="preserve"> REF _Ref55223206 \r \h </w:instrText>
      </w:r>
      <w:r w:rsidR="008F7C96" w:rsidRPr="00733536">
        <w:fldChar w:fldCharType="separate"/>
      </w:r>
      <w:r w:rsidR="008F7C96" w:rsidRPr="00733536">
        <w:t>[21]</w:t>
      </w:r>
      <w:r w:rsidR="008F7C96" w:rsidRPr="00733536">
        <w:fldChar w:fldCharType="end"/>
      </w:r>
      <w:r w:rsidR="002923BD" w:rsidRPr="00733536">
        <w:t>,</w:t>
      </w:r>
      <w:r w:rsidR="00B25007">
        <w:t xml:space="preserve"> </w:t>
      </w:r>
      <w:r w:rsidR="008F7C96" w:rsidRPr="00733536">
        <w:fldChar w:fldCharType="begin"/>
      </w:r>
      <w:r w:rsidR="008F7C96" w:rsidRPr="00733536">
        <w:instrText xml:space="preserve"> REF _Ref55223207 \r \h </w:instrText>
      </w:r>
      <w:r w:rsidR="008F7C96" w:rsidRPr="00733536">
        <w:fldChar w:fldCharType="separate"/>
      </w:r>
      <w:r w:rsidR="008F7C96" w:rsidRPr="00733536">
        <w:t>[22]</w:t>
      </w:r>
      <w:r w:rsidR="008F7C96" w:rsidRPr="00733536">
        <w:fldChar w:fldCharType="end"/>
      </w:r>
      <w:r w:rsidRPr="00733536">
        <w:t>, which</w:t>
      </w:r>
      <w:r w:rsidR="00CA37E3">
        <w:t>,</w:t>
      </w:r>
      <w:r w:rsidRPr="00733536">
        <w:t xml:space="preserve"> in turn</w:t>
      </w:r>
      <w:r w:rsidR="00CA37E3">
        <w:t>,</w:t>
      </w:r>
      <w:r w:rsidRPr="00733536">
        <w:t xml:space="preserve"> weakens (if not eliminates) </w:t>
      </w:r>
      <w:r w:rsidR="00CA37E3">
        <w:t xml:space="preserve">the </w:t>
      </w:r>
      <w:r w:rsidRPr="00733536">
        <w:t xml:space="preserve">location advantages of low cost countries </w:t>
      </w:r>
      <w:r w:rsidR="008F7C96" w:rsidRPr="00733536">
        <w:fldChar w:fldCharType="begin"/>
      </w:r>
      <w:r w:rsidR="008F7C96" w:rsidRPr="00733536">
        <w:instrText xml:space="preserve"> REF _Ref55223195 \r \h </w:instrText>
      </w:r>
      <w:r w:rsidR="008F7C96" w:rsidRPr="00733536">
        <w:fldChar w:fldCharType="separate"/>
      </w:r>
      <w:r w:rsidR="008F7C96" w:rsidRPr="00733536">
        <w:t>[10]</w:t>
      </w:r>
      <w:r w:rsidR="008F7C96" w:rsidRPr="00733536">
        <w:fldChar w:fldCharType="end"/>
      </w:r>
      <w:r w:rsidR="002923BD" w:rsidRPr="00733536">
        <w:t>,</w:t>
      </w:r>
      <w:r w:rsidR="00B25007">
        <w:t xml:space="preserve"> </w:t>
      </w:r>
      <w:r w:rsidR="008F7C96" w:rsidRPr="00733536">
        <w:fldChar w:fldCharType="begin"/>
      </w:r>
      <w:r w:rsidR="008F7C96" w:rsidRPr="00733536">
        <w:instrText xml:space="preserve"> REF _Ref55223196 \r \h </w:instrText>
      </w:r>
      <w:r w:rsidR="008F7C96" w:rsidRPr="00733536">
        <w:fldChar w:fldCharType="separate"/>
      </w:r>
      <w:r w:rsidR="008F7C96" w:rsidRPr="00733536">
        <w:t>[11]</w:t>
      </w:r>
      <w:r w:rsidR="008F7C96" w:rsidRPr="00733536">
        <w:fldChar w:fldCharType="end"/>
      </w:r>
      <w:r w:rsidR="002923BD" w:rsidRPr="00733536">
        <w:t>,</w:t>
      </w:r>
      <w:r w:rsidR="00B25007">
        <w:t xml:space="preserve"> </w:t>
      </w:r>
      <w:r w:rsidR="008F7C96" w:rsidRPr="00733536">
        <w:fldChar w:fldCharType="begin"/>
      </w:r>
      <w:r w:rsidR="008F7C96" w:rsidRPr="00733536">
        <w:instrText xml:space="preserve"> REF _Ref55223208 \r \h </w:instrText>
      </w:r>
      <w:r w:rsidR="008F7C96" w:rsidRPr="00733536">
        <w:fldChar w:fldCharType="separate"/>
      </w:r>
      <w:r w:rsidR="008F7C96" w:rsidRPr="00733536">
        <w:t>[23]</w:t>
      </w:r>
      <w:r w:rsidR="008F7C96" w:rsidRPr="00733536">
        <w:fldChar w:fldCharType="end"/>
      </w:r>
      <w:r w:rsidRPr="00733536">
        <w:t xml:space="preserve">. At the same time, </w:t>
      </w:r>
      <w:r w:rsidR="00211393" w:rsidRPr="00733536">
        <w:t>Industry</w:t>
      </w:r>
      <w:r w:rsidR="000A30CA">
        <w:t>-</w:t>
      </w:r>
      <w:r w:rsidR="00211393" w:rsidRPr="00733536">
        <w:t>4.0</w:t>
      </w:r>
      <w:r w:rsidR="000A30CA">
        <w:t>-</w:t>
      </w:r>
      <w:r w:rsidR="00211393" w:rsidRPr="00733536">
        <w:t xml:space="preserve">enabling technologies </w:t>
      </w:r>
      <w:r w:rsidRPr="00733536">
        <w:t>support a higher level of flexibility in manufacturing processes, allowing companies to be more responsive to clients’ needs and to offer them customi</w:t>
      </w:r>
      <w:r w:rsidR="00CA37E3">
        <w:t>s</w:t>
      </w:r>
      <w:r w:rsidRPr="00733536">
        <w:t xml:space="preserve">ed products </w:t>
      </w:r>
      <w:r w:rsidR="008F7C96" w:rsidRPr="00733536">
        <w:fldChar w:fldCharType="begin"/>
      </w:r>
      <w:r w:rsidR="008F7C96" w:rsidRPr="00733536">
        <w:instrText xml:space="preserve"> REF _Ref55223195 \r \h </w:instrText>
      </w:r>
      <w:r w:rsidR="008F7C96" w:rsidRPr="00733536">
        <w:fldChar w:fldCharType="separate"/>
      </w:r>
      <w:r w:rsidR="008F7C96" w:rsidRPr="00733536">
        <w:t>[10]</w:t>
      </w:r>
      <w:r w:rsidR="008F7C96" w:rsidRPr="00733536">
        <w:fldChar w:fldCharType="end"/>
      </w:r>
      <w:r w:rsidR="00B25007">
        <w:t>-</w:t>
      </w:r>
      <w:r w:rsidR="008F7C96" w:rsidRPr="00733536">
        <w:fldChar w:fldCharType="begin"/>
      </w:r>
      <w:r w:rsidR="008F7C96" w:rsidRPr="00733536">
        <w:instrText xml:space="preserve"> REF _Ref55223199 \r \h </w:instrText>
      </w:r>
      <w:r w:rsidR="008F7C96" w:rsidRPr="00733536">
        <w:fldChar w:fldCharType="separate"/>
      </w:r>
      <w:r w:rsidR="008F7C96" w:rsidRPr="00733536">
        <w:t>[14]</w:t>
      </w:r>
      <w:r w:rsidR="008F7C96" w:rsidRPr="00733536">
        <w:fldChar w:fldCharType="end"/>
      </w:r>
      <w:r w:rsidR="002923BD" w:rsidRPr="00733536">
        <w:t>,</w:t>
      </w:r>
      <w:r w:rsidR="00B25007">
        <w:t xml:space="preserve"> </w:t>
      </w:r>
      <w:r w:rsidR="008F7C96" w:rsidRPr="00733536">
        <w:fldChar w:fldCharType="begin"/>
      </w:r>
      <w:r w:rsidR="008F7C96" w:rsidRPr="00733536">
        <w:instrText xml:space="preserve"> REF _Ref55223208 \r \h </w:instrText>
      </w:r>
      <w:r w:rsidR="008F7C96" w:rsidRPr="00733536">
        <w:fldChar w:fldCharType="separate"/>
      </w:r>
      <w:r w:rsidR="008F7C96" w:rsidRPr="00733536">
        <w:t>[23]</w:t>
      </w:r>
      <w:r w:rsidR="008F7C96" w:rsidRPr="00733536">
        <w:fldChar w:fldCharType="end"/>
      </w:r>
      <w:r w:rsidR="002923BD" w:rsidRPr="00733536">
        <w:t>,</w:t>
      </w:r>
      <w:r w:rsidR="00B25007">
        <w:t xml:space="preserve"> </w:t>
      </w:r>
      <w:r w:rsidR="008F7C96" w:rsidRPr="00733536">
        <w:fldChar w:fldCharType="begin"/>
      </w:r>
      <w:r w:rsidR="008F7C96" w:rsidRPr="00733536">
        <w:instrText xml:space="preserve"> REF _Ref55223209 \r \h </w:instrText>
      </w:r>
      <w:r w:rsidR="008F7C96" w:rsidRPr="00733536">
        <w:fldChar w:fldCharType="separate"/>
      </w:r>
      <w:r w:rsidR="008F7C96" w:rsidRPr="00733536">
        <w:t>[24]</w:t>
      </w:r>
      <w:r w:rsidR="008F7C96" w:rsidRPr="00733536">
        <w:fldChar w:fldCharType="end"/>
      </w:r>
      <w:r w:rsidR="005766AA" w:rsidRPr="00733536">
        <w:t xml:space="preserve">. </w:t>
      </w:r>
      <w:r w:rsidR="00F007A0" w:rsidRPr="00733536">
        <w:t xml:space="preserve">In this respect, it is worth noting </w:t>
      </w:r>
      <w:r w:rsidR="004D0460" w:rsidRPr="00733536">
        <w:t xml:space="preserve">that </w:t>
      </w:r>
      <w:r w:rsidR="00F007A0" w:rsidRPr="00733536">
        <w:t xml:space="preserve">the influence (if any) of Industry 4.0 technologies on back-shoring decisions has been increasingly proposed as a future research avenue (e.g. </w:t>
      </w:r>
      <w:r w:rsidR="008F7C96" w:rsidRPr="00733536">
        <w:fldChar w:fldCharType="begin"/>
      </w:r>
      <w:r w:rsidR="008F7C96" w:rsidRPr="00733536">
        <w:instrText xml:space="preserve"> REF _Ref55223192 \r \h </w:instrText>
      </w:r>
      <w:r w:rsidR="008F7C96" w:rsidRPr="00733536">
        <w:fldChar w:fldCharType="separate"/>
      </w:r>
      <w:r w:rsidR="008F7C96" w:rsidRPr="00733536">
        <w:t>[7]</w:t>
      </w:r>
      <w:r w:rsidR="008F7C96" w:rsidRPr="00733536">
        <w:fldChar w:fldCharType="end"/>
      </w:r>
      <w:r w:rsidR="002923BD" w:rsidRPr="00733536">
        <w:t>,</w:t>
      </w:r>
      <w:r w:rsidR="000A30CA">
        <w:t xml:space="preserve"> </w:t>
      </w:r>
      <w:r w:rsidR="008F7C96" w:rsidRPr="00733536">
        <w:fldChar w:fldCharType="begin"/>
      </w:r>
      <w:r w:rsidR="008F7C96" w:rsidRPr="00733536">
        <w:instrText xml:space="preserve"> REF _Ref55223194 \r \h </w:instrText>
      </w:r>
      <w:r w:rsidR="008F7C96" w:rsidRPr="00733536">
        <w:fldChar w:fldCharType="separate"/>
      </w:r>
      <w:r w:rsidR="008F7C96" w:rsidRPr="00733536">
        <w:t>[9]</w:t>
      </w:r>
      <w:r w:rsidR="008F7C96" w:rsidRPr="00733536">
        <w:fldChar w:fldCharType="end"/>
      </w:r>
      <w:r w:rsidR="002923BD" w:rsidRPr="00733536">
        <w:t>,</w:t>
      </w:r>
      <w:r w:rsidR="000A30CA">
        <w:t xml:space="preserve"> </w:t>
      </w:r>
      <w:r w:rsidR="008F7C96" w:rsidRPr="00733536">
        <w:fldChar w:fldCharType="begin"/>
      </w:r>
      <w:r w:rsidR="008F7C96" w:rsidRPr="00733536">
        <w:instrText xml:space="preserve"> REF _Ref55223210 \r \h </w:instrText>
      </w:r>
      <w:r w:rsidR="008F7C96" w:rsidRPr="00733536">
        <w:fldChar w:fldCharType="separate"/>
      </w:r>
      <w:r w:rsidR="008F7C96" w:rsidRPr="00733536">
        <w:t>[25]</w:t>
      </w:r>
      <w:r w:rsidR="008F7C96" w:rsidRPr="00733536">
        <w:fldChar w:fldCharType="end"/>
      </w:r>
      <w:r w:rsidR="002923BD" w:rsidRPr="00733536">
        <w:t>,</w:t>
      </w:r>
      <w:r w:rsidR="000A30CA">
        <w:t xml:space="preserve"> </w:t>
      </w:r>
      <w:r w:rsidR="008F7C96" w:rsidRPr="00733536">
        <w:fldChar w:fldCharType="begin"/>
      </w:r>
      <w:r w:rsidR="008F7C96" w:rsidRPr="00733536">
        <w:instrText xml:space="preserve"> REF _Ref55223211 \r \h </w:instrText>
      </w:r>
      <w:r w:rsidR="008F7C96" w:rsidRPr="00733536">
        <w:fldChar w:fldCharType="separate"/>
      </w:r>
      <w:r w:rsidR="008F7C96" w:rsidRPr="00733536">
        <w:t>[26]</w:t>
      </w:r>
      <w:r w:rsidR="008F7C96" w:rsidRPr="00733536">
        <w:fldChar w:fldCharType="end"/>
      </w:r>
      <w:r w:rsidR="00C91728" w:rsidRPr="00733536">
        <w:t>)</w:t>
      </w:r>
      <w:r w:rsidR="00F007A0" w:rsidRPr="00733536">
        <w:t xml:space="preserve">. Therefore, </w:t>
      </w:r>
      <w:commentRangeStart w:id="8"/>
      <w:r w:rsidR="00F007A0" w:rsidRPr="00733536">
        <w:t>it is time to define the state of the</w:t>
      </w:r>
      <w:r w:rsidR="00B06EE8">
        <w:t xml:space="preserve"> current</w:t>
      </w:r>
      <w:r w:rsidR="00F007A0" w:rsidRPr="00733536">
        <w:t xml:space="preserve"> academic debate</w:t>
      </w:r>
      <w:commentRangeEnd w:id="8"/>
      <w:r w:rsidR="00B06EE8">
        <w:rPr>
          <w:rStyle w:val="CommentReference"/>
          <w:rFonts w:asciiTheme="minorHAnsi" w:eastAsiaTheme="minorEastAsia" w:hAnsiTheme="minorHAnsi" w:cstheme="minorBidi"/>
          <w:lang w:val="it-IT" w:eastAsia="ko-KR"/>
        </w:rPr>
        <w:commentReference w:id="8"/>
      </w:r>
      <w:r w:rsidR="00F007A0" w:rsidRPr="00733536">
        <w:t xml:space="preserve"> on Industry 4.0 technologies and second</w:t>
      </w:r>
      <w:r w:rsidR="00B06EE8">
        <w:t>-</w:t>
      </w:r>
      <w:r w:rsidR="00F007A0" w:rsidRPr="00733536">
        <w:t xml:space="preserve">degree relocations to the home country. Consequently, this paper is based on the following </w:t>
      </w:r>
      <w:r w:rsidRPr="00733536">
        <w:t>research question</w:t>
      </w:r>
      <w:r w:rsidR="00F007A0" w:rsidRPr="00733536">
        <w:t>s:</w:t>
      </w:r>
    </w:p>
    <w:p w14:paraId="178322EE" w14:textId="5510AE20" w:rsidR="00F007A0" w:rsidRPr="00733536" w:rsidRDefault="00F007A0" w:rsidP="00F038BA">
      <w:r w:rsidRPr="00733536">
        <w:t xml:space="preserve">a) </w:t>
      </w:r>
      <w:r w:rsidR="000A30CA">
        <w:rPr>
          <w:i/>
          <w:iCs/>
        </w:rPr>
        <w:t>D</w:t>
      </w:r>
      <w:r w:rsidR="000A30CA" w:rsidRPr="00733536">
        <w:rPr>
          <w:i/>
          <w:iCs/>
        </w:rPr>
        <w:t>o</w:t>
      </w:r>
      <w:r w:rsidR="000A30CA" w:rsidRPr="00733536">
        <w:rPr>
          <w:i/>
        </w:rPr>
        <w:t xml:space="preserve">es </w:t>
      </w:r>
      <w:r w:rsidR="005A0365" w:rsidRPr="00733536">
        <w:rPr>
          <w:i/>
        </w:rPr>
        <w:t>Industry 4.0 represent a driver</w:t>
      </w:r>
      <w:r w:rsidR="00B06EE8">
        <w:rPr>
          <w:i/>
        </w:rPr>
        <w:t>/</w:t>
      </w:r>
      <w:r w:rsidR="005A0365" w:rsidRPr="00733536">
        <w:rPr>
          <w:i/>
        </w:rPr>
        <w:t xml:space="preserve">motivation </w:t>
      </w:r>
      <w:r w:rsidR="008F7C96" w:rsidRPr="00733536">
        <w:rPr>
          <w:i/>
        </w:rPr>
        <w:fldChar w:fldCharType="begin"/>
      </w:r>
      <w:r w:rsidR="008F7C96" w:rsidRPr="00733536">
        <w:rPr>
          <w:i/>
        </w:rPr>
        <w:instrText xml:space="preserve"> REF _Ref55223212 \r \h </w:instrText>
      </w:r>
      <w:r w:rsidR="008F7C96" w:rsidRPr="00733536">
        <w:rPr>
          <w:i/>
        </w:rPr>
      </w:r>
      <w:r w:rsidR="008F7C96" w:rsidRPr="00733536">
        <w:rPr>
          <w:i/>
        </w:rPr>
        <w:fldChar w:fldCharType="separate"/>
      </w:r>
      <w:r w:rsidR="008F7C96" w:rsidRPr="00733536">
        <w:rPr>
          <w:i/>
        </w:rPr>
        <w:t>[27]</w:t>
      </w:r>
      <w:r w:rsidR="008F7C96" w:rsidRPr="00733536">
        <w:rPr>
          <w:i/>
        </w:rPr>
        <w:fldChar w:fldCharType="end"/>
      </w:r>
      <w:r w:rsidR="00B25007">
        <w:rPr>
          <w:i/>
        </w:rPr>
        <w:t>-</w:t>
      </w:r>
      <w:r w:rsidR="008F7C96" w:rsidRPr="00733536">
        <w:rPr>
          <w:i/>
        </w:rPr>
        <w:fldChar w:fldCharType="begin"/>
      </w:r>
      <w:r w:rsidR="008F7C96" w:rsidRPr="00733536">
        <w:rPr>
          <w:i/>
        </w:rPr>
        <w:instrText xml:space="preserve"> REF _Ref55223213 \r \h </w:instrText>
      </w:r>
      <w:r w:rsidR="008F7C96" w:rsidRPr="00733536">
        <w:rPr>
          <w:i/>
        </w:rPr>
      </w:r>
      <w:r w:rsidR="008F7C96" w:rsidRPr="00733536">
        <w:rPr>
          <w:i/>
        </w:rPr>
        <w:fldChar w:fldCharType="separate"/>
      </w:r>
      <w:r w:rsidR="008F7C96" w:rsidRPr="00733536">
        <w:rPr>
          <w:i/>
        </w:rPr>
        <w:t>[28]</w:t>
      </w:r>
      <w:r w:rsidR="008F7C96" w:rsidRPr="00733536">
        <w:rPr>
          <w:i/>
        </w:rPr>
        <w:fldChar w:fldCharType="end"/>
      </w:r>
      <w:r w:rsidR="00264948" w:rsidRPr="00733536">
        <w:rPr>
          <w:i/>
        </w:rPr>
        <w:t xml:space="preserve"> </w:t>
      </w:r>
      <w:r w:rsidR="005A0365" w:rsidRPr="00733536">
        <w:rPr>
          <w:i/>
        </w:rPr>
        <w:t xml:space="preserve">for companies </w:t>
      </w:r>
      <w:r w:rsidR="00B06EE8">
        <w:rPr>
          <w:i/>
        </w:rPr>
        <w:t>that</w:t>
      </w:r>
      <w:r w:rsidR="005A0365" w:rsidRPr="00733536">
        <w:rPr>
          <w:i/>
        </w:rPr>
        <w:t xml:space="preserve"> are evaluating RSD alternatives?</w:t>
      </w:r>
      <w:r w:rsidR="005A0365" w:rsidRPr="00733536">
        <w:t xml:space="preserve"> </w:t>
      </w:r>
    </w:p>
    <w:p w14:paraId="1B874C1F" w14:textId="7E3D7740" w:rsidR="00F007A0" w:rsidRPr="00733536" w:rsidRDefault="00F007A0" w:rsidP="00F038BA">
      <w:r w:rsidRPr="00733536">
        <w:t xml:space="preserve">b) </w:t>
      </w:r>
      <w:r w:rsidR="000A30CA">
        <w:rPr>
          <w:i/>
          <w:iCs/>
        </w:rPr>
        <w:t>D</w:t>
      </w:r>
      <w:r w:rsidR="000A30CA" w:rsidRPr="00733536">
        <w:rPr>
          <w:i/>
          <w:iCs/>
        </w:rPr>
        <w:t xml:space="preserve">oes </w:t>
      </w:r>
      <w:r w:rsidRPr="00733536">
        <w:rPr>
          <w:i/>
        </w:rPr>
        <w:t>Industry 4.0 represent an enabling factor</w:t>
      </w:r>
      <w:r w:rsidR="00264948" w:rsidRPr="00733536">
        <w:rPr>
          <w:i/>
        </w:rPr>
        <w:t xml:space="preserve"> </w:t>
      </w:r>
      <w:r w:rsidR="008F7C96" w:rsidRPr="00733536">
        <w:rPr>
          <w:i/>
        </w:rPr>
        <w:fldChar w:fldCharType="begin"/>
      </w:r>
      <w:r w:rsidR="008F7C96" w:rsidRPr="00733536">
        <w:rPr>
          <w:i/>
        </w:rPr>
        <w:instrText xml:space="preserve"> REF _Ref55223211 \r \h </w:instrText>
      </w:r>
      <w:r w:rsidR="008F7C96" w:rsidRPr="00733536">
        <w:rPr>
          <w:i/>
        </w:rPr>
      </w:r>
      <w:r w:rsidR="008F7C96" w:rsidRPr="00733536">
        <w:rPr>
          <w:i/>
        </w:rPr>
        <w:fldChar w:fldCharType="separate"/>
      </w:r>
      <w:r w:rsidR="008F7C96" w:rsidRPr="00733536">
        <w:rPr>
          <w:i/>
        </w:rPr>
        <w:t>[26]</w:t>
      </w:r>
      <w:r w:rsidR="008F7C96" w:rsidRPr="00733536">
        <w:rPr>
          <w:i/>
        </w:rPr>
        <w:fldChar w:fldCharType="end"/>
      </w:r>
      <w:r w:rsidR="002923BD" w:rsidRPr="00733536">
        <w:rPr>
          <w:i/>
        </w:rPr>
        <w:t>,</w:t>
      </w:r>
      <w:r w:rsidR="00B25007">
        <w:rPr>
          <w:i/>
        </w:rPr>
        <w:t xml:space="preserve"> </w:t>
      </w:r>
      <w:r w:rsidR="008F7C96" w:rsidRPr="00733536">
        <w:rPr>
          <w:i/>
        </w:rPr>
        <w:fldChar w:fldCharType="begin"/>
      </w:r>
      <w:r w:rsidR="008F7C96" w:rsidRPr="00733536">
        <w:rPr>
          <w:i/>
        </w:rPr>
        <w:instrText xml:space="preserve"> REF _Ref55223213 \r \h </w:instrText>
      </w:r>
      <w:r w:rsidR="008F7C96" w:rsidRPr="00733536">
        <w:rPr>
          <w:i/>
        </w:rPr>
      </w:r>
      <w:r w:rsidR="008F7C96" w:rsidRPr="00733536">
        <w:rPr>
          <w:i/>
        </w:rPr>
        <w:fldChar w:fldCharType="separate"/>
      </w:r>
      <w:r w:rsidR="008F7C96" w:rsidRPr="00733536">
        <w:rPr>
          <w:i/>
        </w:rPr>
        <w:t>[28]</w:t>
      </w:r>
      <w:r w:rsidR="008F7C96" w:rsidRPr="00733536">
        <w:rPr>
          <w:i/>
        </w:rPr>
        <w:fldChar w:fldCharType="end"/>
      </w:r>
      <w:r w:rsidR="00264948" w:rsidRPr="00733536">
        <w:rPr>
          <w:i/>
        </w:rPr>
        <w:t xml:space="preserve"> </w:t>
      </w:r>
      <w:r w:rsidRPr="00733536">
        <w:rPr>
          <w:i/>
        </w:rPr>
        <w:t xml:space="preserve">for companies </w:t>
      </w:r>
      <w:r w:rsidR="00B06EE8">
        <w:rPr>
          <w:i/>
        </w:rPr>
        <w:t>that</w:t>
      </w:r>
      <w:r w:rsidRPr="00733536">
        <w:rPr>
          <w:i/>
        </w:rPr>
        <w:t xml:space="preserve"> are evaluating RSD alternatives?</w:t>
      </w:r>
    </w:p>
    <w:p w14:paraId="55E0D408" w14:textId="4E181F74" w:rsidR="005A0365" w:rsidRPr="00733536" w:rsidRDefault="005A0365" w:rsidP="005A0365">
      <w:r w:rsidRPr="00733536">
        <w:t>The paper aims to shed new light on this issue</w:t>
      </w:r>
      <w:r w:rsidR="005774FD">
        <w:t>,</w:t>
      </w:r>
      <w:r w:rsidRPr="00733536">
        <w:t xml:space="preserve"> adopting an explorative approach based on a variety of data sources. More specifically, a two-step explorative research</w:t>
      </w:r>
      <w:r w:rsidR="005774FD">
        <w:t xml:space="preserve"> method</w:t>
      </w:r>
      <w:r w:rsidRPr="00733536">
        <w:t xml:space="preserve"> will be </w:t>
      </w:r>
      <w:r w:rsidR="005774FD">
        <w:t>used</w:t>
      </w:r>
      <w:r w:rsidRPr="00733536">
        <w:t>. In the first step</w:t>
      </w:r>
      <w:r w:rsidR="005774FD">
        <w:t>,</w:t>
      </w:r>
      <w:r w:rsidRPr="00733536">
        <w:t xml:space="preserve"> a theoretical approach is followed by developing a structured literature review based on 115 Elsevier Scopus</w:t>
      </w:r>
      <w:r w:rsidR="005774FD">
        <w:t>-</w:t>
      </w:r>
      <w:r w:rsidRPr="00733536">
        <w:t xml:space="preserve">indexed journal articles published </w:t>
      </w:r>
      <w:r w:rsidR="005774FD">
        <w:t>before</w:t>
      </w:r>
      <w:r w:rsidRPr="00733536">
        <w:t xml:space="preserve"> August 2019. The second step of the paper methodology is based on empirical evidence </w:t>
      </w:r>
      <w:r w:rsidR="003278DF">
        <w:t>from</w:t>
      </w:r>
      <w:r w:rsidRPr="00733536">
        <w:t xml:space="preserve"> the UnivAQ </w:t>
      </w:r>
      <w:r w:rsidR="005774FD">
        <w:t>m</w:t>
      </w:r>
      <w:r w:rsidRPr="00733536">
        <w:t xml:space="preserve">anufacturing </w:t>
      </w:r>
      <w:r w:rsidR="005774FD">
        <w:t>r</w:t>
      </w:r>
      <w:r w:rsidRPr="00733536">
        <w:t xml:space="preserve">eshoring </w:t>
      </w:r>
      <w:r w:rsidR="005774FD">
        <w:t>d</w:t>
      </w:r>
      <w:r w:rsidRPr="00733536">
        <w:t xml:space="preserve">ataset (UMRD), which has already been adopted in previous back-shoring research </w:t>
      </w:r>
      <w:r w:rsidR="008F7C96" w:rsidRPr="00733536">
        <w:fldChar w:fldCharType="begin"/>
      </w:r>
      <w:r w:rsidR="008F7C96" w:rsidRPr="00733536">
        <w:instrText xml:space="preserve"> REF _Ref55223195 \r \h </w:instrText>
      </w:r>
      <w:r w:rsidR="008F7C96" w:rsidRPr="00733536">
        <w:fldChar w:fldCharType="separate"/>
      </w:r>
      <w:r w:rsidR="008F7C96" w:rsidRPr="00733536">
        <w:t>[10]</w:t>
      </w:r>
      <w:r w:rsidR="008F7C96" w:rsidRPr="00733536">
        <w:fldChar w:fldCharType="end"/>
      </w:r>
      <w:r w:rsidR="00B25007">
        <w:t>-</w:t>
      </w:r>
      <w:r w:rsidR="008F7C96" w:rsidRPr="00733536">
        <w:fldChar w:fldCharType="begin"/>
      </w:r>
      <w:r w:rsidR="008F7C96" w:rsidRPr="00733536">
        <w:instrText xml:space="preserve"> REF _Ref55223198 \r \h </w:instrText>
      </w:r>
      <w:r w:rsidR="008F7C96" w:rsidRPr="00733536">
        <w:fldChar w:fldCharType="separate"/>
      </w:r>
      <w:r w:rsidR="008F7C96" w:rsidRPr="00733536">
        <w:t>[13]</w:t>
      </w:r>
      <w:r w:rsidR="008F7C96" w:rsidRPr="00733536">
        <w:fldChar w:fldCharType="end"/>
      </w:r>
      <w:r w:rsidR="002923BD" w:rsidRPr="00733536">
        <w:t>,</w:t>
      </w:r>
      <w:r w:rsidR="00B25007">
        <w:t xml:space="preserve"> </w:t>
      </w:r>
      <w:r w:rsidR="008F7C96" w:rsidRPr="00733536">
        <w:fldChar w:fldCharType="begin"/>
      </w:r>
      <w:r w:rsidR="008F7C96" w:rsidRPr="00733536">
        <w:instrText xml:space="preserve"> REF _Ref55223214 \r \h </w:instrText>
      </w:r>
      <w:r w:rsidR="008F7C96" w:rsidRPr="00733536">
        <w:fldChar w:fldCharType="separate"/>
      </w:r>
      <w:r w:rsidR="008F7C96" w:rsidRPr="00733536">
        <w:t>[29]</w:t>
      </w:r>
      <w:r w:rsidR="008F7C96" w:rsidRPr="00733536">
        <w:fldChar w:fldCharType="end"/>
      </w:r>
      <w:r w:rsidR="00B25007">
        <w:t>-</w:t>
      </w:r>
      <w:r w:rsidR="008F7C96" w:rsidRPr="00733536">
        <w:fldChar w:fldCharType="begin"/>
      </w:r>
      <w:r w:rsidR="008F7C96" w:rsidRPr="00733536">
        <w:instrText xml:space="preserve"> REF _Ref55223216 \r \h </w:instrText>
      </w:r>
      <w:r w:rsidR="008F7C96" w:rsidRPr="00733536">
        <w:fldChar w:fldCharType="separate"/>
      </w:r>
      <w:r w:rsidR="008F7C96" w:rsidRPr="00733536">
        <w:t>[31]</w:t>
      </w:r>
      <w:r w:rsidR="008F7C96" w:rsidRPr="00733536">
        <w:fldChar w:fldCharType="end"/>
      </w:r>
      <w:r w:rsidR="003278DF">
        <w:t>,</w:t>
      </w:r>
      <w:r w:rsidR="00A00A18" w:rsidRPr="00733536">
        <w:t xml:space="preserve"> </w:t>
      </w:r>
      <w:r w:rsidRPr="00733536">
        <w:t>since it is recogni</w:t>
      </w:r>
      <w:r w:rsidR="005774FD">
        <w:t>s</w:t>
      </w:r>
      <w:r w:rsidRPr="00733536">
        <w:t xml:space="preserve">ed as the most comprehensive </w:t>
      </w:r>
      <w:r w:rsidR="005774FD">
        <w:t xml:space="preserve">set of data </w:t>
      </w:r>
      <w:r w:rsidRPr="00733536">
        <w:t xml:space="preserve">at </w:t>
      </w:r>
      <w:r w:rsidR="005774FD">
        <w:t>a</w:t>
      </w:r>
      <w:r w:rsidRPr="00733536">
        <w:t xml:space="preserve"> </w:t>
      </w:r>
      <w:r w:rsidR="005774FD">
        <w:t>global</w:t>
      </w:r>
      <w:r w:rsidRPr="00733536">
        <w:t xml:space="preserve"> level.</w:t>
      </w:r>
      <w:r w:rsidR="002C329A" w:rsidRPr="00733536">
        <w:t xml:space="preserve"> Since Industry 4.0 phenomenon may have dissimilarities among different geographic areas, attention has been focused on reshoring evidence </w:t>
      </w:r>
      <w:r w:rsidR="005774FD">
        <w:t>from</w:t>
      </w:r>
      <w:r w:rsidR="002C329A" w:rsidRPr="00733536">
        <w:t xml:space="preserve"> European countries. </w:t>
      </w:r>
    </w:p>
    <w:p w14:paraId="2D332AAC" w14:textId="534AFE77" w:rsidR="005A0365" w:rsidRPr="00733536" w:rsidRDefault="00211393" w:rsidP="005A0365">
      <w:r w:rsidRPr="00733536">
        <w:t>F</w:t>
      </w:r>
      <w:r w:rsidR="005A0365" w:rsidRPr="00733536">
        <w:t xml:space="preserve">indings obtained </w:t>
      </w:r>
      <w:r w:rsidR="00B06EE8">
        <w:t>from</w:t>
      </w:r>
      <w:r w:rsidR="005A0365" w:rsidRPr="00733536">
        <w:t xml:space="preserve"> the two-step methodology </w:t>
      </w:r>
      <w:r w:rsidR="00B06EE8" w:rsidRPr="00733536">
        <w:t xml:space="preserve">described earlier </w:t>
      </w:r>
      <w:r w:rsidR="005A0365" w:rsidRPr="00733536">
        <w:t xml:space="preserve">provide evidence of the growing interest of scholars in the impact of Industry 4.0 enabling technologies on manufacturing </w:t>
      </w:r>
      <w:r w:rsidRPr="00733536">
        <w:t xml:space="preserve">reshoring </w:t>
      </w:r>
      <w:r w:rsidR="005A0365" w:rsidRPr="00733536">
        <w:t xml:space="preserve">decisions. However, attention has </w:t>
      </w:r>
      <w:r w:rsidR="005774FD">
        <w:t>primarily</w:t>
      </w:r>
      <w:r w:rsidR="005A0365" w:rsidRPr="00733536">
        <w:t xml:space="preserve"> focused on two single technologies, production automation (42 out of 115 sampled Elsevier Scopu</w:t>
      </w:r>
      <w:r w:rsidR="00B06EE8">
        <w:t>s-</w:t>
      </w:r>
      <w:r w:rsidR="005A0365" w:rsidRPr="00733536">
        <w:t xml:space="preserve">indexed journal articles, published </w:t>
      </w:r>
      <w:r w:rsidR="00B06EE8">
        <w:t>between</w:t>
      </w:r>
      <w:r w:rsidR="005A0365" w:rsidRPr="00733536">
        <w:t xml:space="preserve"> 2014 </w:t>
      </w:r>
      <w:r w:rsidR="00B06EE8">
        <w:t>and</w:t>
      </w:r>
      <w:r w:rsidR="005A0365" w:rsidRPr="00733536">
        <w:t xml:space="preserve"> 2019) and additive manufacturing (10 documents published in the last two years). Moreover, only four journal articles (of which three </w:t>
      </w:r>
      <w:r w:rsidR="00B06EE8">
        <w:t>were</w:t>
      </w:r>
      <w:r w:rsidR="005A0365" w:rsidRPr="00733536">
        <w:t xml:space="preserve"> published in 2019) specifically investigated the causality (if any) of Industry 4.0 technologies on back-shoring. However, the research findings emerging from these four articles are quite differentiated and not definitive. Finally, it is worth noting that, while the majority of sampled articles conceptuali</w:t>
      </w:r>
      <w:r w:rsidR="00B06EE8">
        <w:t>s</w:t>
      </w:r>
      <w:r w:rsidR="005A0365" w:rsidRPr="00733536">
        <w:t xml:space="preserve">e Industry 4.0 technologies as a driver </w:t>
      </w:r>
      <w:r w:rsidR="008F7C96" w:rsidRPr="00733536">
        <w:fldChar w:fldCharType="begin"/>
      </w:r>
      <w:r w:rsidR="008F7C96" w:rsidRPr="00733536">
        <w:instrText xml:space="preserve"> REF _Ref55223192 \r \h </w:instrText>
      </w:r>
      <w:r w:rsidR="008F7C96" w:rsidRPr="00733536">
        <w:fldChar w:fldCharType="separate"/>
      </w:r>
      <w:r w:rsidR="008F7C96" w:rsidRPr="00733536">
        <w:t>[7]</w:t>
      </w:r>
      <w:r w:rsidR="008F7C96" w:rsidRPr="00733536">
        <w:fldChar w:fldCharType="end"/>
      </w:r>
      <w:r w:rsidR="005766AA" w:rsidRPr="00733536">
        <w:t xml:space="preserve">, </w:t>
      </w:r>
      <w:r w:rsidR="005A0365" w:rsidRPr="00733536">
        <w:t>the</w:t>
      </w:r>
      <w:r w:rsidR="00B06EE8">
        <w:t>se technologies</w:t>
      </w:r>
      <w:r w:rsidR="005A0365" w:rsidRPr="00733536">
        <w:t xml:space="preserve"> have also been viewed as</w:t>
      </w:r>
      <w:r w:rsidR="00B06EE8">
        <w:t xml:space="preserve"> an</w:t>
      </w:r>
      <w:r w:rsidR="005A0365" w:rsidRPr="00733536">
        <w:t xml:space="preserve"> enabling factor </w:t>
      </w:r>
      <w:r w:rsidR="008F7C96" w:rsidRPr="00733536">
        <w:fldChar w:fldCharType="begin"/>
      </w:r>
      <w:r w:rsidR="008F7C96" w:rsidRPr="00733536">
        <w:instrText xml:space="preserve"> REF _Ref55223211 \r \h </w:instrText>
      </w:r>
      <w:r w:rsidR="008F7C96" w:rsidRPr="00733536">
        <w:fldChar w:fldCharType="separate"/>
      </w:r>
      <w:r w:rsidR="008F7C96" w:rsidRPr="00733536">
        <w:t>[26]</w:t>
      </w:r>
      <w:r w:rsidR="008F7C96" w:rsidRPr="00733536">
        <w:fldChar w:fldCharType="end"/>
      </w:r>
      <w:r w:rsidR="002923BD" w:rsidRPr="00733536">
        <w:t>,</w:t>
      </w:r>
      <w:r w:rsidR="00B25007">
        <w:t xml:space="preserve"> </w:t>
      </w:r>
      <w:r w:rsidR="008F7C96" w:rsidRPr="00733536">
        <w:fldChar w:fldCharType="begin"/>
      </w:r>
      <w:r w:rsidR="008F7C96" w:rsidRPr="00733536">
        <w:instrText xml:space="preserve"> REF _Ref55223213 \r \h </w:instrText>
      </w:r>
      <w:r w:rsidR="008F7C96" w:rsidRPr="00733536">
        <w:fldChar w:fldCharType="separate"/>
      </w:r>
      <w:r w:rsidR="008F7C96" w:rsidRPr="00733536">
        <w:t>[28]</w:t>
      </w:r>
      <w:r w:rsidR="008F7C96" w:rsidRPr="00733536">
        <w:fldChar w:fldCharType="end"/>
      </w:r>
      <w:r w:rsidR="005A0365" w:rsidRPr="00733536">
        <w:t>.</w:t>
      </w:r>
    </w:p>
    <w:p w14:paraId="1EF8D450" w14:textId="48F840D0" w:rsidR="00B1079F" w:rsidRPr="00733536" w:rsidRDefault="002C329A" w:rsidP="005A0365">
      <w:r w:rsidRPr="00733536">
        <w:t>T</w:t>
      </w:r>
      <w:r w:rsidR="005A0365" w:rsidRPr="00733536">
        <w:t>he paper is structured in three sections, the first of which describes the two-step methodology</w:t>
      </w:r>
      <w:r w:rsidR="00B06EE8" w:rsidRPr="00B06EE8">
        <w:t xml:space="preserve"> </w:t>
      </w:r>
      <w:r w:rsidR="00B06EE8" w:rsidRPr="00733536">
        <w:t>adopted</w:t>
      </w:r>
      <w:r w:rsidR="005A0365" w:rsidRPr="00733536">
        <w:t xml:space="preserve">. In the </w:t>
      </w:r>
      <w:r w:rsidR="003278DF">
        <w:t xml:space="preserve">following </w:t>
      </w:r>
      <w:r w:rsidR="005A0365" w:rsidRPr="00733536">
        <w:t>section, findings obtained through the chosen methodology are presented and discussed. Finally, the third section contains conclusions, implications and limitations.</w:t>
      </w:r>
    </w:p>
    <w:p w14:paraId="4AF5D402" w14:textId="77777777" w:rsidR="00100F6F" w:rsidRPr="00733536" w:rsidRDefault="005A0365" w:rsidP="00802D34">
      <w:pPr>
        <w:pStyle w:val="Level1Title"/>
      </w:pPr>
      <w:r w:rsidRPr="00733536">
        <w:t>methodology</w:t>
      </w:r>
    </w:p>
    <w:p w14:paraId="53D32D7D" w14:textId="10990265" w:rsidR="004A0700" w:rsidRPr="00733536" w:rsidRDefault="004A0700" w:rsidP="004A0700">
      <w:r w:rsidRPr="00733536">
        <w:t>As outlined</w:t>
      </w:r>
      <w:r w:rsidR="005774FD">
        <w:t xml:space="preserve"> above</w:t>
      </w:r>
      <w:r w:rsidRPr="00733536">
        <w:t xml:space="preserve">, in order to </w:t>
      </w:r>
      <w:r w:rsidR="004D0460" w:rsidRPr="00733536">
        <w:t>examine</w:t>
      </w:r>
      <w:r w:rsidR="00F007A0" w:rsidRPr="00733536">
        <w:t xml:space="preserve"> </w:t>
      </w:r>
      <w:r w:rsidRPr="00733536">
        <w:t>the investigated research question</w:t>
      </w:r>
      <w:r w:rsidR="00F007A0" w:rsidRPr="00733536">
        <w:t>s</w:t>
      </w:r>
      <w:r w:rsidR="005774FD">
        <w:t>,</w:t>
      </w:r>
      <w:r w:rsidRPr="00733536">
        <w:t xml:space="preserve"> a two-step explorative methodology has been applied. The first </w:t>
      </w:r>
      <w:r w:rsidR="00F007A0" w:rsidRPr="00733536">
        <w:t xml:space="preserve">one </w:t>
      </w:r>
      <w:r w:rsidRPr="00733536">
        <w:t>is based on a structured literature review</w:t>
      </w:r>
      <w:r w:rsidR="005774FD">
        <w:t>,</w:t>
      </w:r>
      <w:r w:rsidRPr="00733536">
        <w:t xml:space="preserve"> e.g. </w:t>
      </w:r>
      <w:r w:rsidR="005774FD">
        <w:t>‘</w:t>
      </w:r>
      <w:r w:rsidRPr="00733536">
        <w:t>a systematic, explicit, and reproducible design for identifying, evaluating, and interpreting the existing body of recorded documents</w:t>
      </w:r>
      <w:r w:rsidR="005774FD">
        <w:t>’</w:t>
      </w:r>
      <w:r w:rsidRPr="00733536">
        <w:t xml:space="preserve"> </w:t>
      </w:r>
      <w:r w:rsidR="008F7C96" w:rsidRPr="00733536">
        <w:fldChar w:fldCharType="begin"/>
      </w:r>
      <w:r w:rsidR="008F7C96" w:rsidRPr="00733536">
        <w:instrText xml:space="preserve"> REF _Ref55223217 \r \h </w:instrText>
      </w:r>
      <w:r w:rsidR="008F7C96" w:rsidRPr="00733536">
        <w:fldChar w:fldCharType="separate"/>
      </w:r>
      <w:r w:rsidR="008F7C96" w:rsidRPr="00733536">
        <w:t>[32]</w:t>
      </w:r>
      <w:r w:rsidR="008F7C96" w:rsidRPr="00733536">
        <w:fldChar w:fldCharType="end"/>
      </w:r>
      <w:r w:rsidRPr="00733536">
        <w:t xml:space="preserve"> regarding back-shoring decisions. It has been performed according to the </w:t>
      </w:r>
      <w:r w:rsidR="005774FD" w:rsidRPr="00733536">
        <w:t>process model for content analysis</w:t>
      </w:r>
      <w:r w:rsidR="005774FD">
        <w:t xml:space="preserve"> described by</w:t>
      </w:r>
      <w:r w:rsidR="005774FD" w:rsidRPr="00733536">
        <w:t xml:space="preserve"> </w:t>
      </w:r>
      <w:r w:rsidR="008F7C96" w:rsidRPr="00733536">
        <w:fldChar w:fldCharType="begin"/>
      </w:r>
      <w:r w:rsidR="008F7C96" w:rsidRPr="00733536">
        <w:instrText xml:space="preserve"> REF _Ref55223218 \r \h </w:instrText>
      </w:r>
      <w:r w:rsidR="008F7C96" w:rsidRPr="00733536">
        <w:fldChar w:fldCharType="separate"/>
      </w:r>
      <w:r w:rsidR="008F7C96" w:rsidRPr="00733536">
        <w:t>[33]</w:t>
      </w:r>
      <w:r w:rsidR="008F7C96" w:rsidRPr="00733536">
        <w:fldChar w:fldCharType="end"/>
      </w:r>
      <w:r w:rsidRPr="00733536">
        <w:t xml:space="preserve">, which has already been adopted to conduct literature reviews on back-shoring </w:t>
      </w:r>
      <w:r w:rsidR="008F7C96" w:rsidRPr="00733536">
        <w:fldChar w:fldCharType="begin"/>
      </w:r>
      <w:r w:rsidR="008F7C96" w:rsidRPr="00733536">
        <w:instrText xml:space="preserve"> REF _Ref55223192 \r \h </w:instrText>
      </w:r>
      <w:r w:rsidR="008F7C96" w:rsidRPr="00733536">
        <w:fldChar w:fldCharType="separate"/>
      </w:r>
      <w:r w:rsidR="008F7C96" w:rsidRPr="00733536">
        <w:t>[7]</w:t>
      </w:r>
      <w:r w:rsidR="008F7C96" w:rsidRPr="00733536">
        <w:fldChar w:fldCharType="end"/>
      </w:r>
      <w:r w:rsidR="002923BD" w:rsidRPr="00733536">
        <w:t>,</w:t>
      </w:r>
      <w:r w:rsidR="00B25007">
        <w:t xml:space="preserve"> </w:t>
      </w:r>
      <w:r w:rsidR="008F7C96" w:rsidRPr="00733536">
        <w:fldChar w:fldCharType="begin"/>
      </w:r>
      <w:r w:rsidR="008F7C96" w:rsidRPr="00733536">
        <w:instrText xml:space="preserve"> REF _Ref55223194 \r \h </w:instrText>
      </w:r>
      <w:r w:rsidR="008F7C96" w:rsidRPr="00733536">
        <w:fldChar w:fldCharType="separate"/>
      </w:r>
      <w:r w:rsidR="008F7C96" w:rsidRPr="00733536">
        <w:t>[9]</w:t>
      </w:r>
      <w:r w:rsidR="008F7C96" w:rsidRPr="00733536">
        <w:fldChar w:fldCharType="end"/>
      </w:r>
      <w:r w:rsidRPr="00733536">
        <w:t>. Attention has been focused on Elsevier Scopus</w:t>
      </w:r>
      <w:r w:rsidR="005774FD">
        <w:t>-</w:t>
      </w:r>
      <w:r w:rsidRPr="00733536">
        <w:t xml:space="preserve">indexed journal articles published </w:t>
      </w:r>
      <w:r w:rsidR="005774FD">
        <w:t>before</w:t>
      </w:r>
      <w:r w:rsidRPr="00733536">
        <w:t xml:space="preserve"> August 2019. This source has been chosen since it is widely recogni</w:t>
      </w:r>
      <w:r w:rsidR="005774FD">
        <w:t>s</w:t>
      </w:r>
      <w:r w:rsidRPr="00733536">
        <w:t xml:space="preserve">ed as one of the top business and management databases </w:t>
      </w:r>
      <w:r w:rsidR="008F7C96" w:rsidRPr="00733536">
        <w:fldChar w:fldCharType="begin"/>
      </w:r>
      <w:r w:rsidR="008F7C96" w:rsidRPr="00733536">
        <w:instrText xml:space="preserve"> REF _Ref55223219 \r \h </w:instrText>
      </w:r>
      <w:r w:rsidR="008F7C96" w:rsidRPr="00733536">
        <w:fldChar w:fldCharType="separate"/>
      </w:r>
      <w:r w:rsidR="008F7C96" w:rsidRPr="00733536">
        <w:t>[34]</w:t>
      </w:r>
      <w:r w:rsidR="008F7C96" w:rsidRPr="00733536">
        <w:fldChar w:fldCharType="end"/>
      </w:r>
      <w:r w:rsidR="005766AA" w:rsidRPr="00733536">
        <w:t xml:space="preserve">. </w:t>
      </w:r>
      <w:r w:rsidRPr="00733536">
        <w:t>The following research criteria have been adopted:</w:t>
      </w:r>
    </w:p>
    <w:p w14:paraId="6784E94D" w14:textId="58FDA90B" w:rsidR="004A0700" w:rsidRPr="00733536" w:rsidRDefault="004A0700" w:rsidP="004A0700">
      <w:r w:rsidRPr="00733536">
        <w:t>a) English language</w:t>
      </w:r>
    </w:p>
    <w:p w14:paraId="70F72774" w14:textId="2AF93FBA" w:rsidR="004A0700" w:rsidRPr="00733536" w:rsidRDefault="004A0700" w:rsidP="004A0700">
      <w:r w:rsidRPr="00733536">
        <w:t xml:space="preserve">b) publication date </w:t>
      </w:r>
      <w:r w:rsidR="005774FD">
        <w:t>before</w:t>
      </w:r>
      <w:r w:rsidRPr="00733536">
        <w:t xml:space="preserve"> August 2019</w:t>
      </w:r>
      <w:r w:rsidR="00152B29" w:rsidRPr="00733536">
        <w:t xml:space="preserve"> </w:t>
      </w:r>
      <w:r w:rsidR="000A30CA">
        <w:t>(</w:t>
      </w:r>
      <w:r w:rsidR="005774FD">
        <w:t>although</w:t>
      </w:r>
      <w:r w:rsidR="00152B29" w:rsidRPr="00733536">
        <w:t xml:space="preserve"> no limits have been applied for </w:t>
      </w:r>
      <w:r w:rsidR="005774FD">
        <w:t xml:space="preserve">the </w:t>
      </w:r>
      <w:r w:rsidR="00152B29" w:rsidRPr="00733536">
        <w:t xml:space="preserve">starting </w:t>
      </w:r>
      <w:r w:rsidR="005774FD">
        <w:t>date</w:t>
      </w:r>
      <w:r w:rsidR="00152B29" w:rsidRPr="00733536">
        <w:t xml:space="preserve"> given the </w:t>
      </w:r>
      <w:r w:rsidR="005774FD">
        <w:t>novelty</w:t>
      </w:r>
      <w:r w:rsidR="00152B29" w:rsidRPr="00733536">
        <w:t xml:space="preserve"> of the investigated phenomenon</w:t>
      </w:r>
      <w:r w:rsidR="000A30CA">
        <w:t>)</w:t>
      </w:r>
    </w:p>
    <w:p w14:paraId="54B19057" w14:textId="77777777" w:rsidR="004A0700" w:rsidRPr="00733536" w:rsidRDefault="004A0700" w:rsidP="004A0700">
      <w:r w:rsidRPr="00733536">
        <w:t xml:space="preserve">c) containing at least one of the following sets of terms in the title, abstract and/or keywords: “reshor*”, “re-shor*”, “backshore*”, “back-shor*”, “back-reshor*” and “back-sourc*” </w:t>
      </w:r>
    </w:p>
    <w:p w14:paraId="3AFB358B" w14:textId="370E8868" w:rsidR="004A0700" w:rsidRPr="00733536" w:rsidRDefault="004A0700" w:rsidP="004A0700">
      <w:r w:rsidRPr="00733536">
        <w:t>We found a total number of 177 journal articles</w:t>
      </w:r>
      <w:r w:rsidR="005774FD">
        <w:t>. A</w:t>
      </w:r>
      <w:r w:rsidRPr="00733536">
        <w:t>fter all the co-authors had carefully read the full text of these articles, the following excluding criteria were adopted:</w:t>
      </w:r>
    </w:p>
    <w:p w14:paraId="5241EA77" w14:textId="240F9FE7" w:rsidR="004A0700" w:rsidRPr="00733536" w:rsidRDefault="004A0700" w:rsidP="004A0700">
      <w:r w:rsidRPr="00733536">
        <w:t xml:space="preserve">- journal articles focusing on </w:t>
      </w:r>
      <w:r w:rsidR="00AA0B93">
        <w:t xml:space="preserve">the </w:t>
      </w:r>
      <w:r w:rsidRPr="00733536">
        <w:t xml:space="preserve">back-shoring of </w:t>
      </w:r>
      <w:r w:rsidR="005774FD">
        <w:t>companies</w:t>
      </w:r>
      <w:r w:rsidRPr="00733536">
        <w:t xml:space="preserve"> operating in industries </w:t>
      </w:r>
      <w:r w:rsidR="00AA0B93">
        <w:t>not related to</w:t>
      </w:r>
      <w:r w:rsidRPr="00733536">
        <w:t xml:space="preserve"> manufacturing (e.g. ICT companies) </w:t>
      </w:r>
    </w:p>
    <w:p w14:paraId="45CCB052" w14:textId="06761632" w:rsidR="004A0700" w:rsidRPr="00733536" w:rsidRDefault="004A0700" w:rsidP="004A0700">
      <w:r w:rsidRPr="00733536">
        <w:t>- documents published in sources without peer review systems</w:t>
      </w:r>
    </w:p>
    <w:p w14:paraId="58951281" w14:textId="7B3E3542" w:rsidR="004A0700" w:rsidRPr="00733536" w:rsidRDefault="004A0700" w:rsidP="004A0700">
      <w:r w:rsidRPr="00733536">
        <w:t>- journal articles in which the searched terms are used to indicate a different concept from the one of interest (for instance, some of the keywords belonging to the reshoring concept are used with different meanings in the maritime and building engineering research fields)</w:t>
      </w:r>
    </w:p>
    <w:p w14:paraId="69F3BB19" w14:textId="10D10E84" w:rsidR="004A0700" w:rsidRPr="00733536" w:rsidRDefault="004A0700" w:rsidP="004A0700">
      <w:r w:rsidRPr="00733536">
        <w:t>- documents referring to functions other than operations (e.g. human resources and research and development</w:t>
      </w:r>
      <w:r w:rsidR="00486A51">
        <w:t xml:space="preserve"> </w:t>
      </w:r>
      <w:r w:rsidR="000A30CA">
        <w:t>[</w:t>
      </w:r>
      <w:r w:rsidR="00486A51">
        <w:t>R&amp;D</w:t>
      </w:r>
      <w:r w:rsidR="000A30CA">
        <w:t>]</w:t>
      </w:r>
      <w:r w:rsidRPr="00733536">
        <w:t>).</w:t>
      </w:r>
    </w:p>
    <w:p w14:paraId="465D9EED" w14:textId="3F26A8E2" w:rsidR="004A0700" w:rsidRPr="00733536" w:rsidRDefault="004A0700" w:rsidP="004A0700">
      <w:pPr>
        <w:rPr>
          <w:b/>
        </w:rPr>
      </w:pPr>
      <w:r w:rsidRPr="00733536">
        <w:t xml:space="preserve">Based on these criteria, 62 documents were eliminated; therefore, the total </w:t>
      </w:r>
      <w:r w:rsidR="00AA0B93">
        <w:t>number</w:t>
      </w:r>
      <w:r w:rsidRPr="00733536">
        <w:t xml:space="preserve"> of sampled documents was 115. </w:t>
      </w:r>
    </w:p>
    <w:p w14:paraId="10A6B2B5" w14:textId="0EB0B1FA" w:rsidR="004A0700" w:rsidRPr="00733536" w:rsidRDefault="004A0700" w:rsidP="004A0700">
      <w:r w:rsidRPr="00733536">
        <w:t xml:space="preserve">The second step of the methodology is based on empirical evidence </w:t>
      </w:r>
      <w:r w:rsidR="00AA0B93">
        <w:t>from</w:t>
      </w:r>
      <w:r w:rsidRPr="00733536">
        <w:t xml:space="preserve"> the </w:t>
      </w:r>
      <w:r w:rsidR="00F007A0" w:rsidRPr="00733536">
        <w:t>UMRD</w:t>
      </w:r>
      <w:r w:rsidRPr="00733536">
        <w:t xml:space="preserve"> dataset </w:t>
      </w:r>
      <w:r w:rsidR="00AA0B93">
        <w:t>that</w:t>
      </w:r>
      <w:r w:rsidRPr="00733536">
        <w:t xml:space="preserve"> </w:t>
      </w:r>
      <w:r w:rsidR="00F007A0" w:rsidRPr="00733536">
        <w:t>contains</w:t>
      </w:r>
      <w:r w:rsidR="00AA0B93">
        <w:t xml:space="preserve"> </w:t>
      </w:r>
      <w:r w:rsidR="00F007A0" w:rsidRPr="00733536">
        <w:t>data from the Uni-CLUB MoRe reshoring dataset</w:t>
      </w:r>
      <w:r w:rsidR="00AA0B93">
        <w:t>,</w:t>
      </w:r>
      <w:r w:rsidR="00F007A0" w:rsidRPr="00733536">
        <w:t xml:space="preserve"> </w:t>
      </w:r>
      <w:r w:rsidRPr="00733536">
        <w:t xml:space="preserve">already adopted </w:t>
      </w:r>
      <w:r w:rsidR="00AA0B93">
        <w:t xml:space="preserve">for use </w:t>
      </w:r>
      <w:r w:rsidRPr="00733536">
        <w:t xml:space="preserve">in </w:t>
      </w:r>
      <w:r w:rsidR="00AA0B93">
        <w:t xml:space="preserve">the </w:t>
      </w:r>
      <w:r w:rsidRPr="00733536">
        <w:t xml:space="preserve">research on manufacturing back-shoring (see, among others, </w:t>
      </w:r>
      <w:r w:rsidR="008F7C96" w:rsidRPr="00733536">
        <w:fldChar w:fldCharType="begin"/>
      </w:r>
      <w:r w:rsidR="008F7C96" w:rsidRPr="00733536">
        <w:instrText xml:space="preserve"> REF _Ref55217958 \r \h </w:instrText>
      </w:r>
      <w:r w:rsidR="008F7C96" w:rsidRPr="00733536">
        <w:fldChar w:fldCharType="separate"/>
      </w:r>
      <w:r w:rsidR="008F7C96" w:rsidRPr="00733536">
        <w:t>[4]</w:t>
      </w:r>
      <w:r w:rsidR="008F7C96" w:rsidRPr="00733536">
        <w:fldChar w:fldCharType="end"/>
      </w:r>
      <w:r w:rsidR="002923BD" w:rsidRPr="00733536">
        <w:t>,</w:t>
      </w:r>
      <w:r w:rsidR="00B25007">
        <w:t xml:space="preserve"> </w:t>
      </w:r>
      <w:r w:rsidR="008F7C96" w:rsidRPr="00733536">
        <w:fldChar w:fldCharType="begin"/>
      </w:r>
      <w:r w:rsidR="008F7C96" w:rsidRPr="00733536">
        <w:instrText xml:space="preserve"> REF _Ref55223195 \r \h </w:instrText>
      </w:r>
      <w:r w:rsidR="008F7C96" w:rsidRPr="00733536">
        <w:fldChar w:fldCharType="separate"/>
      </w:r>
      <w:r w:rsidR="008F7C96" w:rsidRPr="00733536">
        <w:t>[10]</w:t>
      </w:r>
      <w:r w:rsidR="008F7C96" w:rsidRPr="00733536">
        <w:fldChar w:fldCharType="end"/>
      </w:r>
      <w:r w:rsidR="00B25007">
        <w:t>-</w:t>
      </w:r>
      <w:r w:rsidR="008F7C96" w:rsidRPr="00733536">
        <w:fldChar w:fldCharType="begin"/>
      </w:r>
      <w:r w:rsidR="008F7C96" w:rsidRPr="00733536">
        <w:instrText xml:space="preserve"> REF _Ref55223198 \r \h </w:instrText>
      </w:r>
      <w:r w:rsidR="008F7C96" w:rsidRPr="00733536">
        <w:fldChar w:fldCharType="separate"/>
      </w:r>
      <w:r w:rsidR="008F7C96" w:rsidRPr="00733536">
        <w:t>[13]</w:t>
      </w:r>
      <w:r w:rsidR="008F7C96" w:rsidRPr="00733536">
        <w:fldChar w:fldCharType="end"/>
      </w:r>
      <w:r w:rsidR="002923BD" w:rsidRPr="00733536">
        <w:t>,</w:t>
      </w:r>
      <w:r w:rsidR="00B25007">
        <w:t xml:space="preserve"> </w:t>
      </w:r>
      <w:r w:rsidR="008F7C96" w:rsidRPr="00733536">
        <w:fldChar w:fldCharType="begin"/>
      </w:r>
      <w:r w:rsidR="008F7C96" w:rsidRPr="00733536">
        <w:instrText xml:space="preserve"> REF _Ref55223212 \r \h </w:instrText>
      </w:r>
      <w:r w:rsidR="008F7C96" w:rsidRPr="00733536">
        <w:fldChar w:fldCharType="separate"/>
      </w:r>
      <w:r w:rsidR="008F7C96" w:rsidRPr="00733536">
        <w:t>[27]</w:t>
      </w:r>
      <w:r w:rsidR="008F7C96" w:rsidRPr="00733536">
        <w:fldChar w:fldCharType="end"/>
      </w:r>
      <w:r w:rsidR="002923BD" w:rsidRPr="00733536">
        <w:t>,</w:t>
      </w:r>
      <w:r w:rsidR="00B25007">
        <w:t xml:space="preserve"> </w:t>
      </w:r>
      <w:r w:rsidR="008F7C96" w:rsidRPr="00733536">
        <w:fldChar w:fldCharType="begin"/>
      </w:r>
      <w:r w:rsidR="008F7C96" w:rsidRPr="00733536">
        <w:instrText xml:space="preserve"> REF _Ref55223214 \r \h </w:instrText>
      </w:r>
      <w:r w:rsidR="008F7C96" w:rsidRPr="00733536">
        <w:fldChar w:fldCharType="separate"/>
      </w:r>
      <w:r w:rsidR="008F7C96" w:rsidRPr="00733536">
        <w:t>[29]</w:t>
      </w:r>
      <w:r w:rsidR="008F7C96" w:rsidRPr="00733536">
        <w:fldChar w:fldCharType="end"/>
      </w:r>
      <w:r w:rsidR="00B25007">
        <w:t>-</w:t>
      </w:r>
      <w:r w:rsidR="008F7C96" w:rsidRPr="00733536">
        <w:fldChar w:fldCharType="begin"/>
      </w:r>
      <w:r w:rsidR="008F7C96" w:rsidRPr="00733536">
        <w:instrText xml:space="preserve"> REF _Ref55223216 \r \h </w:instrText>
      </w:r>
      <w:r w:rsidR="008F7C96" w:rsidRPr="00733536">
        <w:fldChar w:fldCharType="separate"/>
      </w:r>
      <w:r w:rsidR="008F7C96" w:rsidRPr="00733536">
        <w:t>[31]</w:t>
      </w:r>
      <w:r w:rsidR="008F7C96" w:rsidRPr="00733536">
        <w:fldChar w:fldCharType="end"/>
      </w:r>
      <w:r w:rsidR="00FD2522" w:rsidRPr="00733536">
        <w:t>)</w:t>
      </w:r>
      <w:r w:rsidR="00AA0B93">
        <w:t>,</w:t>
      </w:r>
      <w:r w:rsidR="005766AA" w:rsidRPr="0023325E">
        <w:t xml:space="preserve"> </w:t>
      </w:r>
      <w:r w:rsidR="00F007A0" w:rsidRPr="0023325E">
        <w:t xml:space="preserve">and the </w:t>
      </w:r>
      <w:r w:rsidRPr="00733536">
        <w:t>European Reshoring Monitor dataset</w:t>
      </w:r>
      <w:r w:rsidR="00F007A0" w:rsidRPr="00733536">
        <w:t xml:space="preserve"> </w:t>
      </w:r>
      <w:r w:rsidRPr="00733536">
        <w:t xml:space="preserve">by the EU </w:t>
      </w:r>
      <w:r w:rsidR="00AA0B93">
        <w:t>foundation,</w:t>
      </w:r>
      <w:r w:rsidRPr="00733536">
        <w:t xml:space="preserve"> Eurofound</w:t>
      </w:r>
      <w:r w:rsidR="00AA0B93">
        <w:t>, used</w:t>
      </w:r>
      <w:r w:rsidRPr="00733536">
        <w:t xml:space="preserve"> in several recent studies </w:t>
      </w:r>
      <w:r w:rsidR="008F7C96" w:rsidRPr="00733536">
        <w:fldChar w:fldCharType="begin"/>
      </w:r>
      <w:r w:rsidR="008F7C96" w:rsidRPr="00733536">
        <w:instrText xml:space="preserve"> REF _Ref55223196 \r \h </w:instrText>
      </w:r>
      <w:r w:rsidR="008F7C96" w:rsidRPr="00733536">
        <w:fldChar w:fldCharType="separate"/>
      </w:r>
      <w:r w:rsidR="008F7C96" w:rsidRPr="00733536">
        <w:t>[11]</w:t>
      </w:r>
      <w:r w:rsidR="008F7C96" w:rsidRPr="00733536">
        <w:fldChar w:fldCharType="end"/>
      </w:r>
      <w:r w:rsidR="002923BD" w:rsidRPr="00733536">
        <w:t>,</w:t>
      </w:r>
      <w:r w:rsidR="00F12D34">
        <w:t xml:space="preserve"> </w:t>
      </w:r>
      <w:r w:rsidR="008F7C96" w:rsidRPr="00733536">
        <w:fldChar w:fldCharType="begin"/>
      </w:r>
      <w:r w:rsidR="008F7C96" w:rsidRPr="00733536">
        <w:instrText xml:space="preserve"> REF _Ref55223215 \r \h </w:instrText>
      </w:r>
      <w:r w:rsidR="008F7C96" w:rsidRPr="00733536">
        <w:fldChar w:fldCharType="separate"/>
      </w:r>
      <w:r w:rsidR="008F7C96" w:rsidRPr="00733536">
        <w:t>[30]</w:t>
      </w:r>
      <w:r w:rsidR="008F7C96" w:rsidRPr="00733536">
        <w:fldChar w:fldCharType="end"/>
      </w:r>
      <w:r w:rsidR="002923BD" w:rsidRPr="00733536">
        <w:t>,</w:t>
      </w:r>
      <w:r w:rsidR="00F12D34">
        <w:t xml:space="preserve"> </w:t>
      </w:r>
      <w:r w:rsidR="008F7C96" w:rsidRPr="00733536">
        <w:fldChar w:fldCharType="begin"/>
      </w:r>
      <w:r w:rsidR="008F7C96" w:rsidRPr="00733536">
        <w:instrText xml:space="preserve"> REF _Ref55223216 \r \h </w:instrText>
      </w:r>
      <w:r w:rsidR="008F7C96" w:rsidRPr="00733536">
        <w:fldChar w:fldCharType="separate"/>
      </w:r>
      <w:r w:rsidR="008F7C96" w:rsidRPr="00733536">
        <w:t>[31]</w:t>
      </w:r>
      <w:r w:rsidR="008F7C96" w:rsidRPr="00733536">
        <w:fldChar w:fldCharType="end"/>
      </w:r>
      <w:r w:rsidRPr="00733536">
        <w:t>.</w:t>
      </w:r>
    </w:p>
    <w:p w14:paraId="66227D9A" w14:textId="772F44B6" w:rsidR="00A34CF7" w:rsidRPr="00733536" w:rsidRDefault="004A0700" w:rsidP="004A0700">
      <w:r w:rsidRPr="00733536">
        <w:t>Up to the end of December 2018, the U</w:t>
      </w:r>
      <w:r w:rsidR="00F007A0" w:rsidRPr="00733536">
        <w:t>MRD</w:t>
      </w:r>
      <w:r w:rsidRPr="00733536">
        <w:t xml:space="preserve"> dataset contained a total of </w:t>
      </w:r>
      <w:r w:rsidR="00AF38B8" w:rsidRPr="00733536">
        <w:t>1</w:t>
      </w:r>
      <w:r w:rsidR="008D2FF2">
        <w:t>,</w:t>
      </w:r>
      <w:r w:rsidR="00AF38B8" w:rsidRPr="00733536">
        <w:t xml:space="preserve">279 </w:t>
      </w:r>
      <w:r w:rsidRPr="00733536">
        <w:t xml:space="preserve">instances of evidence regarding back-shoring decisions implemented </w:t>
      </w:r>
      <w:r w:rsidR="00AF38B8" w:rsidRPr="00733536">
        <w:t xml:space="preserve">at the </w:t>
      </w:r>
      <w:r w:rsidR="00AA0B93">
        <w:t>global</w:t>
      </w:r>
      <w:r w:rsidR="00AF38B8" w:rsidRPr="00733536">
        <w:t xml:space="preserve"> level. Among them, 814 are related to RSD</w:t>
      </w:r>
      <w:r w:rsidR="00AA0B93">
        <w:t xml:space="preserve"> decisions</w:t>
      </w:r>
      <w:r w:rsidR="00AF38B8" w:rsidRPr="00733536">
        <w:t xml:space="preserve"> implemented </w:t>
      </w:r>
      <w:r w:rsidRPr="00733536">
        <w:t xml:space="preserve">by European </w:t>
      </w:r>
      <w:r w:rsidR="009021D0" w:rsidRPr="00733536">
        <w:t>companies</w:t>
      </w:r>
      <w:r w:rsidR="00A34CF7" w:rsidRPr="00733536">
        <w:t>.</w:t>
      </w:r>
    </w:p>
    <w:p w14:paraId="54397175" w14:textId="77777777" w:rsidR="00100F6F" w:rsidRPr="00733536" w:rsidRDefault="004A0700" w:rsidP="00AF213F">
      <w:pPr>
        <w:pStyle w:val="Level1Title"/>
      </w:pPr>
      <w:r w:rsidRPr="00733536">
        <w:t xml:space="preserve">findings </w:t>
      </w:r>
    </w:p>
    <w:p w14:paraId="6236E568" w14:textId="083DC1CA" w:rsidR="00E363B7" w:rsidRPr="00733536" w:rsidRDefault="00E363B7" w:rsidP="00E363B7">
      <w:pPr>
        <w:pStyle w:val="Level2Title"/>
      </w:pPr>
      <w:r w:rsidRPr="00733536">
        <w:t>Findings from the extant literature</w:t>
      </w:r>
    </w:p>
    <w:p w14:paraId="32A91E56" w14:textId="040821B1" w:rsidR="00F007A0" w:rsidRPr="00733536" w:rsidRDefault="004B2E42" w:rsidP="00340C7C">
      <w:r>
        <w:t>An</w:t>
      </w:r>
      <w:r w:rsidR="004A0700" w:rsidRPr="00733536">
        <w:t xml:space="preserve"> analysis of the 115 sampled journal articles clearly shows that the relationship (if any) between Industry 4.0 technologies as a whole and back-shoring has been addressed by only four </w:t>
      </w:r>
      <w:r w:rsidR="004A0700" w:rsidRPr="00733536">
        <w:lastRenderedPageBreak/>
        <w:t xml:space="preserve">journal articles (namely, </w:t>
      </w:r>
      <w:r w:rsidR="008F7C96" w:rsidRPr="00733536">
        <w:fldChar w:fldCharType="begin"/>
      </w:r>
      <w:r w:rsidR="008F7C96" w:rsidRPr="00733536">
        <w:instrText xml:space="preserve"> REF _Ref55223195 \r \h </w:instrText>
      </w:r>
      <w:r w:rsidR="008F7C96" w:rsidRPr="00733536">
        <w:fldChar w:fldCharType="separate"/>
      </w:r>
      <w:r w:rsidR="008F7C96" w:rsidRPr="00733536">
        <w:t>[10]</w:t>
      </w:r>
      <w:r w:rsidR="008F7C96" w:rsidRPr="00733536">
        <w:fldChar w:fldCharType="end"/>
      </w:r>
      <w:r w:rsidR="002923BD" w:rsidRPr="00733536">
        <w:t>,</w:t>
      </w:r>
      <w:r w:rsidR="00F12D34">
        <w:t xml:space="preserve"> </w:t>
      </w:r>
      <w:r w:rsidR="008F7C96" w:rsidRPr="00733536">
        <w:fldChar w:fldCharType="begin"/>
      </w:r>
      <w:r w:rsidR="008F7C96" w:rsidRPr="00733536">
        <w:instrText xml:space="preserve"> REF _Ref55223196 \r \h </w:instrText>
      </w:r>
      <w:r w:rsidR="008F7C96" w:rsidRPr="00733536">
        <w:fldChar w:fldCharType="separate"/>
      </w:r>
      <w:r w:rsidR="008F7C96" w:rsidRPr="00733536">
        <w:t>[11]</w:t>
      </w:r>
      <w:r w:rsidR="008F7C96" w:rsidRPr="00733536">
        <w:fldChar w:fldCharType="end"/>
      </w:r>
      <w:r w:rsidR="002923BD" w:rsidRPr="00733536">
        <w:t>,</w:t>
      </w:r>
      <w:r w:rsidR="00F12D34">
        <w:t xml:space="preserve"> </w:t>
      </w:r>
      <w:r w:rsidR="008F7C96" w:rsidRPr="00733536">
        <w:fldChar w:fldCharType="begin"/>
      </w:r>
      <w:r w:rsidR="008F7C96" w:rsidRPr="00733536">
        <w:instrText xml:space="preserve"> REF _Ref55223208 \r \h </w:instrText>
      </w:r>
      <w:r w:rsidR="008F7C96" w:rsidRPr="00733536">
        <w:fldChar w:fldCharType="separate"/>
      </w:r>
      <w:r w:rsidR="008F7C96" w:rsidRPr="00733536">
        <w:t>[23]</w:t>
      </w:r>
      <w:r w:rsidR="008F7C96" w:rsidRPr="00733536">
        <w:fldChar w:fldCharType="end"/>
      </w:r>
      <w:r w:rsidR="002923BD" w:rsidRPr="00733536">
        <w:t>,</w:t>
      </w:r>
      <w:r w:rsidR="00F12D34">
        <w:t xml:space="preserve"> </w:t>
      </w:r>
      <w:r w:rsidR="008F7C96" w:rsidRPr="00733536">
        <w:fldChar w:fldCharType="begin"/>
      </w:r>
      <w:r w:rsidR="008F7C96" w:rsidRPr="00733536">
        <w:instrText xml:space="preserve"> REF _Ref55223220 \r \h </w:instrText>
      </w:r>
      <w:r w:rsidR="008F7C96" w:rsidRPr="00733536">
        <w:fldChar w:fldCharType="separate"/>
      </w:r>
      <w:r w:rsidR="008F7C96" w:rsidRPr="00733536">
        <w:t>[35]</w:t>
      </w:r>
      <w:r w:rsidR="008F7C96" w:rsidRPr="00733536">
        <w:fldChar w:fldCharType="end"/>
      </w:r>
      <w:r w:rsidR="004A0700" w:rsidRPr="00733536">
        <w:t xml:space="preserve">). However, wider attention has been given to </w:t>
      </w:r>
      <w:r w:rsidR="004B645C" w:rsidRPr="00733536">
        <w:t xml:space="preserve">some specific </w:t>
      </w:r>
      <w:r w:rsidR="004A0700" w:rsidRPr="00733536">
        <w:t>Industry 4.0 technologies</w:t>
      </w:r>
      <w:r w:rsidR="00E874B3">
        <w:t>, including</w:t>
      </w:r>
      <w:r w:rsidR="004B645C" w:rsidRPr="00733536">
        <w:t xml:space="preserve"> </w:t>
      </w:r>
      <w:r w:rsidR="004A0700" w:rsidRPr="00733536">
        <w:t>automation and three dimension (3D) printing/additive manufacturing (</w:t>
      </w:r>
      <w:r w:rsidR="00542406" w:rsidRPr="00733536">
        <w:fldChar w:fldCharType="begin"/>
      </w:r>
      <w:r w:rsidR="00542406" w:rsidRPr="00733536">
        <w:instrText xml:space="preserve"> REF _Ref55216651 \h </w:instrText>
      </w:r>
      <w:r w:rsidR="00542406" w:rsidRPr="00733536">
        <w:fldChar w:fldCharType="separate"/>
      </w:r>
      <w:r w:rsidR="008F7C96" w:rsidRPr="00733536">
        <w:rPr>
          <w:szCs w:val="20"/>
          <w:lang w:eastAsia="ko-KR"/>
        </w:rPr>
        <w:t xml:space="preserve">Table </w:t>
      </w:r>
      <w:r w:rsidR="008F7C96" w:rsidRPr="00733536">
        <w:rPr>
          <w:noProof/>
        </w:rPr>
        <w:t>1</w:t>
      </w:r>
      <w:r w:rsidR="00542406" w:rsidRPr="00733536">
        <w:fldChar w:fldCharType="end"/>
      </w:r>
      <w:r w:rsidR="004A0700" w:rsidRPr="00733536">
        <w:t>). More specifically, reshoring scholars have been increasingly conceptuali</w:t>
      </w:r>
      <w:r>
        <w:t>s</w:t>
      </w:r>
      <w:r w:rsidR="004A0700" w:rsidRPr="00733536">
        <w:t>ing automation as a back-shoring driver and/or an enabling factor since 2014</w:t>
      </w:r>
      <w:r w:rsidR="004B645C" w:rsidRPr="00733536">
        <w:t xml:space="preserve">. In the sampled literature, we found </w:t>
      </w:r>
      <w:r w:rsidR="004A0700" w:rsidRPr="00733536">
        <w:t xml:space="preserve">a total of 42 </w:t>
      </w:r>
      <w:r w:rsidR="004B645C" w:rsidRPr="00733536">
        <w:t xml:space="preserve">documents referring to </w:t>
      </w:r>
      <w:r>
        <w:t>this</w:t>
      </w:r>
      <w:r w:rsidR="004B645C" w:rsidRPr="00733536">
        <w:t xml:space="preserve"> issue</w:t>
      </w:r>
      <w:r w:rsidR="004A0700" w:rsidRPr="00733536">
        <w:t xml:space="preserve">. In contrast, attention on the role of additive manufacturing/3D printing technologies has </w:t>
      </w:r>
      <w:r w:rsidRPr="00733536">
        <w:t xml:space="preserve">only </w:t>
      </w:r>
      <w:r w:rsidR="004A0700" w:rsidRPr="00733536">
        <w:t>arisen in the last two years</w:t>
      </w:r>
      <w:r w:rsidR="004B645C" w:rsidRPr="00733536">
        <w:t xml:space="preserve"> (2018 and 2019)</w:t>
      </w:r>
      <w:r w:rsidR="004A0700" w:rsidRPr="00733536">
        <w:t xml:space="preserve">. This finding may be at least partially explained by the infancy of the additive manufacturing technologies </w:t>
      </w:r>
      <w:r w:rsidR="008F7C96" w:rsidRPr="00733536">
        <w:fldChar w:fldCharType="begin"/>
      </w:r>
      <w:r w:rsidR="008F7C96" w:rsidRPr="00733536">
        <w:instrText xml:space="preserve"> REF _Ref55223197 \r \h </w:instrText>
      </w:r>
      <w:r w:rsidR="008F7C96" w:rsidRPr="00733536">
        <w:fldChar w:fldCharType="separate"/>
      </w:r>
      <w:r w:rsidR="008F7C96" w:rsidRPr="00733536">
        <w:t>[12]</w:t>
      </w:r>
      <w:r w:rsidR="008F7C96" w:rsidRPr="00733536">
        <w:fldChar w:fldCharType="end"/>
      </w:r>
      <w:r w:rsidR="002923BD" w:rsidRPr="00733536">
        <w:t>,</w:t>
      </w:r>
      <w:r w:rsidR="00F12D34">
        <w:t xml:space="preserve"> </w:t>
      </w:r>
      <w:r w:rsidR="008F7C96" w:rsidRPr="00733536">
        <w:fldChar w:fldCharType="begin"/>
      </w:r>
      <w:r w:rsidR="008F7C96" w:rsidRPr="00733536">
        <w:instrText xml:space="preserve"> REF _Ref55223198 \r \h </w:instrText>
      </w:r>
      <w:r w:rsidR="008F7C96" w:rsidRPr="00733536">
        <w:fldChar w:fldCharType="separate"/>
      </w:r>
      <w:r w:rsidR="008F7C96" w:rsidRPr="00733536">
        <w:t>[13]</w:t>
      </w:r>
      <w:r w:rsidR="008F7C96" w:rsidRPr="00733536">
        <w:fldChar w:fldCharType="end"/>
      </w:r>
      <w:r w:rsidR="004A0700" w:rsidRPr="00733536">
        <w:t xml:space="preserve">. Finally, one contribution </w:t>
      </w:r>
      <w:r w:rsidR="008F7C96" w:rsidRPr="00733536">
        <w:fldChar w:fldCharType="begin"/>
      </w:r>
      <w:r w:rsidR="008F7C96" w:rsidRPr="00733536">
        <w:instrText xml:space="preserve"> REF _Ref55223195 \r \h </w:instrText>
      </w:r>
      <w:r w:rsidR="008F7C96" w:rsidRPr="00733536">
        <w:fldChar w:fldCharType="separate"/>
      </w:r>
      <w:r w:rsidR="008F7C96" w:rsidRPr="00733536">
        <w:t>[10]</w:t>
      </w:r>
      <w:r w:rsidR="008F7C96" w:rsidRPr="00733536">
        <w:fldChar w:fldCharType="end"/>
      </w:r>
      <w:r w:rsidR="00460068" w:rsidRPr="00733536">
        <w:t xml:space="preserve"> </w:t>
      </w:r>
      <w:r w:rsidR="004A0700" w:rsidRPr="00733536">
        <w:t xml:space="preserve">specifically refers to </w:t>
      </w:r>
      <w:r>
        <w:t>an</w:t>
      </w:r>
      <w:r w:rsidR="004A0700" w:rsidRPr="00733536">
        <w:t xml:space="preserve">other two Industry 4.0 technologies, sensors and simulation. At the same time, </w:t>
      </w:r>
      <w:r w:rsidR="008F7C96" w:rsidRPr="00733536">
        <w:fldChar w:fldCharType="begin"/>
      </w:r>
      <w:r w:rsidR="008F7C96" w:rsidRPr="00733536">
        <w:instrText xml:space="preserve"> REF _Ref55223196 \r \h </w:instrText>
      </w:r>
      <w:r w:rsidR="008F7C96" w:rsidRPr="00733536">
        <w:fldChar w:fldCharType="separate"/>
      </w:r>
      <w:r w:rsidR="008F7C96" w:rsidRPr="00733536">
        <w:t>[11]</w:t>
      </w:r>
      <w:r w:rsidR="008F7C96" w:rsidRPr="00733536">
        <w:fldChar w:fldCharType="end"/>
      </w:r>
      <w:r w:rsidR="00460068" w:rsidRPr="00733536">
        <w:t xml:space="preserve"> </w:t>
      </w:r>
      <w:r w:rsidR="004A0700" w:rsidRPr="00733536">
        <w:t xml:space="preserve">investigated the opportunity for adopting cyber physical systems to connect production and development and/or buyers and suppliers. </w:t>
      </w:r>
    </w:p>
    <w:p w14:paraId="50E37DB6" w14:textId="3E840C7C" w:rsidR="004A0700" w:rsidRPr="00733536" w:rsidRDefault="004A0700" w:rsidP="00340C7C">
      <w:r w:rsidRPr="00733536">
        <w:t xml:space="preserve">As far as production automation technology is concerned, the first evidence in the sampled journal articles is proposed by </w:t>
      </w:r>
      <w:r w:rsidR="008F7C96" w:rsidRPr="00733536">
        <w:fldChar w:fldCharType="begin"/>
      </w:r>
      <w:r w:rsidR="008F7C96" w:rsidRPr="00733536">
        <w:instrText xml:space="preserve"> REF _Ref55223221 \r \h </w:instrText>
      </w:r>
      <w:r w:rsidR="008F7C96" w:rsidRPr="00733536">
        <w:fldChar w:fldCharType="separate"/>
      </w:r>
      <w:r w:rsidR="008F7C96" w:rsidRPr="00733536">
        <w:t>[36]</w:t>
      </w:r>
      <w:r w:rsidR="008F7C96" w:rsidRPr="00733536">
        <w:fldChar w:fldCharType="end"/>
      </w:r>
      <w:r w:rsidR="004B2E42">
        <w:t>,</w:t>
      </w:r>
      <w:r w:rsidR="00460068" w:rsidRPr="00733536">
        <w:t xml:space="preserve"> </w:t>
      </w:r>
      <w:r w:rsidRPr="00733536">
        <w:t>who found that 47.5</w:t>
      </w:r>
      <w:r w:rsidR="009D56E3" w:rsidRPr="00733536">
        <w:t> </w:t>
      </w:r>
      <w:r w:rsidRPr="00733536">
        <w:t xml:space="preserve">% of Danish </w:t>
      </w:r>
      <w:r w:rsidR="004B2E42">
        <w:t>companies</w:t>
      </w:r>
      <w:r w:rsidRPr="00733536">
        <w:t xml:space="preserve"> </w:t>
      </w:r>
      <w:r w:rsidR="004B2E42">
        <w:t>that</w:t>
      </w:r>
      <w:r w:rsidRPr="00733536">
        <w:t xml:space="preserve"> off-shored production activities between 2009 and 2014 found the same activities could be back-shored as a result of the advances in automation. Similarly, </w:t>
      </w:r>
      <w:r w:rsidR="008F7C96" w:rsidRPr="00733536">
        <w:fldChar w:fldCharType="begin"/>
      </w:r>
      <w:r w:rsidR="008F7C96" w:rsidRPr="00733536">
        <w:instrText xml:space="preserve"> REF _Ref55223222 \r \h </w:instrText>
      </w:r>
      <w:r w:rsidR="008F7C96" w:rsidRPr="00733536">
        <w:fldChar w:fldCharType="separate"/>
      </w:r>
      <w:r w:rsidR="008F7C96" w:rsidRPr="00733536">
        <w:t>[37]</w:t>
      </w:r>
      <w:r w:rsidR="008F7C96" w:rsidRPr="00733536">
        <w:fldChar w:fldCharType="end"/>
      </w:r>
      <w:r w:rsidR="00E874B3">
        <w:t xml:space="preserve"> and </w:t>
      </w:r>
      <w:r w:rsidR="008F7C96" w:rsidRPr="00733536">
        <w:fldChar w:fldCharType="begin"/>
      </w:r>
      <w:r w:rsidR="008F7C96" w:rsidRPr="00733536">
        <w:instrText xml:space="preserve"> REF _Ref55223223 \r \h </w:instrText>
      </w:r>
      <w:r w:rsidR="008F7C96" w:rsidRPr="00733536">
        <w:fldChar w:fldCharType="separate"/>
      </w:r>
      <w:r w:rsidR="008F7C96" w:rsidRPr="00733536">
        <w:t>[38]</w:t>
      </w:r>
      <w:r w:rsidR="008F7C96" w:rsidRPr="00733536">
        <w:fldChar w:fldCharType="end"/>
      </w:r>
      <w:r w:rsidR="00460068" w:rsidRPr="00733536">
        <w:t xml:space="preserve"> </w:t>
      </w:r>
      <w:r w:rsidRPr="00733536">
        <w:t>found</w:t>
      </w:r>
      <w:r w:rsidR="004B2E42">
        <w:t>,</w:t>
      </w:r>
      <w:r w:rsidRPr="00733536">
        <w:t xml:space="preserve"> in a sample of Danish, Finnish and Swedish companies</w:t>
      </w:r>
      <w:r w:rsidR="004B2E42">
        <w:t>,</w:t>
      </w:r>
      <w:r w:rsidRPr="00733536">
        <w:t xml:space="preserve"> that access to technology (including production automation) is one of the </w:t>
      </w:r>
      <w:r w:rsidR="004B2E42">
        <w:t>‘</w:t>
      </w:r>
      <w:r w:rsidRPr="00733536">
        <w:t>significantly more important drivers for back-shoring than for off-shoring (</w:t>
      </w:r>
      <w:r w:rsidRPr="00733536">
        <w:rPr>
          <w:i/>
        </w:rPr>
        <w:t>p</w:t>
      </w:r>
      <w:r w:rsidRPr="00733536">
        <w:t xml:space="preserve"> ≤ 0.001)</w:t>
      </w:r>
      <w:r w:rsidR="004B2E42">
        <w:t>’</w:t>
      </w:r>
      <w:r w:rsidRPr="00733536">
        <w:t xml:space="preserve"> </w:t>
      </w:r>
      <w:r w:rsidR="008F7C96" w:rsidRPr="00733536">
        <w:fldChar w:fldCharType="begin"/>
      </w:r>
      <w:r w:rsidR="008F7C96" w:rsidRPr="00733536">
        <w:instrText xml:space="preserve"> REF _Ref55223223 \r \h </w:instrText>
      </w:r>
      <w:r w:rsidR="008F7C96" w:rsidRPr="00733536">
        <w:fldChar w:fldCharType="separate"/>
      </w:r>
      <w:r w:rsidR="008F7C96" w:rsidRPr="00733536">
        <w:t>[38]</w:t>
      </w:r>
      <w:r w:rsidR="008F7C96" w:rsidRPr="00733536">
        <w:fldChar w:fldCharType="end"/>
      </w:r>
      <w:r w:rsidRPr="00733536">
        <w:t xml:space="preserve">. Moreover, </w:t>
      </w:r>
      <w:r w:rsidR="008F7C96" w:rsidRPr="00733536">
        <w:fldChar w:fldCharType="begin"/>
      </w:r>
      <w:r w:rsidR="008F7C96" w:rsidRPr="00733536">
        <w:instrText xml:space="preserve"> REF _Ref55223224 \r \h </w:instrText>
      </w:r>
      <w:r w:rsidR="008F7C96" w:rsidRPr="00733536">
        <w:fldChar w:fldCharType="separate"/>
      </w:r>
      <w:r w:rsidR="008F7C96" w:rsidRPr="00733536">
        <w:t>[39]</w:t>
      </w:r>
      <w:r w:rsidR="008F7C96" w:rsidRPr="00733536">
        <w:fldChar w:fldCharType="end"/>
      </w:r>
      <w:r w:rsidR="00E874B3">
        <w:t xml:space="preserve"> and </w:t>
      </w:r>
      <w:r w:rsidR="008F7C96" w:rsidRPr="00733536">
        <w:fldChar w:fldCharType="begin"/>
      </w:r>
      <w:r w:rsidR="008F7C96" w:rsidRPr="00733536">
        <w:instrText xml:space="preserve"> REF _Ref55223225 \r \h </w:instrText>
      </w:r>
      <w:r w:rsidR="008F7C96" w:rsidRPr="00733536">
        <w:fldChar w:fldCharType="separate"/>
      </w:r>
      <w:r w:rsidR="008F7C96" w:rsidRPr="00733536">
        <w:t>[40]</w:t>
      </w:r>
      <w:r w:rsidR="008F7C96" w:rsidRPr="00733536">
        <w:fldChar w:fldCharType="end"/>
      </w:r>
      <w:r w:rsidR="00460068" w:rsidRPr="00733536">
        <w:t xml:space="preserve"> </w:t>
      </w:r>
      <w:r w:rsidRPr="00733536">
        <w:t>found, on the basis of a Swedish sample, that companies that ha</w:t>
      </w:r>
      <w:r w:rsidR="004B2E42">
        <w:t>d</w:t>
      </w:r>
      <w:r w:rsidRPr="00733536">
        <w:t xml:space="preserve"> both off- and back-shored during the investigated period considered </w:t>
      </w:r>
      <w:commentRangeStart w:id="9"/>
      <w:r w:rsidRPr="00733536">
        <w:t xml:space="preserve">access to technology </w:t>
      </w:r>
      <w:r w:rsidR="004B2E42">
        <w:t xml:space="preserve">to be </w:t>
      </w:r>
      <w:r w:rsidR="008D2FF2">
        <w:t>of</w:t>
      </w:r>
      <w:r w:rsidRPr="00733536">
        <w:t xml:space="preserve"> a slightly lower level </w:t>
      </w:r>
      <w:r w:rsidR="004B2E42">
        <w:t xml:space="preserve">of importance </w:t>
      </w:r>
      <w:commentRangeEnd w:id="9"/>
      <w:r w:rsidR="004B2E42">
        <w:rPr>
          <w:rStyle w:val="CommentReference"/>
          <w:rFonts w:asciiTheme="minorHAnsi" w:eastAsiaTheme="minorEastAsia" w:hAnsiTheme="minorHAnsi" w:cstheme="minorBidi"/>
          <w:lang w:val="it-IT" w:eastAsia="ko-KR"/>
        </w:rPr>
        <w:commentReference w:id="9"/>
      </w:r>
      <w:r w:rsidRPr="00733536">
        <w:t xml:space="preserve">than companies implementing only back-shoring strategies. Finally, in their qualitative study, </w:t>
      </w:r>
      <w:r w:rsidR="008F7C96" w:rsidRPr="00733536">
        <w:fldChar w:fldCharType="begin"/>
      </w:r>
      <w:r w:rsidR="008F7C96" w:rsidRPr="00733536">
        <w:instrText xml:space="preserve"> REF _Ref55223213 \r \h </w:instrText>
      </w:r>
      <w:r w:rsidR="008F7C96" w:rsidRPr="00733536">
        <w:fldChar w:fldCharType="separate"/>
      </w:r>
      <w:r w:rsidR="008F7C96" w:rsidRPr="00733536">
        <w:t>[28]</w:t>
      </w:r>
      <w:r w:rsidR="008F7C96" w:rsidRPr="00733536">
        <w:fldChar w:fldCharType="end"/>
      </w:r>
      <w:r w:rsidR="00460068" w:rsidRPr="00733536">
        <w:t xml:space="preserve"> </w:t>
      </w:r>
      <w:r w:rsidRPr="00733536">
        <w:t xml:space="preserve">found that several companies decided to back-shore in Sweden </w:t>
      </w:r>
      <w:r w:rsidR="00407BA9">
        <w:t>due to</w:t>
      </w:r>
      <w:r w:rsidRPr="00733536">
        <w:t xml:space="preserve"> the benefits offered by production automation. However, the huge contribution of such an enabling technology to the relocation of manufacturing activities in the home Nordic countries seems to be questioned by scholars who investigated other geographic areas. For instance, </w:t>
      </w:r>
      <w:r w:rsidR="008F7C96" w:rsidRPr="00733536">
        <w:fldChar w:fldCharType="begin"/>
      </w:r>
      <w:r w:rsidR="008F7C96" w:rsidRPr="00733536">
        <w:instrText xml:space="preserve"> REF _Ref55223195 \r \h </w:instrText>
      </w:r>
      <w:r w:rsidR="008F7C96" w:rsidRPr="00733536">
        <w:fldChar w:fldCharType="separate"/>
      </w:r>
      <w:r w:rsidR="008F7C96" w:rsidRPr="00733536">
        <w:t>[10]</w:t>
      </w:r>
      <w:r w:rsidR="008F7C96" w:rsidRPr="00733536">
        <w:fldChar w:fldCharType="end"/>
      </w:r>
      <w:r w:rsidR="00460068" w:rsidRPr="00733536">
        <w:t xml:space="preserve"> </w:t>
      </w:r>
      <w:r w:rsidRPr="00733536">
        <w:t>point out that only 13.6</w:t>
      </w:r>
      <w:r w:rsidR="009D56E3" w:rsidRPr="00733536">
        <w:t> </w:t>
      </w:r>
      <w:r w:rsidRPr="00733536">
        <w:t xml:space="preserve">% of the 840 back-shoring decisions </w:t>
      </w:r>
      <w:r w:rsidR="00407BA9">
        <w:t>made by</w:t>
      </w:r>
      <w:r w:rsidRPr="00733536">
        <w:t xml:space="preserve"> </w:t>
      </w:r>
      <w:r w:rsidR="00407BA9">
        <w:t xml:space="preserve">the </w:t>
      </w:r>
      <w:r w:rsidRPr="00733536">
        <w:t xml:space="preserve">EU and US companies they analysed specifically declared at least one of the Industry 4.0 technologies as a relocation driver. At the same time, </w:t>
      </w:r>
      <w:r w:rsidR="008F7C96" w:rsidRPr="00733536">
        <w:fldChar w:fldCharType="begin"/>
      </w:r>
      <w:r w:rsidR="008F7C96" w:rsidRPr="00733536">
        <w:instrText xml:space="preserve"> REF _Ref55223226 \r \h </w:instrText>
      </w:r>
      <w:r w:rsidR="008F7C96" w:rsidRPr="00733536">
        <w:fldChar w:fldCharType="separate"/>
      </w:r>
      <w:r w:rsidR="008F7C96" w:rsidRPr="00733536">
        <w:t>[41]</w:t>
      </w:r>
      <w:r w:rsidR="008F7C96" w:rsidRPr="00733536">
        <w:fldChar w:fldCharType="end"/>
      </w:r>
      <w:r w:rsidR="00460068" w:rsidRPr="00733536">
        <w:t xml:space="preserve"> </w:t>
      </w:r>
      <w:r w:rsidRPr="00733536">
        <w:t>found that robotics h</w:t>
      </w:r>
      <w:r w:rsidR="00B5710F" w:rsidRPr="00733536">
        <w:t>as</w:t>
      </w:r>
      <w:r w:rsidRPr="00733536">
        <w:t xml:space="preserve"> a negative impact on off-shoring decisions (at least for companies located in developed countries)</w:t>
      </w:r>
      <w:r w:rsidR="008D2FF2">
        <w:t>,</w:t>
      </w:r>
      <w:r w:rsidRPr="00733536">
        <w:t xml:space="preserve"> but</w:t>
      </w:r>
      <w:r w:rsidR="008D2FF2">
        <w:t xml:space="preserve"> it</w:t>
      </w:r>
      <w:r w:rsidRPr="00733536">
        <w:t xml:space="preserve"> do</w:t>
      </w:r>
      <w:r w:rsidR="008D2FF2">
        <w:t>es</w:t>
      </w:r>
      <w:r w:rsidRPr="00733536">
        <w:t xml:space="preserve"> not yet trigger back-shoring decisions.</w:t>
      </w:r>
    </w:p>
    <w:p w14:paraId="207839C6" w14:textId="59985439" w:rsidR="00BD3A80" w:rsidRPr="00733536" w:rsidRDefault="004A0700" w:rsidP="00340C7C">
      <w:r w:rsidRPr="00733536">
        <w:t xml:space="preserve">Production automation has usually been seen as a driver for relocation to the home country since it </w:t>
      </w:r>
      <w:commentRangeStart w:id="10"/>
      <w:r w:rsidR="004549A8">
        <w:rPr>
          <w:i/>
        </w:rPr>
        <w:t>‘</w:t>
      </w:r>
      <w:r w:rsidRPr="00733536">
        <w:rPr>
          <w:i/>
        </w:rPr>
        <w:t>reduces importance of low labor cost as one can compensate the cost with increasing productivity</w:t>
      </w:r>
      <w:r w:rsidR="004549A8">
        <w:rPr>
          <w:i/>
        </w:rPr>
        <w:t>’</w:t>
      </w:r>
      <w:r w:rsidRPr="00733536">
        <w:rPr>
          <w:i/>
        </w:rPr>
        <w:t xml:space="preserve"> </w:t>
      </w:r>
      <w:commentRangeEnd w:id="10"/>
      <w:r w:rsidR="00407BA9">
        <w:rPr>
          <w:rStyle w:val="CommentReference"/>
          <w:rFonts w:asciiTheme="minorHAnsi" w:eastAsiaTheme="minorEastAsia" w:hAnsiTheme="minorHAnsi" w:cstheme="minorBidi"/>
          <w:lang w:val="it-IT" w:eastAsia="ko-KR"/>
        </w:rPr>
        <w:commentReference w:id="10"/>
      </w:r>
      <w:r w:rsidR="008F7C96" w:rsidRPr="00733536">
        <w:rPr>
          <w:iCs/>
        </w:rPr>
        <w:fldChar w:fldCharType="begin"/>
      </w:r>
      <w:r w:rsidR="008F7C96" w:rsidRPr="00733536">
        <w:rPr>
          <w:i/>
        </w:rPr>
        <w:instrText xml:space="preserve"> REF _Ref55223227 \r \h </w:instrText>
      </w:r>
      <w:r w:rsidR="00407BA9">
        <w:rPr>
          <w:iCs/>
        </w:rPr>
        <w:instrText xml:space="preserve"> \* MERGEFORMAT </w:instrText>
      </w:r>
      <w:r w:rsidR="008F7C96" w:rsidRPr="00733536">
        <w:rPr>
          <w:iCs/>
        </w:rPr>
      </w:r>
      <w:r w:rsidR="008F7C96" w:rsidRPr="00733536">
        <w:rPr>
          <w:iCs/>
        </w:rPr>
        <w:fldChar w:fldCharType="separate"/>
      </w:r>
      <w:r w:rsidR="008F7C96" w:rsidRPr="00407BA9">
        <w:rPr>
          <w:iCs/>
        </w:rPr>
        <w:t>[42]</w:t>
      </w:r>
      <w:r w:rsidR="008F7C96" w:rsidRPr="00733536">
        <w:rPr>
          <w:iCs/>
        </w:rPr>
        <w:fldChar w:fldCharType="end"/>
      </w:r>
      <w:r w:rsidRPr="00733536">
        <w:t>. This, in turn</w:t>
      </w:r>
      <w:r w:rsidR="00407BA9">
        <w:t>,</w:t>
      </w:r>
      <w:r w:rsidRPr="00733536">
        <w:t xml:space="preserve"> </w:t>
      </w:r>
      <w:r w:rsidR="004549A8">
        <w:rPr>
          <w:i/>
        </w:rPr>
        <w:t>‘</w:t>
      </w:r>
      <w:r w:rsidRPr="00733536">
        <w:rPr>
          <w:i/>
        </w:rPr>
        <w:t>makes it more viable to produce in high cost environments</w:t>
      </w:r>
      <w:r w:rsidR="004549A8">
        <w:rPr>
          <w:i/>
        </w:rPr>
        <w:t>’</w:t>
      </w:r>
      <w:r w:rsidRPr="00733536">
        <w:rPr>
          <w:i/>
        </w:rPr>
        <w:t xml:space="preserve"> </w:t>
      </w:r>
      <w:r w:rsidR="008F7C96" w:rsidRPr="00407BA9">
        <w:rPr>
          <w:iCs/>
        </w:rPr>
        <w:fldChar w:fldCharType="begin"/>
      </w:r>
      <w:r w:rsidR="008F7C96" w:rsidRPr="00407BA9">
        <w:rPr>
          <w:iCs/>
        </w:rPr>
        <w:instrText xml:space="preserve"> REF _Ref55223211 \r \h </w:instrText>
      </w:r>
      <w:r w:rsidR="00407BA9" w:rsidRPr="00407BA9">
        <w:rPr>
          <w:iCs/>
        </w:rPr>
        <w:instrText xml:space="preserve"> \* MERGEFORMAT </w:instrText>
      </w:r>
      <w:r w:rsidR="008F7C96" w:rsidRPr="00407BA9">
        <w:rPr>
          <w:iCs/>
        </w:rPr>
      </w:r>
      <w:r w:rsidR="008F7C96" w:rsidRPr="00407BA9">
        <w:rPr>
          <w:iCs/>
        </w:rPr>
        <w:fldChar w:fldCharType="separate"/>
      </w:r>
      <w:r w:rsidR="008F7C96" w:rsidRPr="00407BA9">
        <w:rPr>
          <w:iCs/>
        </w:rPr>
        <w:t>[26]</w:t>
      </w:r>
      <w:r w:rsidR="008F7C96" w:rsidRPr="00407BA9">
        <w:rPr>
          <w:iCs/>
        </w:rPr>
        <w:fldChar w:fldCharType="end"/>
      </w:r>
      <w:r w:rsidRPr="00733536">
        <w:t xml:space="preserve">. Another benefit offered by production automation is regarding the reduction of costs in order to implement a flexible production system </w:t>
      </w:r>
      <w:r w:rsidR="008F7C96" w:rsidRPr="00733536">
        <w:fldChar w:fldCharType="begin"/>
      </w:r>
      <w:r w:rsidR="008F7C96" w:rsidRPr="00733536">
        <w:instrText xml:space="preserve"> REF _Ref55223228 \r \h </w:instrText>
      </w:r>
      <w:r w:rsidR="008F7C96" w:rsidRPr="00733536">
        <w:fldChar w:fldCharType="separate"/>
      </w:r>
      <w:r w:rsidR="008F7C96" w:rsidRPr="00733536">
        <w:t>[43]</w:t>
      </w:r>
      <w:r w:rsidR="008F7C96" w:rsidRPr="00733536">
        <w:fldChar w:fldCharType="end"/>
      </w:r>
      <w:r w:rsidR="005A1E28">
        <w:t>,</w:t>
      </w:r>
      <w:r w:rsidR="00460068" w:rsidRPr="00733536">
        <w:t xml:space="preserve"> </w:t>
      </w:r>
      <w:r w:rsidRPr="00733536">
        <w:t xml:space="preserve">allowing </w:t>
      </w:r>
      <w:r w:rsidR="005A1E28">
        <w:t>companies</w:t>
      </w:r>
      <w:r w:rsidRPr="00733536">
        <w:t xml:space="preserve"> to customi</w:t>
      </w:r>
      <w:r w:rsidR="005A1E28">
        <w:t>s</w:t>
      </w:r>
      <w:r w:rsidRPr="00733536">
        <w:t xml:space="preserve">e products for different customers’ targets and, in turn, improve </w:t>
      </w:r>
      <w:r w:rsidR="005A1E28">
        <w:t>companies’</w:t>
      </w:r>
      <w:r w:rsidRPr="00733536">
        <w:t xml:space="preserve"> responsiveness </w:t>
      </w:r>
      <w:r w:rsidR="008F7C96" w:rsidRPr="00733536">
        <w:fldChar w:fldCharType="begin"/>
      </w:r>
      <w:r w:rsidR="008F7C96" w:rsidRPr="00733536">
        <w:instrText xml:space="preserve"> REF _Ref55223199 \r \h </w:instrText>
      </w:r>
      <w:r w:rsidR="008F7C96" w:rsidRPr="00733536">
        <w:fldChar w:fldCharType="separate"/>
      </w:r>
      <w:r w:rsidR="008F7C96" w:rsidRPr="00733536">
        <w:t>[14]</w:t>
      </w:r>
      <w:r w:rsidR="008F7C96" w:rsidRPr="00733536">
        <w:fldChar w:fldCharType="end"/>
      </w:r>
      <w:r w:rsidR="005766AA" w:rsidRPr="00733536">
        <w:t xml:space="preserve">. </w:t>
      </w:r>
      <w:r w:rsidRPr="00733536">
        <w:t xml:space="preserve">Based on this, </w:t>
      </w:r>
      <w:r w:rsidR="008F7C96" w:rsidRPr="00733536">
        <w:fldChar w:fldCharType="begin"/>
      </w:r>
      <w:r w:rsidR="008F7C96" w:rsidRPr="00733536">
        <w:instrText xml:space="preserve"> REF _Ref55223195 \r \h </w:instrText>
      </w:r>
      <w:r w:rsidR="008F7C96" w:rsidRPr="00733536">
        <w:fldChar w:fldCharType="separate"/>
      </w:r>
      <w:r w:rsidR="008F7C96" w:rsidRPr="00733536">
        <w:t>[10]</w:t>
      </w:r>
      <w:r w:rsidR="008F7C96" w:rsidRPr="00733536">
        <w:fldChar w:fldCharType="end"/>
      </w:r>
      <w:r w:rsidR="00323B92" w:rsidRPr="00733536">
        <w:t xml:space="preserve"> </w:t>
      </w:r>
      <w:r w:rsidRPr="00733536">
        <w:t>state that production automation may support two types of back-reshoring strateg</w:t>
      </w:r>
      <w:r w:rsidR="005A1E28">
        <w:t>y</w:t>
      </w:r>
      <w:r w:rsidR="000A30CA">
        <w:t>:</w:t>
      </w:r>
      <w:r w:rsidR="005A1E28">
        <w:t xml:space="preserve"> ‘</w:t>
      </w:r>
      <w:r w:rsidRPr="00733536">
        <w:t>cost-oriented</w:t>
      </w:r>
      <w:r w:rsidR="005A1E28">
        <w:t>’</w:t>
      </w:r>
      <w:r w:rsidRPr="00733536">
        <w:t xml:space="preserve"> (i.e. relocation aimed at reducing production and logistics costs) and </w:t>
      </w:r>
      <w:r w:rsidR="005A1E28">
        <w:t>‘</w:t>
      </w:r>
      <w:r w:rsidRPr="00733536">
        <w:t>flexibility-oriented</w:t>
      </w:r>
      <w:r w:rsidR="005A1E28">
        <w:t>’</w:t>
      </w:r>
      <w:r w:rsidRPr="00733536">
        <w:t xml:space="preserve"> (aimed at improving a </w:t>
      </w:r>
      <w:r w:rsidR="005A1E28">
        <w:t>company’s</w:t>
      </w:r>
      <w:r w:rsidRPr="00733536">
        <w:t xml:space="preserve"> responsiveness to customer needs). </w:t>
      </w:r>
    </w:p>
    <w:p w14:paraId="7AFDACF2" w14:textId="680DBC20" w:rsidR="00CE18B6" w:rsidRPr="00733536" w:rsidRDefault="00CE18B6" w:rsidP="00CE18B6">
      <w:pPr>
        <w:pStyle w:val="FigureCaption"/>
        <w:framePr w:w="4961" w:vSpace="284" w:wrap="notBeside" w:hAnchor="margin" w:xAlign="right" w:yAlign="top"/>
        <w:spacing w:before="0" w:after="120"/>
      </w:pPr>
      <w:bookmarkStart w:id="11" w:name="_Ref55216651"/>
      <w:r w:rsidRPr="00733536">
        <w:rPr>
          <w:szCs w:val="20"/>
          <w:lang w:eastAsia="ko-KR"/>
        </w:rPr>
        <w:t xml:space="preserve">Table </w:t>
      </w:r>
      <w:r w:rsidRPr="00733536">
        <w:fldChar w:fldCharType="begin"/>
      </w:r>
      <w:r w:rsidRPr="00733536">
        <w:instrText xml:space="preserve"> SEQ Table \* ARABIC </w:instrText>
      </w:r>
      <w:r w:rsidRPr="00733536">
        <w:fldChar w:fldCharType="separate"/>
      </w:r>
      <w:r w:rsidR="008F7C96" w:rsidRPr="00733536">
        <w:rPr>
          <w:noProof/>
        </w:rPr>
        <w:t>1</w:t>
      </w:r>
      <w:r w:rsidRPr="00733536">
        <w:fldChar w:fldCharType="end"/>
      </w:r>
      <w:bookmarkEnd w:id="11"/>
      <w:r w:rsidRPr="00733536">
        <w:rPr>
          <w:szCs w:val="20"/>
          <w:lang w:eastAsia="ko-KR"/>
        </w:rPr>
        <w:t xml:space="preserve">. </w:t>
      </w:r>
      <w:r w:rsidRPr="00733536">
        <w:rPr>
          <w:rFonts w:asciiTheme="minorHAnsi" w:hAnsiTheme="minorHAnsi" w:cstheme="minorHAnsi"/>
          <w:szCs w:val="16"/>
        </w:rPr>
        <w:t>Breakdown of sample articles by year and article content</w:t>
      </w:r>
      <w:r w:rsidRPr="00733536">
        <w:t>.</w:t>
      </w:r>
    </w:p>
    <w:p w14:paraId="3B005027" w14:textId="43E3F0CA" w:rsidR="00CE18B6" w:rsidRPr="00733536" w:rsidRDefault="00CE18B6" w:rsidP="00CE18B6">
      <w:pPr>
        <w:framePr w:w="4961" w:vSpace="284" w:wrap="notBeside" w:hAnchor="margin" w:xAlign="right" w:yAlign="top"/>
        <w:spacing w:before="120"/>
        <w:ind w:firstLine="0"/>
        <w:rPr>
          <w:rFonts w:asciiTheme="minorHAnsi" w:hAnsiTheme="minorHAnsi" w:cstheme="minorHAnsi"/>
          <w:sz w:val="16"/>
          <w:szCs w:val="16"/>
        </w:rPr>
      </w:pPr>
      <w:r w:rsidRPr="00733536">
        <w:rPr>
          <w:rFonts w:asciiTheme="minorHAnsi" w:hAnsiTheme="minorHAnsi" w:cstheme="minorHAnsi"/>
          <w:sz w:val="16"/>
          <w:szCs w:val="16"/>
        </w:rPr>
        <w:t xml:space="preserve">A Published articles; B Production automation; C Additive manufacturing; </w:t>
      </w:r>
      <w:r w:rsidRPr="00733536">
        <w:rPr>
          <w:rFonts w:asciiTheme="minorHAnsi" w:hAnsiTheme="minorHAnsi" w:cstheme="minorHAnsi"/>
          <w:sz w:val="16"/>
          <w:szCs w:val="16"/>
        </w:rPr>
        <w:br/>
        <w:t>D Sensor; E Simulation; F Cyber physical systems; G I</w:t>
      </w:r>
      <w:r w:rsidR="007D0FAA">
        <w:rPr>
          <w:rFonts w:asciiTheme="minorHAnsi" w:hAnsiTheme="minorHAnsi" w:cstheme="minorHAnsi"/>
          <w:sz w:val="16"/>
          <w:szCs w:val="16"/>
        </w:rPr>
        <w:t xml:space="preserve">ndustry </w:t>
      </w:r>
      <w:r w:rsidRPr="00733536">
        <w:rPr>
          <w:rFonts w:asciiTheme="minorHAnsi" w:hAnsiTheme="minorHAnsi" w:cstheme="minorHAnsi"/>
          <w:sz w:val="16"/>
          <w:szCs w:val="16"/>
        </w:rPr>
        <w:t xml:space="preserve">4.0 impact on back-shoring </w:t>
      </w:r>
    </w:p>
    <w:tbl>
      <w:tblPr>
        <w:tblW w:w="5000" w:type="pct"/>
        <w:jc w:val="center"/>
        <w:tblLayout w:type="fixed"/>
        <w:tblCellMar>
          <w:left w:w="0" w:type="dxa"/>
          <w:right w:w="0" w:type="dxa"/>
        </w:tblCellMar>
        <w:tblLook w:val="04A0" w:firstRow="1" w:lastRow="0" w:firstColumn="1" w:lastColumn="0" w:noHBand="0" w:noVBand="1"/>
      </w:tblPr>
      <w:tblGrid>
        <w:gridCol w:w="887"/>
        <w:gridCol w:w="582"/>
        <w:gridCol w:w="582"/>
        <w:gridCol w:w="582"/>
        <w:gridCol w:w="582"/>
        <w:gridCol w:w="582"/>
        <w:gridCol w:w="582"/>
        <w:gridCol w:w="582"/>
      </w:tblGrid>
      <w:tr w:rsidR="00CE18B6" w:rsidRPr="00733536" w14:paraId="21B1C925" w14:textId="77777777" w:rsidTr="00CE18B6">
        <w:trPr>
          <w:trHeight w:val="283"/>
          <w:jc w:val="center"/>
        </w:trPr>
        <w:tc>
          <w:tcPr>
            <w:tcW w:w="907" w:type="dxa"/>
            <w:tcBorders>
              <w:top w:val="single" w:sz="4" w:space="0" w:color="auto"/>
              <w:left w:val="nil"/>
              <w:bottom w:val="single" w:sz="4" w:space="0" w:color="auto"/>
              <w:right w:val="nil"/>
            </w:tcBorders>
            <w:shd w:val="clear" w:color="auto" w:fill="auto"/>
            <w:noWrap/>
            <w:vAlign w:val="center"/>
            <w:hideMark/>
          </w:tcPr>
          <w:p w14:paraId="74998E84" w14:textId="77777777" w:rsidR="00CE18B6" w:rsidRPr="00733536" w:rsidRDefault="00CE18B6" w:rsidP="00CE18B6">
            <w:pPr>
              <w:framePr w:w="4961" w:vSpace="284" w:wrap="notBeside" w:hAnchor="margin" w:xAlign="right" w:yAlign="top"/>
              <w:ind w:firstLine="0"/>
              <w:jc w:val="center"/>
              <w:rPr>
                <w:rFonts w:ascii="Calibri" w:hAnsi="Calibri"/>
                <w:b/>
                <w:color w:val="000000"/>
                <w:sz w:val="16"/>
                <w:szCs w:val="16"/>
                <w:lang w:eastAsia="ko-KR"/>
              </w:rPr>
            </w:pPr>
            <w:r w:rsidRPr="00733536">
              <w:rPr>
                <w:rFonts w:ascii="Calibri" w:hAnsi="Calibri"/>
                <w:b/>
                <w:color w:val="000000"/>
                <w:sz w:val="16"/>
                <w:szCs w:val="16"/>
                <w:lang w:eastAsia="ko-KR"/>
              </w:rPr>
              <w:t>Year</w:t>
            </w:r>
          </w:p>
        </w:tc>
        <w:tc>
          <w:tcPr>
            <w:tcW w:w="595" w:type="dxa"/>
            <w:tcBorders>
              <w:top w:val="single" w:sz="4" w:space="0" w:color="auto"/>
              <w:left w:val="nil"/>
              <w:bottom w:val="single" w:sz="4" w:space="0" w:color="auto"/>
              <w:right w:val="nil"/>
            </w:tcBorders>
            <w:shd w:val="clear" w:color="auto" w:fill="auto"/>
            <w:noWrap/>
            <w:vAlign w:val="center"/>
            <w:hideMark/>
          </w:tcPr>
          <w:p w14:paraId="41FD4940" w14:textId="77777777" w:rsidR="00CE18B6" w:rsidRPr="00733536" w:rsidRDefault="00CE18B6" w:rsidP="00CE18B6">
            <w:pPr>
              <w:framePr w:w="4961" w:vSpace="284" w:wrap="notBeside" w:hAnchor="margin" w:xAlign="right" w:yAlign="top"/>
              <w:ind w:firstLine="0"/>
              <w:jc w:val="center"/>
              <w:rPr>
                <w:rFonts w:ascii="Calibri" w:hAnsi="Calibri"/>
                <w:b/>
                <w:color w:val="000000"/>
                <w:sz w:val="16"/>
                <w:szCs w:val="16"/>
                <w:lang w:eastAsia="ko-KR"/>
              </w:rPr>
            </w:pPr>
            <w:r w:rsidRPr="00733536">
              <w:rPr>
                <w:rFonts w:ascii="Calibri" w:hAnsi="Calibri"/>
                <w:b/>
                <w:color w:val="000000"/>
                <w:sz w:val="16"/>
                <w:szCs w:val="16"/>
                <w:lang w:eastAsia="ko-KR"/>
              </w:rPr>
              <w:t>A</w:t>
            </w:r>
          </w:p>
        </w:tc>
        <w:tc>
          <w:tcPr>
            <w:tcW w:w="596" w:type="dxa"/>
            <w:tcBorders>
              <w:top w:val="single" w:sz="4" w:space="0" w:color="auto"/>
              <w:left w:val="nil"/>
              <w:bottom w:val="single" w:sz="4" w:space="0" w:color="auto"/>
              <w:right w:val="nil"/>
            </w:tcBorders>
            <w:shd w:val="clear" w:color="auto" w:fill="auto"/>
            <w:noWrap/>
            <w:vAlign w:val="center"/>
            <w:hideMark/>
          </w:tcPr>
          <w:p w14:paraId="2CEFFA49" w14:textId="77777777" w:rsidR="00CE18B6" w:rsidRPr="00733536" w:rsidRDefault="00CE18B6" w:rsidP="00CE18B6">
            <w:pPr>
              <w:framePr w:w="4961" w:vSpace="284" w:wrap="notBeside" w:hAnchor="margin" w:xAlign="right" w:yAlign="top"/>
              <w:ind w:firstLine="0"/>
              <w:jc w:val="center"/>
              <w:rPr>
                <w:rFonts w:ascii="Calibri" w:hAnsi="Calibri"/>
                <w:b/>
                <w:color w:val="000000"/>
                <w:sz w:val="16"/>
                <w:szCs w:val="16"/>
                <w:lang w:eastAsia="ko-KR"/>
              </w:rPr>
            </w:pPr>
            <w:r w:rsidRPr="00733536">
              <w:rPr>
                <w:rFonts w:ascii="Calibri" w:hAnsi="Calibri"/>
                <w:b/>
                <w:color w:val="000000"/>
                <w:sz w:val="16"/>
                <w:szCs w:val="16"/>
                <w:lang w:eastAsia="ko-KR"/>
              </w:rPr>
              <w:t>B</w:t>
            </w:r>
          </w:p>
        </w:tc>
        <w:tc>
          <w:tcPr>
            <w:tcW w:w="596" w:type="dxa"/>
            <w:tcBorders>
              <w:top w:val="single" w:sz="4" w:space="0" w:color="auto"/>
              <w:left w:val="nil"/>
              <w:bottom w:val="single" w:sz="4" w:space="0" w:color="auto"/>
              <w:right w:val="nil"/>
            </w:tcBorders>
            <w:shd w:val="clear" w:color="auto" w:fill="auto"/>
            <w:noWrap/>
            <w:vAlign w:val="center"/>
            <w:hideMark/>
          </w:tcPr>
          <w:p w14:paraId="0D619ACA" w14:textId="77777777" w:rsidR="00CE18B6" w:rsidRPr="00733536" w:rsidRDefault="00CE18B6" w:rsidP="00CE18B6">
            <w:pPr>
              <w:framePr w:w="4961" w:vSpace="284" w:wrap="notBeside" w:hAnchor="margin" w:xAlign="right" w:yAlign="top"/>
              <w:ind w:firstLine="0"/>
              <w:jc w:val="center"/>
              <w:rPr>
                <w:rFonts w:ascii="Calibri" w:hAnsi="Calibri"/>
                <w:b/>
                <w:color w:val="000000"/>
                <w:sz w:val="16"/>
                <w:szCs w:val="16"/>
                <w:lang w:eastAsia="ko-KR"/>
              </w:rPr>
            </w:pPr>
            <w:r w:rsidRPr="00733536">
              <w:rPr>
                <w:rFonts w:ascii="Calibri" w:hAnsi="Calibri"/>
                <w:b/>
                <w:color w:val="000000"/>
                <w:sz w:val="16"/>
                <w:szCs w:val="16"/>
                <w:lang w:eastAsia="ko-KR"/>
              </w:rPr>
              <w:t>C</w:t>
            </w:r>
          </w:p>
        </w:tc>
        <w:tc>
          <w:tcPr>
            <w:tcW w:w="596" w:type="dxa"/>
            <w:tcBorders>
              <w:top w:val="single" w:sz="4" w:space="0" w:color="auto"/>
              <w:left w:val="nil"/>
              <w:bottom w:val="single" w:sz="4" w:space="0" w:color="auto"/>
              <w:right w:val="nil"/>
            </w:tcBorders>
            <w:shd w:val="clear" w:color="auto" w:fill="auto"/>
            <w:noWrap/>
            <w:vAlign w:val="center"/>
            <w:hideMark/>
          </w:tcPr>
          <w:p w14:paraId="747BE9CF" w14:textId="77777777" w:rsidR="00CE18B6" w:rsidRPr="00733536" w:rsidRDefault="00CE18B6" w:rsidP="00CE18B6">
            <w:pPr>
              <w:framePr w:w="4961" w:vSpace="284" w:wrap="notBeside" w:hAnchor="margin" w:xAlign="right" w:yAlign="top"/>
              <w:ind w:firstLine="0"/>
              <w:jc w:val="center"/>
              <w:rPr>
                <w:rFonts w:ascii="Calibri" w:hAnsi="Calibri"/>
                <w:b/>
                <w:color w:val="000000"/>
                <w:sz w:val="16"/>
                <w:szCs w:val="16"/>
                <w:lang w:eastAsia="ko-KR"/>
              </w:rPr>
            </w:pPr>
            <w:r w:rsidRPr="00733536">
              <w:rPr>
                <w:rFonts w:ascii="Calibri" w:hAnsi="Calibri"/>
                <w:b/>
                <w:color w:val="000000"/>
                <w:sz w:val="16"/>
                <w:szCs w:val="16"/>
                <w:lang w:eastAsia="ko-KR"/>
              </w:rPr>
              <w:t>D</w:t>
            </w:r>
          </w:p>
        </w:tc>
        <w:tc>
          <w:tcPr>
            <w:tcW w:w="596" w:type="dxa"/>
            <w:tcBorders>
              <w:top w:val="single" w:sz="4" w:space="0" w:color="auto"/>
              <w:left w:val="nil"/>
              <w:bottom w:val="single" w:sz="4" w:space="0" w:color="auto"/>
              <w:right w:val="nil"/>
            </w:tcBorders>
            <w:shd w:val="clear" w:color="auto" w:fill="auto"/>
            <w:noWrap/>
            <w:vAlign w:val="center"/>
            <w:hideMark/>
          </w:tcPr>
          <w:p w14:paraId="50C58D67" w14:textId="77777777" w:rsidR="00CE18B6" w:rsidRPr="00733536" w:rsidRDefault="00CE18B6" w:rsidP="00CE18B6">
            <w:pPr>
              <w:framePr w:w="4961" w:vSpace="284" w:wrap="notBeside" w:hAnchor="margin" w:xAlign="right" w:yAlign="top"/>
              <w:ind w:firstLine="0"/>
              <w:jc w:val="center"/>
              <w:rPr>
                <w:rFonts w:ascii="Calibri" w:hAnsi="Calibri"/>
                <w:b/>
                <w:color w:val="000000"/>
                <w:sz w:val="16"/>
                <w:szCs w:val="16"/>
                <w:lang w:eastAsia="ko-KR"/>
              </w:rPr>
            </w:pPr>
            <w:r w:rsidRPr="00733536">
              <w:rPr>
                <w:rFonts w:ascii="Calibri" w:hAnsi="Calibri"/>
                <w:b/>
                <w:color w:val="000000"/>
                <w:sz w:val="16"/>
                <w:szCs w:val="16"/>
                <w:lang w:eastAsia="ko-KR"/>
              </w:rPr>
              <w:t>E</w:t>
            </w:r>
          </w:p>
        </w:tc>
        <w:tc>
          <w:tcPr>
            <w:tcW w:w="596" w:type="dxa"/>
            <w:tcBorders>
              <w:top w:val="single" w:sz="4" w:space="0" w:color="auto"/>
              <w:left w:val="nil"/>
              <w:bottom w:val="single" w:sz="4" w:space="0" w:color="auto"/>
              <w:right w:val="nil"/>
            </w:tcBorders>
            <w:shd w:val="clear" w:color="auto" w:fill="auto"/>
            <w:noWrap/>
            <w:vAlign w:val="center"/>
            <w:hideMark/>
          </w:tcPr>
          <w:p w14:paraId="45CE9524" w14:textId="77777777" w:rsidR="00CE18B6" w:rsidRPr="00733536" w:rsidRDefault="00CE18B6" w:rsidP="00CE18B6">
            <w:pPr>
              <w:framePr w:w="4961" w:vSpace="284" w:wrap="notBeside" w:hAnchor="margin" w:xAlign="right" w:yAlign="top"/>
              <w:ind w:firstLine="0"/>
              <w:jc w:val="center"/>
              <w:rPr>
                <w:rFonts w:ascii="Calibri" w:hAnsi="Calibri"/>
                <w:b/>
                <w:color w:val="000000"/>
                <w:sz w:val="16"/>
                <w:szCs w:val="16"/>
                <w:lang w:eastAsia="ko-KR"/>
              </w:rPr>
            </w:pPr>
            <w:r w:rsidRPr="00733536">
              <w:rPr>
                <w:rFonts w:ascii="Calibri" w:hAnsi="Calibri"/>
                <w:b/>
                <w:color w:val="000000"/>
                <w:sz w:val="16"/>
                <w:szCs w:val="16"/>
                <w:lang w:eastAsia="ko-KR"/>
              </w:rPr>
              <w:t>F</w:t>
            </w:r>
          </w:p>
        </w:tc>
        <w:tc>
          <w:tcPr>
            <w:tcW w:w="596" w:type="dxa"/>
            <w:tcBorders>
              <w:top w:val="single" w:sz="4" w:space="0" w:color="auto"/>
              <w:left w:val="nil"/>
              <w:bottom w:val="single" w:sz="4" w:space="0" w:color="auto"/>
              <w:right w:val="nil"/>
            </w:tcBorders>
            <w:shd w:val="clear" w:color="auto" w:fill="auto"/>
            <w:noWrap/>
            <w:vAlign w:val="center"/>
            <w:hideMark/>
          </w:tcPr>
          <w:p w14:paraId="213C4F0F" w14:textId="77777777" w:rsidR="00CE18B6" w:rsidRPr="00733536" w:rsidRDefault="00CE18B6" w:rsidP="00CE18B6">
            <w:pPr>
              <w:framePr w:w="4961" w:vSpace="284" w:wrap="notBeside" w:hAnchor="margin" w:xAlign="right" w:yAlign="top"/>
              <w:ind w:firstLine="0"/>
              <w:jc w:val="center"/>
              <w:rPr>
                <w:rFonts w:ascii="Calibri" w:hAnsi="Calibri"/>
                <w:b/>
                <w:color w:val="000000"/>
                <w:sz w:val="16"/>
                <w:szCs w:val="16"/>
                <w:lang w:eastAsia="ko-KR"/>
              </w:rPr>
            </w:pPr>
            <w:r w:rsidRPr="00733536">
              <w:rPr>
                <w:rFonts w:ascii="Calibri" w:hAnsi="Calibri"/>
                <w:b/>
                <w:color w:val="000000"/>
                <w:sz w:val="16"/>
                <w:szCs w:val="16"/>
                <w:lang w:eastAsia="ko-KR"/>
              </w:rPr>
              <w:t>G</w:t>
            </w:r>
          </w:p>
        </w:tc>
      </w:tr>
      <w:tr w:rsidR="00CE18B6" w:rsidRPr="00733536" w14:paraId="49D978D7" w14:textId="77777777" w:rsidTr="00CE18B6">
        <w:trPr>
          <w:trHeight w:val="255"/>
          <w:jc w:val="center"/>
        </w:trPr>
        <w:tc>
          <w:tcPr>
            <w:tcW w:w="907" w:type="dxa"/>
            <w:tcBorders>
              <w:top w:val="single" w:sz="4" w:space="0" w:color="auto"/>
              <w:left w:val="nil"/>
              <w:bottom w:val="nil"/>
              <w:right w:val="nil"/>
            </w:tcBorders>
            <w:shd w:val="clear" w:color="auto" w:fill="auto"/>
            <w:noWrap/>
            <w:vAlign w:val="center"/>
            <w:hideMark/>
          </w:tcPr>
          <w:p w14:paraId="3C7E49FD"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2007</w:t>
            </w:r>
          </w:p>
        </w:tc>
        <w:tc>
          <w:tcPr>
            <w:tcW w:w="595" w:type="dxa"/>
            <w:tcBorders>
              <w:top w:val="single" w:sz="4" w:space="0" w:color="auto"/>
              <w:left w:val="nil"/>
              <w:bottom w:val="nil"/>
              <w:right w:val="nil"/>
            </w:tcBorders>
            <w:shd w:val="clear" w:color="auto" w:fill="auto"/>
            <w:noWrap/>
            <w:vAlign w:val="center"/>
            <w:hideMark/>
          </w:tcPr>
          <w:p w14:paraId="53E93591"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1</w:t>
            </w:r>
          </w:p>
        </w:tc>
        <w:tc>
          <w:tcPr>
            <w:tcW w:w="596" w:type="dxa"/>
            <w:tcBorders>
              <w:top w:val="single" w:sz="4" w:space="0" w:color="auto"/>
              <w:left w:val="nil"/>
              <w:bottom w:val="nil"/>
              <w:right w:val="nil"/>
            </w:tcBorders>
            <w:shd w:val="clear" w:color="auto" w:fill="auto"/>
            <w:noWrap/>
            <w:vAlign w:val="center"/>
            <w:hideMark/>
          </w:tcPr>
          <w:p w14:paraId="34B8E088"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single" w:sz="4" w:space="0" w:color="auto"/>
              <w:left w:val="nil"/>
              <w:bottom w:val="nil"/>
              <w:right w:val="nil"/>
            </w:tcBorders>
            <w:shd w:val="clear" w:color="auto" w:fill="auto"/>
            <w:noWrap/>
            <w:vAlign w:val="center"/>
            <w:hideMark/>
          </w:tcPr>
          <w:p w14:paraId="338A879D"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single" w:sz="4" w:space="0" w:color="auto"/>
              <w:left w:val="nil"/>
              <w:bottom w:val="nil"/>
              <w:right w:val="nil"/>
            </w:tcBorders>
            <w:shd w:val="clear" w:color="auto" w:fill="auto"/>
            <w:noWrap/>
            <w:vAlign w:val="center"/>
            <w:hideMark/>
          </w:tcPr>
          <w:p w14:paraId="64817371"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single" w:sz="4" w:space="0" w:color="auto"/>
              <w:left w:val="nil"/>
              <w:bottom w:val="nil"/>
              <w:right w:val="nil"/>
            </w:tcBorders>
            <w:shd w:val="clear" w:color="auto" w:fill="auto"/>
            <w:noWrap/>
            <w:vAlign w:val="center"/>
            <w:hideMark/>
          </w:tcPr>
          <w:p w14:paraId="553694FC"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single" w:sz="4" w:space="0" w:color="auto"/>
              <w:left w:val="nil"/>
              <w:bottom w:val="nil"/>
              <w:right w:val="nil"/>
            </w:tcBorders>
            <w:shd w:val="clear" w:color="auto" w:fill="auto"/>
            <w:noWrap/>
            <w:vAlign w:val="center"/>
            <w:hideMark/>
          </w:tcPr>
          <w:p w14:paraId="29FE66B5"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single" w:sz="4" w:space="0" w:color="auto"/>
              <w:left w:val="nil"/>
              <w:bottom w:val="nil"/>
              <w:right w:val="nil"/>
            </w:tcBorders>
            <w:shd w:val="clear" w:color="auto" w:fill="auto"/>
            <w:noWrap/>
            <w:vAlign w:val="center"/>
            <w:hideMark/>
          </w:tcPr>
          <w:p w14:paraId="1FB6FB75"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r>
      <w:tr w:rsidR="00CE18B6" w:rsidRPr="00733536" w14:paraId="76AC5D2F" w14:textId="77777777" w:rsidTr="00CE18B6">
        <w:trPr>
          <w:trHeight w:val="255"/>
          <w:jc w:val="center"/>
        </w:trPr>
        <w:tc>
          <w:tcPr>
            <w:tcW w:w="907" w:type="dxa"/>
            <w:tcBorders>
              <w:top w:val="nil"/>
              <w:left w:val="nil"/>
              <w:bottom w:val="nil"/>
              <w:right w:val="nil"/>
            </w:tcBorders>
            <w:shd w:val="clear" w:color="auto" w:fill="auto"/>
            <w:noWrap/>
            <w:vAlign w:val="center"/>
            <w:hideMark/>
          </w:tcPr>
          <w:p w14:paraId="36FDB8EE"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2009</w:t>
            </w:r>
          </w:p>
        </w:tc>
        <w:tc>
          <w:tcPr>
            <w:tcW w:w="595" w:type="dxa"/>
            <w:tcBorders>
              <w:top w:val="nil"/>
              <w:left w:val="nil"/>
              <w:bottom w:val="nil"/>
              <w:right w:val="nil"/>
            </w:tcBorders>
            <w:shd w:val="clear" w:color="auto" w:fill="auto"/>
            <w:noWrap/>
            <w:vAlign w:val="center"/>
            <w:hideMark/>
          </w:tcPr>
          <w:p w14:paraId="3EAC60B9"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1</w:t>
            </w:r>
          </w:p>
        </w:tc>
        <w:tc>
          <w:tcPr>
            <w:tcW w:w="596" w:type="dxa"/>
            <w:tcBorders>
              <w:top w:val="nil"/>
              <w:left w:val="nil"/>
              <w:bottom w:val="nil"/>
              <w:right w:val="nil"/>
            </w:tcBorders>
            <w:shd w:val="clear" w:color="auto" w:fill="auto"/>
            <w:noWrap/>
            <w:vAlign w:val="center"/>
            <w:hideMark/>
          </w:tcPr>
          <w:p w14:paraId="76076003"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13FB45E2"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29B4AD12"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13604756"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6F9D5FC4"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036FE4E2"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r>
      <w:tr w:rsidR="00CE18B6" w:rsidRPr="00733536" w14:paraId="62EDB28B" w14:textId="77777777" w:rsidTr="00CE18B6">
        <w:trPr>
          <w:trHeight w:val="255"/>
          <w:jc w:val="center"/>
        </w:trPr>
        <w:tc>
          <w:tcPr>
            <w:tcW w:w="907" w:type="dxa"/>
            <w:tcBorders>
              <w:top w:val="nil"/>
              <w:left w:val="nil"/>
              <w:bottom w:val="nil"/>
              <w:right w:val="nil"/>
            </w:tcBorders>
            <w:shd w:val="clear" w:color="auto" w:fill="auto"/>
            <w:noWrap/>
            <w:vAlign w:val="center"/>
            <w:hideMark/>
          </w:tcPr>
          <w:p w14:paraId="4D7FBEEC"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2011</w:t>
            </w:r>
          </w:p>
        </w:tc>
        <w:tc>
          <w:tcPr>
            <w:tcW w:w="595" w:type="dxa"/>
            <w:tcBorders>
              <w:top w:val="nil"/>
              <w:left w:val="nil"/>
              <w:bottom w:val="nil"/>
              <w:right w:val="nil"/>
            </w:tcBorders>
            <w:shd w:val="clear" w:color="auto" w:fill="auto"/>
            <w:noWrap/>
            <w:vAlign w:val="center"/>
            <w:hideMark/>
          </w:tcPr>
          <w:p w14:paraId="38CC3E79"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1</w:t>
            </w:r>
          </w:p>
        </w:tc>
        <w:tc>
          <w:tcPr>
            <w:tcW w:w="596" w:type="dxa"/>
            <w:tcBorders>
              <w:top w:val="nil"/>
              <w:left w:val="nil"/>
              <w:bottom w:val="nil"/>
              <w:right w:val="nil"/>
            </w:tcBorders>
            <w:shd w:val="clear" w:color="auto" w:fill="auto"/>
            <w:noWrap/>
            <w:vAlign w:val="center"/>
            <w:hideMark/>
          </w:tcPr>
          <w:p w14:paraId="0E858087"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32A062FB"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4E0209E7"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3F42D123"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015E0CFA"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10247D75"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r>
      <w:tr w:rsidR="00CE18B6" w:rsidRPr="00733536" w14:paraId="702F609E" w14:textId="77777777" w:rsidTr="00CE18B6">
        <w:trPr>
          <w:trHeight w:val="255"/>
          <w:jc w:val="center"/>
        </w:trPr>
        <w:tc>
          <w:tcPr>
            <w:tcW w:w="907" w:type="dxa"/>
            <w:tcBorders>
              <w:top w:val="nil"/>
              <w:left w:val="nil"/>
              <w:bottom w:val="nil"/>
              <w:right w:val="nil"/>
            </w:tcBorders>
            <w:shd w:val="clear" w:color="auto" w:fill="auto"/>
            <w:noWrap/>
            <w:vAlign w:val="center"/>
            <w:hideMark/>
          </w:tcPr>
          <w:p w14:paraId="53E756F3"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2012</w:t>
            </w:r>
          </w:p>
        </w:tc>
        <w:tc>
          <w:tcPr>
            <w:tcW w:w="595" w:type="dxa"/>
            <w:tcBorders>
              <w:top w:val="nil"/>
              <w:left w:val="nil"/>
              <w:bottom w:val="nil"/>
              <w:right w:val="nil"/>
            </w:tcBorders>
            <w:shd w:val="clear" w:color="auto" w:fill="auto"/>
            <w:noWrap/>
            <w:vAlign w:val="center"/>
            <w:hideMark/>
          </w:tcPr>
          <w:p w14:paraId="6CFF7F57"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1</w:t>
            </w:r>
          </w:p>
        </w:tc>
        <w:tc>
          <w:tcPr>
            <w:tcW w:w="596" w:type="dxa"/>
            <w:tcBorders>
              <w:top w:val="nil"/>
              <w:left w:val="nil"/>
              <w:bottom w:val="nil"/>
              <w:right w:val="nil"/>
            </w:tcBorders>
            <w:shd w:val="clear" w:color="auto" w:fill="auto"/>
            <w:noWrap/>
            <w:vAlign w:val="center"/>
            <w:hideMark/>
          </w:tcPr>
          <w:p w14:paraId="20C52F5C"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47B68E8C"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41877E8E"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060EE46F"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045E1772"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28B62ED5"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r>
      <w:tr w:rsidR="00CE18B6" w:rsidRPr="00733536" w14:paraId="6521DF3F" w14:textId="77777777" w:rsidTr="00CE18B6">
        <w:trPr>
          <w:trHeight w:val="255"/>
          <w:jc w:val="center"/>
        </w:trPr>
        <w:tc>
          <w:tcPr>
            <w:tcW w:w="907" w:type="dxa"/>
            <w:tcBorders>
              <w:top w:val="nil"/>
              <w:left w:val="nil"/>
              <w:bottom w:val="nil"/>
              <w:right w:val="nil"/>
            </w:tcBorders>
            <w:shd w:val="clear" w:color="auto" w:fill="auto"/>
            <w:noWrap/>
            <w:vAlign w:val="center"/>
            <w:hideMark/>
          </w:tcPr>
          <w:p w14:paraId="649A72ED"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2013</w:t>
            </w:r>
          </w:p>
        </w:tc>
        <w:tc>
          <w:tcPr>
            <w:tcW w:w="595" w:type="dxa"/>
            <w:tcBorders>
              <w:top w:val="nil"/>
              <w:left w:val="nil"/>
              <w:bottom w:val="nil"/>
              <w:right w:val="nil"/>
            </w:tcBorders>
            <w:shd w:val="clear" w:color="auto" w:fill="auto"/>
            <w:noWrap/>
            <w:vAlign w:val="center"/>
            <w:hideMark/>
          </w:tcPr>
          <w:p w14:paraId="1437CCBC"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6</w:t>
            </w:r>
          </w:p>
        </w:tc>
        <w:tc>
          <w:tcPr>
            <w:tcW w:w="596" w:type="dxa"/>
            <w:tcBorders>
              <w:top w:val="nil"/>
              <w:left w:val="nil"/>
              <w:bottom w:val="nil"/>
              <w:right w:val="nil"/>
            </w:tcBorders>
            <w:shd w:val="clear" w:color="auto" w:fill="auto"/>
            <w:noWrap/>
            <w:vAlign w:val="center"/>
            <w:hideMark/>
          </w:tcPr>
          <w:p w14:paraId="3BB60B95"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51E73150"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2D5BB044"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3185F141"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7A850833"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5C989891"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r>
      <w:tr w:rsidR="00CE18B6" w:rsidRPr="00733536" w14:paraId="365F3FFC" w14:textId="77777777" w:rsidTr="00CE18B6">
        <w:trPr>
          <w:trHeight w:val="255"/>
          <w:jc w:val="center"/>
        </w:trPr>
        <w:tc>
          <w:tcPr>
            <w:tcW w:w="907" w:type="dxa"/>
            <w:tcBorders>
              <w:top w:val="nil"/>
              <w:left w:val="nil"/>
              <w:bottom w:val="nil"/>
              <w:right w:val="nil"/>
            </w:tcBorders>
            <w:shd w:val="clear" w:color="auto" w:fill="auto"/>
            <w:noWrap/>
            <w:vAlign w:val="center"/>
            <w:hideMark/>
          </w:tcPr>
          <w:p w14:paraId="5F7E554B"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2014</w:t>
            </w:r>
          </w:p>
        </w:tc>
        <w:tc>
          <w:tcPr>
            <w:tcW w:w="595" w:type="dxa"/>
            <w:tcBorders>
              <w:top w:val="nil"/>
              <w:left w:val="nil"/>
              <w:bottom w:val="nil"/>
              <w:right w:val="nil"/>
            </w:tcBorders>
            <w:shd w:val="clear" w:color="auto" w:fill="auto"/>
            <w:noWrap/>
            <w:vAlign w:val="center"/>
            <w:hideMark/>
          </w:tcPr>
          <w:p w14:paraId="0C9AFD2F"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11</w:t>
            </w:r>
          </w:p>
        </w:tc>
        <w:tc>
          <w:tcPr>
            <w:tcW w:w="596" w:type="dxa"/>
            <w:tcBorders>
              <w:top w:val="nil"/>
              <w:left w:val="nil"/>
              <w:bottom w:val="nil"/>
              <w:right w:val="nil"/>
            </w:tcBorders>
            <w:shd w:val="clear" w:color="auto" w:fill="auto"/>
            <w:noWrap/>
            <w:vAlign w:val="center"/>
            <w:hideMark/>
          </w:tcPr>
          <w:p w14:paraId="30EFACDF"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3</w:t>
            </w:r>
          </w:p>
        </w:tc>
        <w:tc>
          <w:tcPr>
            <w:tcW w:w="596" w:type="dxa"/>
            <w:tcBorders>
              <w:top w:val="nil"/>
              <w:left w:val="nil"/>
              <w:bottom w:val="nil"/>
              <w:right w:val="nil"/>
            </w:tcBorders>
            <w:shd w:val="clear" w:color="auto" w:fill="auto"/>
            <w:noWrap/>
            <w:vAlign w:val="center"/>
            <w:hideMark/>
          </w:tcPr>
          <w:p w14:paraId="75C7B4B6"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096C91D2"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2522E7C1"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47218F02"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6D782CE5"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r>
      <w:tr w:rsidR="00CE18B6" w:rsidRPr="00733536" w14:paraId="5891EC9C" w14:textId="77777777" w:rsidTr="00CE18B6">
        <w:trPr>
          <w:trHeight w:val="255"/>
          <w:jc w:val="center"/>
        </w:trPr>
        <w:tc>
          <w:tcPr>
            <w:tcW w:w="907" w:type="dxa"/>
            <w:tcBorders>
              <w:top w:val="nil"/>
              <w:left w:val="nil"/>
              <w:bottom w:val="nil"/>
              <w:right w:val="nil"/>
            </w:tcBorders>
            <w:shd w:val="clear" w:color="auto" w:fill="auto"/>
            <w:noWrap/>
            <w:vAlign w:val="center"/>
            <w:hideMark/>
          </w:tcPr>
          <w:p w14:paraId="7F266482"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2015</w:t>
            </w:r>
          </w:p>
        </w:tc>
        <w:tc>
          <w:tcPr>
            <w:tcW w:w="595" w:type="dxa"/>
            <w:tcBorders>
              <w:top w:val="nil"/>
              <w:left w:val="nil"/>
              <w:bottom w:val="nil"/>
              <w:right w:val="nil"/>
            </w:tcBorders>
            <w:shd w:val="clear" w:color="auto" w:fill="auto"/>
            <w:noWrap/>
            <w:vAlign w:val="center"/>
            <w:hideMark/>
          </w:tcPr>
          <w:p w14:paraId="7EEAD7BE"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8</w:t>
            </w:r>
          </w:p>
        </w:tc>
        <w:tc>
          <w:tcPr>
            <w:tcW w:w="596" w:type="dxa"/>
            <w:tcBorders>
              <w:top w:val="nil"/>
              <w:left w:val="nil"/>
              <w:bottom w:val="nil"/>
              <w:right w:val="nil"/>
            </w:tcBorders>
            <w:shd w:val="clear" w:color="auto" w:fill="auto"/>
            <w:noWrap/>
            <w:vAlign w:val="center"/>
            <w:hideMark/>
          </w:tcPr>
          <w:p w14:paraId="1263926E"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1</w:t>
            </w:r>
          </w:p>
        </w:tc>
        <w:tc>
          <w:tcPr>
            <w:tcW w:w="596" w:type="dxa"/>
            <w:tcBorders>
              <w:top w:val="nil"/>
              <w:left w:val="nil"/>
              <w:bottom w:val="nil"/>
              <w:right w:val="nil"/>
            </w:tcBorders>
            <w:shd w:val="clear" w:color="auto" w:fill="auto"/>
            <w:noWrap/>
            <w:vAlign w:val="center"/>
            <w:hideMark/>
          </w:tcPr>
          <w:p w14:paraId="10F549ED"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2D21B2E9"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00D955C3"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2CBBC766"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3ADD5851"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r>
      <w:tr w:rsidR="00CE18B6" w:rsidRPr="00733536" w14:paraId="466CB1F6" w14:textId="77777777" w:rsidTr="00CE18B6">
        <w:trPr>
          <w:trHeight w:val="255"/>
          <w:jc w:val="center"/>
        </w:trPr>
        <w:tc>
          <w:tcPr>
            <w:tcW w:w="907" w:type="dxa"/>
            <w:tcBorders>
              <w:top w:val="nil"/>
              <w:left w:val="nil"/>
              <w:bottom w:val="nil"/>
              <w:right w:val="nil"/>
            </w:tcBorders>
            <w:shd w:val="clear" w:color="auto" w:fill="auto"/>
            <w:noWrap/>
            <w:vAlign w:val="center"/>
            <w:hideMark/>
          </w:tcPr>
          <w:p w14:paraId="712F0246"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2016</w:t>
            </w:r>
          </w:p>
        </w:tc>
        <w:tc>
          <w:tcPr>
            <w:tcW w:w="595" w:type="dxa"/>
            <w:tcBorders>
              <w:top w:val="nil"/>
              <w:left w:val="nil"/>
              <w:bottom w:val="nil"/>
              <w:right w:val="nil"/>
            </w:tcBorders>
            <w:shd w:val="clear" w:color="auto" w:fill="auto"/>
            <w:noWrap/>
            <w:vAlign w:val="center"/>
            <w:hideMark/>
          </w:tcPr>
          <w:p w14:paraId="33771CF5"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23</w:t>
            </w:r>
          </w:p>
        </w:tc>
        <w:tc>
          <w:tcPr>
            <w:tcW w:w="596" w:type="dxa"/>
            <w:tcBorders>
              <w:top w:val="nil"/>
              <w:left w:val="nil"/>
              <w:bottom w:val="nil"/>
              <w:right w:val="nil"/>
            </w:tcBorders>
            <w:shd w:val="clear" w:color="auto" w:fill="auto"/>
            <w:noWrap/>
            <w:vAlign w:val="center"/>
            <w:hideMark/>
          </w:tcPr>
          <w:p w14:paraId="7B9EC1A3"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12</w:t>
            </w:r>
          </w:p>
        </w:tc>
        <w:tc>
          <w:tcPr>
            <w:tcW w:w="596" w:type="dxa"/>
            <w:tcBorders>
              <w:top w:val="nil"/>
              <w:left w:val="nil"/>
              <w:bottom w:val="nil"/>
              <w:right w:val="nil"/>
            </w:tcBorders>
            <w:shd w:val="clear" w:color="auto" w:fill="auto"/>
            <w:noWrap/>
            <w:vAlign w:val="center"/>
            <w:hideMark/>
          </w:tcPr>
          <w:p w14:paraId="147773DE"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45A4C39F"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5CF17889"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36AA0E71"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34F8C364"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r>
      <w:tr w:rsidR="00CE18B6" w:rsidRPr="00733536" w14:paraId="730C8918" w14:textId="77777777" w:rsidTr="00CE18B6">
        <w:trPr>
          <w:trHeight w:val="255"/>
          <w:jc w:val="center"/>
        </w:trPr>
        <w:tc>
          <w:tcPr>
            <w:tcW w:w="907" w:type="dxa"/>
            <w:tcBorders>
              <w:top w:val="nil"/>
              <w:left w:val="nil"/>
              <w:bottom w:val="nil"/>
              <w:right w:val="nil"/>
            </w:tcBorders>
            <w:shd w:val="clear" w:color="auto" w:fill="auto"/>
            <w:noWrap/>
            <w:vAlign w:val="center"/>
            <w:hideMark/>
          </w:tcPr>
          <w:p w14:paraId="52F41404"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2017</w:t>
            </w:r>
          </w:p>
        </w:tc>
        <w:tc>
          <w:tcPr>
            <w:tcW w:w="595" w:type="dxa"/>
            <w:tcBorders>
              <w:top w:val="nil"/>
              <w:left w:val="nil"/>
              <w:bottom w:val="nil"/>
              <w:right w:val="nil"/>
            </w:tcBorders>
            <w:shd w:val="clear" w:color="auto" w:fill="auto"/>
            <w:noWrap/>
            <w:vAlign w:val="center"/>
            <w:hideMark/>
          </w:tcPr>
          <w:p w14:paraId="78B0BBA3"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16</w:t>
            </w:r>
          </w:p>
        </w:tc>
        <w:tc>
          <w:tcPr>
            <w:tcW w:w="596" w:type="dxa"/>
            <w:tcBorders>
              <w:top w:val="nil"/>
              <w:left w:val="nil"/>
              <w:bottom w:val="nil"/>
              <w:right w:val="nil"/>
            </w:tcBorders>
            <w:shd w:val="clear" w:color="auto" w:fill="auto"/>
            <w:noWrap/>
            <w:vAlign w:val="center"/>
            <w:hideMark/>
          </w:tcPr>
          <w:p w14:paraId="2F1B426B"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6</w:t>
            </w:r>
          </w:p>
        </w:tc>
        <w:tc>
          <w:tcPr>
            <w:tcW w:w="596" w:type="dxa"/>
            <w:tcBorders>
              <w:top w:val="nil"/>
              <w:left w:val="nil"/>
              <w:bottom w:val="nil"/>
              <w:right w:val="nil"/>
            </w:tcBorders>
            <w:shd w:val="clear" w:color="auto" w:fill="auto"/>
            <w:noWrap/>
            <w:vAlign w:val="center"/>
            <w:hideMark/>
          </w:tcPr>
          <w:p w14:paraId="43CFD36B"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16EE93D4"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59A9EB54"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66B5E202"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6AAC6787"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r>
      <w:tr w:rsidR="00CE18B6" w:rsidRPr="00733536" w14:paraId="0DA8B8CC" w14:textId="77777777" w:rsidTr="00CE18B6">
        <w:trPr>
          <w:trHeight w:val="255"/>
          <w:jc w:val="center"/>
        </w:trPr>
        <w:tc>
          <w:tcPr>
            <w:tcW w:w="907" w:type="dxa"/>
            <w:tcBorders>
              <w:top w:val="nil"/>
              <w:left w:val="nil"/>
              <w:bottom w:val="nil"/>
              <w:right w:val="nil"/>
            </w:tcBorders>
            <w:shd w:val="clear" w:color="auto" w:fill="auto"/>
            <w:noWrap/>
            <w:vAlign w:val="center"/>
            <w:hideMark/>
          </w:tcPr>
          <w:p w14:paraId="42F462DE"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2018</w:t>
            </w:r>
          </w:p>
        </w:tc>
        <w:tc>
          <w:tcPr>
            <w:tcW w:w="595" w:type="dxa"/>
            <w:tcBorders>
              <w:top w:val="nil"/>
              <w:left w:val="nil"/>
              <w:bottom w:val="nil"/>
              <w:right w:val="nil"/>
            </w:tcBorders>
            <w:shd w:val="clear" w:color="auto" w:fill="auto"/>
            <w:noWrap/>
            <w:vAlign w:val="center"/>
            <w:hideMark/>
          </w:tcPr>
          <w:p w14:paraId="3481AFF2"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24</w:t>
            </w:r>
          </w:p>
        </w:tc>
        <w:tc>
          <w:tcPr>
            <w:tcW w:w="596" w:type="dxa"/>
            <w:tcBorders>
              <w:top w:val="nil"/>
              <w:left w:val="nil"/>
              <w:bottom w:val="nil"/>
              <w:right w:val="nil"/>
            </w:tcBorders>
            <w:shd w:val="clear" w:color="auto" w:fill="auto"/>
            <w:noWrap/>
            <w:vAlign w:val="center"/>
            <w:hideMark/>
          </w:tcPr>
          <w:p w14:paraId="6E47B3D3"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13</w:t>
            </w:r>
          </w:p>
        </w:tc>
        <w:tc>
          <w:tcPr>
            <w:tcW w:w="596" w:type="dxa"/>
            <w:tcBorders>
              <w:top w:val="nil"/>
              <w:left w:val="nil"/>
              <w:bottom w:val="nil"/>
              <w:right w:val="nil"/>
            </w:tcBorders>
            <w:shd w:val="clear" w:color="auto" w:fill="auto"/>
            <w:noWrap/>
            <w:vAlign w:val="center"/>
            <w:hideMark/>
          </w:tcPr>
          <w:p w14:paraId="4FCA887B"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8</w:t>
            </w:r>
          </w:p>
        </w:tc>
        <w:tc>
          <w:tcPr>
            <w:tcW w:w="596" w:type="dxa"/>
            <w:tcBorders>
              <w:top w:val="nil"/>
              <w:left w:val="nil"/>
              <w:bottom w:val="nil"/>
              <w:right w:val="nil"/>
            </w:tcBorders>
            <w:shd w:val="clear" w:color="auto" w:fill="auto"/>
            <w:noWrap/>
            <w:vAlign w:val="center"/>
            <w:hideMark/>
          </w:tcPr>
          <w:p w14:paraId="27E2C701"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41F92F8E"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bottom w:val="nil"/>
              <w:right w:val="nil"/>
            </w:tcBorders>
            <w:shd w:val="clear" w:color="auto" w:fill="auto"/>
            <w:noWrap/>
            <w:vAlign w:val="center"/>
            <w:hideMark/>
          </w:tcPr>
          <w:p w14:paraId="0FA22B49"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1</w:t>
            </w:r>
          </w:p>
        </w:tc>
        <w:tc>
          <w:tcPr>
            <w:tcW w:w="596" w:type="dxa"/>
            <w:tcBorders>
              <w:top w:val="nil"/>
              <w:left w:val="nil"/>
              <w:bottom w:val="nil"/>
              <w:right w:val="nil"/>
            </w:tcBorders>
            <w:shd w:val="clear" w:color="auto" w:fill="auto"/>
            <w:noWrap/>
            <w:vAlign w:val="center"/>
            <w:hideMark/>
          </w:tcPr>
          <w:p w14:paraId="5B635B0C"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1</w:t>
            </w:r>
          </w:p>
        </w:tc>
      </w:tr>
      <w:tr w:rsidR="00CE18B6" w:rsidRPr="00733536" w14:paraId="4F5ACD8B" w14:textId="77777777" w:rsidTr="00CE18B6">
        <w:trPr>
          <w:trHeight w:val="255"/>
          <w:jc w:val="center"/>
        </w:trPr>
        <w:tc>
          <w:tcPr>
            <w:tcW w:w="907" w:type="dxa"/>
            <w:tcBorders>
              <w:top w:val="nil"/>
              <w:left w:val="nil"/>
              <w:right w:val="nil"/>
            </w:tcBorders>
            <w:shd w:val="clear" w:color="auto" w:fill="auto"/>
            <w:noWrap/>
            <w:vAlign w:val="center"/>
            <w:hideMark/>
          </w:tcPr>
          <w:p w14:paraId="1CC630FE"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2019</w:t>
            </w:r>
          </w:p>
        </w:tc>
        <w:tc>
          <w:tcPr>
            <w:tcW w:w="595" w:type="dxa"/>
            <w:tcBorders>
              <w:top w:val="nil"/>
              <w:left w:val="nil"/>
              <w:right w:val="nil"/>
            </w:tcBorders>
            <w:shd w:val="clear" w:color="auto" w:fill="auto"/>
            <w:noWrap/>
            <w:vAlign w:val="center"/>
            <w:hideMark/>
          </w:tcPr>
          <w:p w14:paraId="7A5253AA"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23</w:t>
            </w:r>
          </w:p>
        </w:tc>
        <w:tc>
          <w:tcPr>
            <w:tcW w:w="596" w:type="dxa"/>
            <w:tcBorders>
              <w:top w:val="nil"/>
              <w:left w:val="nil"/>
              <w:right w:val="nil"/>
            </w:tcBorders>
            <w:shd w:val="clear" w:color="auto" w:fill="auto"/>
            <w:noWrap/>
            <w:vAlign w:val="center"/>
            <w:hideMark/>
          </w:tcPr>
          <w:p w14:paraId="4360A754"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7</w:t>
            </w:r>
          </w:p>
        </w:tc>
        <w:tc>
          <w:tcPr>
            <w:tcW w:w="596" w:type="dxa"/>
            <w:tcBorders>
              <w:top w:val="nil"/>
              <w:left w:val="nil"/>
              <w:right w:val="nil"/>
            </w:tcBorders>
            <w:shd w:val="clear" w:color="auto" w:fill="auto"/>
            <w:noWrap/>
            <w:vAlign w:val="center"/>
            <w:hideMark/>
          </w:tcPr>
          <w:p w14:paraId="6E00240B"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2</w:t>
            </w:r>
          </w:p>
        </w:tc>
        <w:tc>
          <w:tcPr>
            <w:tcW w:w="596" w:type="dxa"/>
            <w:tcBorders>
              <w:top w:val="nil"/>
              <w:left w:val="nil"/>
              <w:right w:val="nil"/>
            </w:tcBorders>
            <w:shd w:val="clear" w:color="auto" w:fill="auto"/>
            <w:noWrap/>
            <w:vAlign w:val="center"/>
            <w:hideMark/>
          </w:tcPr>
          <w:p w14:paraId="1673B4BB"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1</w:t>
            </w:r>
          </w:p>
        </w:tc>
        <w:tc>
          <w:tcPr>
            <w:tcW w:w="596" w:type="dxa"/>
            <w:tcBorders>
              <w:top w:val="nil"/>
              <w:left w:val="nil"/>
              <w:right w:val="nil"/>
            </w:tcBorders>
            <w:shd w:val="clear" w:color="auto" w:fill="auto"/>
            <w:noWrap/>
            <w:vAlign w:val="center"/>
            <w:hideMark/>
          </w:tcPr>
          <w:p w14:paraId="6FE931CA"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1</w:t>
            </w:r>
          </w:p>
        </w:tc>
        <w:tc>
          <w:tcPr>
            <w:tcW w:w="596" w:type="dxa"/>
            <w:tcBorders>
              <w:top w:val="nil"/>
              <w:left w:val="nil"/>
              <w:right w:val="nil"/>
            </w:tcBorders>
            <w:shd w:val="clear" w:color="auto" w:fill="auto"/>
            <w:noWrap/>
            <w:vAlign w:val="center"/>
            <w:hideMark/>
          </w:tcPr>
          <w:p w14:paraId="6027F3A3"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p>
        </w:tc>
        <w:tc>
          <w:tcPr>
            <w:tcW w:w="596" w:type="dxa"/>
            <w:tcBorders>
              <w:top w:val="nil"/>
              <w:left w:val="nil"/>
              <w:right w:val="nil"/>
            </w:tcBorders>
            <w:shd w:val="clear" w:color="auto" w:fill="auto"/>
            <w:noWrap/>
            <w:vAlign w:val="center"/>
            <w:hideMark/>
          </w:tcPr>
          <w:p w14:paraId="77BAABB9"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3</w:t>
            </w:r>
          </w:p>
        </w:tc>
      </w:tr>
      <w:tr w:rsidR="00CE18B6" w:rsidRPr="00733536" w14:paraId="3B76529B" w14:textId="77777777" w:rsidTr="00CE18B6">
        <w:trPr>
          <w:trHeight w:val="255"/>
          <w:jc w:val="center"/>
        </w:trPr>
        <w:tc>
          <w:tcPr>
            <w:tcW w:w="907" w:type="dxa"/>
            <w:tcBorders>
              <w:top w:val="nil"/>
              <w:left w:val="nil"/>
              <w:bottom w:val="single" w:sz="4" w:space="0" w:color="auto"/>
              <w:right w:val="nil"/>
            </w:tcBorders>
            <w:shd w:val="clear" w:color="auto" w:fill="auto"/>
            <w:noWrap/>
            <w:vAlign w:val="center"/>
            <w:hideMark/>
          </w:tcPr>
          <w:p w14:paraId="698C38B7"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Total</w:t>
            </w:r>
          </w:p>
        </w:tc>
        <w:tc>
          <w:tcPr>
            <w:tcW w:w="595" w:type="dxa"/>
            <w:tcBorders>
              <w:top w:val="nil"/>
              <w:left w:val="nil"/>
              <w:bottom w:val="single" w:sz="4" w:space="0" w:color="auto"/>
              <w:right w:val="nil"/>
            </w:tcBorders>
            <w:shd w:val="clear" w:color="auto" w:fill="auto"/>
            <w:noWrap/>
            <w:vAlign w:val="center"/>
            <w:hideMark/>
          </w:tcPr>
          <w:p w14:paraId="4368C1E9"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115</w:t>
            </w:r>
          </w:p>
        </w:tc>
        <w:tc>
          <w:tcPr>
            <w:tcW w:w="596" w:type="dxa"/>
            <w:tcBorders>
              <w:top w:val="nil"/>
              <w:left w:val="nil"/>
              <w:bottom w:val="single" w:sz="4" w:space="0" w:color="auto"/>
              <w:right w:val="nil"/>
            </w:tcBorders>
            <w:shd w:val="clear" w:color="auto" w:fill="auto"/>
            <w:noWrap/>
            <w:vAlign w:val="center"/>
            <w:hideMark/>
          </w:tcPr>
          <w:p w14:paraId="24E3E408"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42</w:t>
            </w:r>
          </w:p>
        </w:tc>
        <w:tc>
          <w:tcPr>
            <w:tcW w:w="596" w:type="dxa"/>
            <w:tcBorders>
              <w:top w:val="nil"/>
              <w:left w:val="nil"/>
              <w:bottom w:val="single" w:sz="4" w:space="0" w:color="auto"/>
              <w:right w:val="nil"/>
            </w:tcBorders>
            <w:shd w:val="clear" w:color="auto" w:fill="auto"/>
            <w:noWrap/>
            <w:vAlign w:val="center"/>
            <w:hideMark/>
          </w:tcPr>
          <w:p w14:paraId="55AFDF52"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10</w:t>
            </w:r>
          </w:p>
        </w:tc>
        <w:tc>
          <w:tcPr>
            <w:tcW w:w="596" w:type="dxa"/>
            <w:tcBorders>
              <w:top w:val="nil"/>
              <w:left w:val="nil"/>
              <w:bottom w:val="single" w:sz="4" w:space="0" w:color="auto"/>
              <w:right w:val="nil"/>
            </w:tcBorders>
            <w:shd w:val="clear" w:color="auto" w:fill="auto"/>
            <w:noWrap/>
            <w:vAlign w:val="center"/>
            <w:hideMark/>
          </w:tcPr>
          <w:p w14:paraId="57173384"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1</w:t>
            </w:r>
          </w:p>
        </w:tc>
        <w:tc>
          <w:tcPr>
            <w:tcW w:w="596" w:type="dxa"/>
            <w:tcBorders>
              <w:top w:val="nil"/>
              <w:left w:val="nil"/>
              <w:bottom w:val="single" w:sz="4" w:space="0" w:color="auto"/>
              <w:right w:val="nil"/>
            </w:tcBorders>
            <w:shd w:val="clear" w:color="auto" w:fill="auto"/>
            <w:noWrap/>
            <w:vAlign w:val="center"/>
            <w:hideMark/>
          </w:tcPr>
          <w:p w14:paraId="302029EB"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1</w:t>
            </w:r>
          </w:p>
        </w:tc>
        <w:tc>
          <w:tcPr>
            <w:tcW w:w="596" w:type="dxa"/>
            <w:tcBorders>
              <w:top w:val="nil"/>
              <w:left w:val="nil"/>
              <w:bottom w:val="single" w:sz="4" w:space="0" w:color="auto"/>
              <w:right w:val="nil"/>
            </w:tcBorders>
            <w:shd w:val="clear" w:color="auto" w:fill="auto"/>
            <w:noWrap/>
            <w:vAlign w:val="center"/>
            <w:hideMark/>
          </w:tcPr>
          <w:p w14:paraId="5CF4E37A"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1</w:t>
            </w:r>
          </w:p>
        </w:tc>
        <w:tc>
          <w:tcPr>
            <w:tcW w:w="596" w:type="dxa"/>
            <w:tcBorders>
              <w:top w:val="nil"/>
              <w:left w:val="nil"/>
              <w:bottom w:val="single" w:sz="4" w:space="0" w:color="auto"/>
              <w:right w:val="nil"/>
            </w:tcBorders>
            <w:shd w:val="clear" w:color="auto" w:fill="auto"/>
            <w:noWrap/>
            <w:vAlign w:val="center"/>
            <w:hideMark/>
          </w:tcPr>
          <w:p w14:paraId="39C7A79F" w14:textId="77777777" w:rsidR="00CE18B6" w:rsidRPr="00733536" w:rsidRDefault="00CE18B6" w:rsidP="00CE18B6">
            <w:pPr>
              <w:framePr w:w="4961" w:vSpace="284" w:wrap="notBeside" w:hAnchor="margin" w:xAlign="right" w:yAlign="top"/>
              <w:ind w:firstLine="0"/>
              <w:jc w:val="center"/>
              <w:rPr>
                <w:rFonts w:ascii="Calibri" w:hAnsi="Calibri"/>
                <w:color w:val="000000"/>
                <w:sz w:val="16"/>
                <w:szCs w:val="16"/>
                <w:lang w:eastAsia="ko-KR"/>
              </w:rPr>
            </w:pPr>
            <w:r w:rsidRPr="00733536">
              <w:rPr>
                <w:rFonts w:ascii="Calibri" w:hAnsi="Calibri"/>
                <w:color w:val="000000"/>
                <w:sz w:val="16"/>
                <w:szCs w:val="16"/>
                <w:lang w:eastAsia="ko-KR"/>
              </w:rPr>
              <w:t>4</w:t>
            </w:r>
          </w:p>
        </w:tc>
      </w:tr>
    </w:tbl>
    <w:p w14:paraId="61567DAD" w14:textId="4089AFB1" w:rsidR="00274781" w:rsidRPr="00733536" w:rsidRDefault="00274781" w:rsidP="00274781">
      <w:r w:rsidRPr="00733536">
        <w:t>This evidence is quite relevant since</w:t>
      </w:r>
      <w:r w:rsidR="005A1E28">
        <w:t xml:space="preserve">, </w:t>
      </w:r>
      <w:r w:rsidRPr="00733536">
        <w:t>according to these two authors</w:t>
      </w:r>
      <w:r w:rsidR="005A1E28">
        <w:t xml:space="preserve">, </w:t>
      </w:r>
      <w:r w:rsidRPr="00733536">
        <w:t xml:space="preserve">the two typologies of reshoring decisions are the most diffused among the 840 </w:t>
      </w:r>
      <w:r w:rsidR="005A1E28">
        <w:t>global-</w:t>
      </w:r>
      <w:r w:rsidR="005A1E28" w:rsidRPr="00733536">
        <w:t xml:space="preserve">level </w:t>
      </w:r>
      <w:r w:rsidRPr="00733536">
        <w:t xml:space="preserve">back-reshoring initiatives they analysed. In contrast, </w:t>
      </w:r>
      <w:r w:rsidR="005A1E28">
        <w:t>‘</w:t>
      </w:r>
      <w:r w:rsidRPr="00733536">
        <w:t>quality-oriented</w:t>
      </w:r>
      <w:r w:rsidR="005A1E28">
        <w:t>’</w:t>
      </w:r>
      <w:r w:rsidRPr="00733536">
        <w:t xml:space="preserve"> back-shoring strategies</w:t>
      </w:r>
      <w:r w:rsidR="005A1E28">
        <w:t>,</w:t>
      </w:r>
      <w:r w:rsidRPr="00733536">
        <w:t xml:space="preserve"> i.e. when the relocation to the home country is aimed at implementing product upgrade strategies </w:t>
      </w:r>
      <w:r w:rsidR="008F7C96" w:rsidRPr="00733536">
        <w:fldChar w:fldCharType="begin"/>
      </w:r>
      <w:r w:rsidR="008F7C96" w:rsidRPr="00733536">
        <w:instrText xml:space="preserve"> REF _Ref55223229 \r \h </w:instrText>
      </w:r>
      <w:r w:rsidR="008F7C96" w:rsidRPr="00733536">
        <w:fldChar w:fldCharType="separate"/>
      </w:r>
      <w:r w:rsidR="008F7C96" w:rsidRPr="00733536">
        <w:t>[44]</w:t>
      </w:r>
      <w:r w:rsidR="008F7C96" w:rsidRPr="00733536">
        <w:fldChar w:fldCharType="end"/>
      </w:r>
      <w:r w:rsidR="005A1E28">
        <w:t>,</w:t>
      </w:r>
      <w:r w:rsidRPr="00733536">
        <w:t xml:space="preserve"> are less relevant. This finding is quite at odds with </w:t>
      </w:r>
      <w:r w:rsidR="005A1E28">
        <w:t xml:space="preserve">the </w:t>
      </w:r>
      <w:r w:rsidRPr="00733536">
        <w:t xml:space="preserve">previous evidence collected by </w:t>
      </w:r>
      <w:r w:rsidR="008F7C96" w:rsidRPr="00733536">
        <w:fldChar w:fldCharType="begin"/>
      </w:r>
      <w:r w:rsidR="008F7C96" w:rsidRPr="00733536">
        <w:instrText xml:space="preserve"> REF _Ref55223195 \r \h </w:instrText>
      </w:r>
      <w:r w:rsidR="008F7C96" w:rsidRPr="00733536">
        <w:fldChar w:fldCharType="separate"/>
      </w:r>
      <w:r w:rsidR="008F7C96" w:rsidRPr="00733536">
        <w:t>[10]</w:t>
      </w:r>
      <w:r w:rsidR="008F7C96" w:rsidRPr="00733536">
        <w:fldChar w:fldCharType="end"/>
      </w:r>
      <w:r w:rsidRPr="00733536">
        <w:t xml:space="preserve"> and </w:t>
      </w:r>
      <w:r w:rsidR="008F7C96" w:rsidRPr="00733536">
        <w:fldChar w:fldCharType="begin"/>
      </w:r>
      <w:r w:rsidR="008F7C96" w:rsidRPr="00733536">
        <w:instrText xml:space="preserve"> REF _Ref55223209 \r \h </w:instrText>
      </w:r>
      <w:r w:rsidR="008F7C96" w:rsidRPr="00733536">
        <w:fldChar w:fldCharType="separate"/>
      </w:r>
      <w:r w:rsidR="008F7C96" w:rsidRPr="00733536">
        <w:t>[24]</w:t>
      </w:r>
      <w:r w:rsidR="008F7C96" w:rsidRPr="00733536">
        <w:fldChar w:fldCharType="end"/>
      </w:r>
      <w:r w:rsidRPr="00733536">
        <w:t xml:space="preserve"> with respect to UK back-shoring </w:t>
      </w:r>
      <w:r w:rsidR="005A1E28">
        <w:t>companies</w:t>
      </w:r>
      <w:r w:rsidRPr="00733536">
        <w:t xml:space="preserve">. A final </w:t>
      </w:r>
      <w:r w:rsidR="005A1E28">
        <w:t>question</w:t>
      </w:r>
      <w:r w:rsidRPr="00733536">
        <w:t xml:space="preserve"> on the role of automation in back-shoring decisions is that </w:t>
      </w:r>
      <w:r w:rsidR="005A1E28" w:rsidRPr="00733536">
        <w:t xml:space="preserve">posed by </w:t>
      </w:r>
      <w:r w:rsidRPr="00733536">
        <w:t xml:space="preserve">the research </w:t>
      </w:r>
      <w:r w:rsidR="005A1E28">
        <w:t>of</w:t>
      </w:r>
      <w:r w:rsidRPr="00733536">
        <w:t xml:space="preserve"> </w:t>
      </w:r>
      <w:r w:rsidR="008F7C96" w:rsidRPr="00733536">
        <w:fldChar w:fldCharType="begin"/>
      </w:r>
      <w:r w:rsidR="008F7C96" w:rsidRPr="00733536">
        <w:instrText xml:space="preserve"> REF _Ref55223211 \r \h </w:instrText>
      </w:r>
      <w:r w:rsidR="008F7C96" w:rsidRPr="00733536">
        <w:fldChar w:fldCharType="separate"/>
      </w:r>
      <w:r w:rsidR="008F7C96" w:rsidRPr="00733536">
        <w:t>[26]</w:t>
      </w:r>
      <w:r w:rsidR="008F7C96" w:rsidRPr="00733536">
        <w:fldChar w:fldCharType="end"/>
      </w:r>
      <w:r w:rsidRPr="00733536">
        <w:t xml:space="preserve">: </w:t>
      </w:r>
      <w:r w:rsidR="00327F00">
        <w:rPr>
          <w:i/>
        </w:rPr>
        <w:t>‘</w:t>
      </w:r>
      <w:r w:rsidRPr="00733536">
        <w:rPr>
          <w:i/>
        </w:rPr>
        <w:t>if the level of automation should be seen as a factor acting as a barrier or driver</w:t>
      </w:r>
      <w:r w:rsidR="00327F00">
        <w:rPr>
          <w:i/>
        </w:rPr>
        <w:t>’</w:t>
      </w:r>
      <w:r w:rsidRPr="00733536">
        <w:t xml:space="preserve">, i.e. if it either boosts the back-shoring decision or its lack hinders </w:t>
      </w:r>
      <w:r w:rsidR="00E874B3">
        <w:t>a</w:t>
      </w:r>
      <w:r w:rsidRPr="00733536">
        <w:t xml:space="preserve"> relocation to the home country.</w:t>
      </w:r>
    </w:p>
    <w:p w14:paraId="0691DFFC" w14:textId="1211D8B0" w:rsidR="00274781" w:rsidRPr="00733536" w:rsidRDefault="00274781" w:rsidP="00274781">
      <w:r w:rsidRPr="00733536">
        <w:t xml:space="preserve">As far as the 3D/additive manufacturing technologies are concerned, it is expected they will have a disruptive impact on </w:t>
      </w:r>
      <w:r w:rsidR="00486A51">
        <w:t>g</w:t>
      </w:r>
      <w:r w:rsidRPr="00733536">
        <w:t xml:space="preserve">lobal </w:t>
      </w:r>
      <w:r w:rsidR="00486A51">
        <w:t>v</w:t>
      </w:r>
      <w:r w:rsidRPr="00733536">
        <w:t xml:space="preserve">alue </w:t>
      </w:r>
      <w:r w:rsidR="00486A51">
        <w:t>c</w:t>
      </w:r>
      <w:r w:rsidRPr="00733536">
        <w:t>hains (GVC), there</w:t>
      </w:r>
      <w:r w:rsidR="00E874B3">
        <w:t>by</w:t>
      </w:r>
      <w:r w:rsidRPr="00733536">
        <w:t xml:space="preserve"> also supporting back-shoring decisions </w:t>
      </w:r>
      <w:r w:rsidR="008F7C96" w:rsidRPr="00733536">
        <w:fldChar w:fldCharType="begin"/>
      </w:r>
      <w:r w:rsidR="008F7C96" w:rsidRPr="00733536">
        <w:instrText xml:space="preserve"> REF _Ref55223230 \r \h </w:instrText>
      </w:r>
      <w:r w:rsidR="008F7C96" w:rsidRPr="00733536">
        <w:fldChar w:fldCharType="separate"/>
      </w:r>
      <w:r w:rsidR="008F7C96" w:rsidRPr="00733536">
        <w:t>[45]</w:t>
      </w:r>
      <w:r w:rsidR="008F7C96" w:rsidRPr="00733536">
        <w:fldChar w:fldCharType="end"/>
      </w:r>
      <w:r w:rsidR="002923BD" w:rsidRPr="00733536">
        <w:t>,</w:t>
      </w:r>
      <w:r w:rsidR="00F12D34">
        <w:t xml:space="preserve"> </w:t>
      </w:r>
      <w:r w:rsidR="008F7C96" w:rsidRPr="00733536">
        <w:fldChar w:fldCharType="begin"/>
      </w:r>
      <w:r w:rsidR="008F7C96" w:rsidRPr="00733536">
        <w:instrText xml:space="preserve"> REF _Ref55223231 \r \h </w:instrText>
      </w:r>
      <w:r w:rsidR="008F7C96" w:rsidRPr="00733536">
        <w:fldChar w:fldCharType="separate"/>
      </w:r>
      <w:r w:rsidR="008F7C96" w:rsidRPr="00733536">
        <w:t>[46]</w:t>
      </w:r>
      <w:r w:rsidR="008F7C96" w:rsidRPr="00733536">
        <w:fldChar w:fldCharType="end"/>
      </w:r>
      <w:r w:rsidRPr="00733536">
        <w:t>. In this respect</w:t>
      </w:r>
      <w:r w:rsidR="00327F00">
        <w:t>,</w:t>
      </w:r>
      <w:r w:rsidR="00486A51">
        <w:t xml:space="preserve"> it</w:t>
      </w:r>
      <w:r w:rsidRPr="00733536">
        <w:t xml:space="preserve"> is worth noting that </w:t>
      </w:r>
      <w:r w:rsidR="008F7C96" w:rsidRPr="00733536">
        <w:fldChar w:fldCharType="begin"/>
      </w:r>
      <w:r w:rsidR="008F7C96" w:rsidRPr="00733536">
        <w:instrText xml:space="preserve"> REF _Ref55223199 \r \h </w:instrText>
      </w:r>
      <w:r w:rsidR="008F7C96" w:rsidRPr="00733536">
        <w:fldChar w:fldCharType="separate"/>
      </w:r>
      <w:r w:rsidR="008F7C96" w:rsidRPr="00733536">
        <w:t>[14]</w:t>
      </w:r>
      <w:r w:rsidR="008F7C96" w:rsidRPr="00733536">
        <w:fldChar w:fldCharType="end"/>
      </w:r>
      <w:r w:rsidRPr="00733536">
        <w:t xml:space="preserve"> found that 72</w:t>
      </w:r>
      <w:r w:rsidR="009D56E3" w:rsidRPr="00733536">
        <w:t> </w:t>
      </w:r>
      <w:r w:rsidRPr="00733536">
        <w:t xml:space="preserve">% of </w:t>
      </w:r>
      <w:r w:rsidR="00486A51">
        <w:t xml:space="preserve">the </w:t>
      </w:r>
      <w:r w:rsidRPr="00733536">
        <w:t xml:space="preserve">50 companies </w:t>
      </w:r>
      <w:r w:rsidR="00486A51" w:rsidRPr="00733536">
        <w:t xml:space="preserve">investigated </w:t>
      </w:r>
      <w:r w:rsidR="00486A51">
        <w:t xml:space="preserve">that were </w:t>
      </w:r>
      <w:r w:rsidRPr="00733536">
        <w:t>adopting additive manufacturing technologies positively evaluate</w:t>
      </w:r>
      <w:r w:rsidR="00486A51">
        <w:t>d</w:t>
      </w:r>
      <w:r w:rsidRPr="00733536">
        <w:t xml:space="preserve"> the contribution it makes to back-shoring decisions. In </w:t>
      </w:r>
      <w:r w:rsidR="00327F00">
        <w:t>addition</w:t>
      </w:r>
      <w:r w:rsidRPr="00733536">
        <w:t xml:space="preserve">, </w:t>
      </w:r>
      <w:r w:rsidR="008F7C96" w:rsidRPr="00733536">
        <w:fldChar w:fldCharType="begin"/>
      </w:r>
      <w:r w:rsidR="008F7C96" w:rsidRPr="00733536">
        <w:instrText xml:space="preserve"> REF _Ref55223232 \r \h </w:instrText>
      </w:r>
      <w:r w:rsidR="008F7C96" w:rsidRPr="00733536">
        <w:fldChar w:fldCharType="separate"/>
      </w:r>
      <w:r w:rsidR="008F7C96" w:rsidRPr="00733536">
        <w:t>[47]</w:t>
      </w:r>
      <w:r w:rsidR="008F7C96" w:rsidRPr="00733536">
        <w:fldChar w:fldCharType="end"/>
      </w:r>
      <w:r w:rsidRPr="00733536">
        <w:t xml:space="preserve"> states that 3D printing technologies will induce firms to locate manufacturing activities closer to customers; hence</w:t>
      </w:r>
      <w:r w:rsidR="00486A51">
        <w:t>,</w:t>
      </w:r>
      <w:r w:rsidRPr="00733536">
        <w:t xml:space="preserve"> its adoption would boost reshoring decisions. </w:t>
      </w:r>
      <w:r w:rsidR="00327F00">
        <w:t xml:space="preserve">However, </w:t>
      </w:r>
      <w:r w:rsidR="008F7C96" w:rsidRPr="00733536">
        <w:fldChar w:fldCharType="begin"/>
      </w:r>
      <w:r w:rsidR="008F7C96" w:rsidRPr="00733536">
        <w:instrText xml:space="preserve"> REF _Ref55223195 \r \h </w:instrText>
      </w:r>
      <w:r w:rsidR="008F7C96" w:rsidRPr="00733536">
        <w:fldChar w:fldCharType="separate"/>
      </w:r>
      <w:r w:rsidR="008F7C96" w:rsidRPr="00733536">
        <w:t>[10]</w:t>
      </w:r>
      <w:r w:rsidR="008F7C96" w:rsidRPr="00733536">
        <w:fldChar w:fldCharType="end"/>
      </w:r>
      <w:r w:rsidRPr="00733536">
        <w:t xml:space="preserve"> adopt a more restrictive position, stating that this technology may support the implementation of only quality-oriented back-shoring decisions.</w:t>
      </w:r>
    </w:p>
    <w:p w14:paraId="25FFF3C8" w14:textId="7FBBD6FC" w:rsidR="004A0700" w:rsidRPr="00733536" w:rsidRDefault="00327F00" w:rsidP="00C91728">
      <w:r>
        <w:t>A</w:t>
      </w:r>
      <w:r w:rsidR="004A0700" w:rsidRPr="00733536">
        <w:t xml:space="preserve">dditive manufacturing better supports product development processes and </w:t>
      </w:r>
      <w:r>
        <w:t xml:space="preserve">the </w:t>
      </w:r>
      <w:r w:rsidR="004A0700" w:rsidRPr="00733536">
        <w:t xml:space="preserve">integration </w:t>
      </w:r>
      <w:r>
        <w:t xml:space="preserve">of </w:t>
      </w:r>
      <w:r w:rsidR="004A0700" w:rsidRPr="00733536">
        <w:t xml:space="preserve">R&amp;D, design, production and marketing functions </w:t>
      </w:r>
      <w:r w:rsidR="008F7C96" w:rsidRPr="00733536">
        <w:fldChar w:fldCharType="begin"/>
      </w:r>
      <w:r w:rsidR="008F7C96" w:rsidRPr="00733536">
        <w:instrText xml:space="preserve"> REF _Ref55223207 \r \h </w:instrText>
      </w:r>
      <w:r w:rsidR="008F7C96" w:rsidRPr="00733536">
        <w:fldChar w:fldCharType="separate"/>
      </w:r>
      <w:r w:rsidR="008F7C96" w:rsidRPr="00733536">
        <w:t>[22]</w:t>
      </w:r>
      <w:r w:rsidR="008F7C96" w:rsidRPr="00733536">
        <w:fldChar w:fldCharType="end"/>
      </w:r>
      <w:r w:rsidR="004A0700" w:rsidRPr="00733536">
        <w:t xml:space="preserve">. Moreover, additive manufacturing allows </w:t>
      </w:r>
      <w:r w:rsidR="00C35BFF">
        <w:t>companies</w:t>
      </w:r>
      <w:r w:rsidR="004A0700" w:rsidRPr="00733536">
        <w:t xml:space="preserve"> to reduce prototyping costs and times </w:t>
      </w:r>
      <w:r w:rsidR="008F7C96" w:rsidRPr="00733536">
        <w:fldChar w:fldCharType="begin"/>
      </w:r>
      <w:r w:rsidR="008F7C96" w:rsidRPr="00733536">
        <w:instrText xml:space="preserve"> REF _Ref55223196 \r \h </w:instrText>
      </w:r>
      <w:r w:rsidR="008F7C96" w:rsidRPr="00733536">
        <w:fldChar w:fldCharType="separate"/>
      </w:r>
      <w:r w:rsidR="008F7C96" w:rsidRPr="00733536">
        <w:t>[11]</w:t>
      </w:r>
      <w:r w:rsidR="008F7C96" w:rsidRPr="00733536">
        <w:fldChar w:fldCharType="end"/>
      </w:r>
      <w:r w:rsidR="004A0700" w:rsidRPr="00733536">
        <w:t xml:space="preserve">. </w:t>
      </w:r>
      <w:r w:rsidR="00C35BFF">
        <w:t>In addition</w:t>
      </w:r>
      <w:r w:rsidR="004A0700" w:rsidRPr="00733536">
        <w:t xml:space="preserve">, </w:t>
      </w:r>
      <w:r w:rsidR="008F7C96" w:rsidRPr="00733536">
        <w:fldChar w:fldCharType="begin"/>
      </w:r>
      <w:r w:rsidR="008F7C96" w:rsidRPr="00733536">
        <w:instrText xml:space="preserve"> REF _Ref55223199 \r \h </w:instrText>
      </w:r>
      <w:r w:rsidR="008F7C96" w:rsidRPr="00733536">
        <w:fldChar w:fldCharType="separate"/>
      </w:r>
      <w:r w:rsidR="008F7C96" w:rsidRPr="00733536">
        <w:t>[14]</w:t>
      </w:r>
      <w:r w:rsidR="008F7C96" w:rsidRPr="00733536">
        <w:fldChar w:fldCharType="end"/>
      </w:r>
      <w:r w:rsidR="00323B92" w:rsidRPr="00733536">
        <w:t xml:space="preserve"> </w:t>
      </w:r>
      <w:r w:rsidR="004A0700" w:rsidRPr="00733536">
        <w:t xml:space="preserve">state </w:t>
      </w:r>
      <w:r w:rsidR="00C35BFF">
        <w:t xml:space="preserve">that </w:t>
      </w:r>
      <w:r w:rsidR="004A0700" w:rsidRPr="00733536">
        <w:t xml:space="preserve">relocation to the home country is boosted by the following six benefits that additive manufacturing technologies offer in terms of supply chain management: </w:t>
      </w:r>
      <w:r w:rsidR="00C35BFF">
        <w:rPr>
          <w:i/>
        </w:rPr>
        <w:t>‘</w:t>
      </w:r>
      <w:r w:rsidR="004A0700" w:rsidRPr="00733536">
        <w:rPr>
          <w:i/>
        </w:rPr>
        <w:t>shorter lead time, responsiveness to the product and market changes, lower transportation costs, fewer miscommunications with suppliers, more customization options, fewer products stored in inventory</w:t>
      </w:r>
      <w:r w:rsidR="00C35BFF">
        <w:rPr>
          <w:i/>
        </w:rPr>
        <w:t>’</w:t>
      </w:r>
      <w:r w:rsidR="004A0700" w:rsidRPr="00733536">
        <w:t xml:space="preserve">. At the same time, </w:t>
      </w:r>
      <w:r w:rsidR="008F7C96" w:rsidRPr="00733536">
        <w:fldChar w:fldCharType="begin"/>
      </w:r>
      <w:r w:rsidR="008F7C96" w:rsidRPr="00733536">
        <w:instrText xml:space="preserve"> REF _Ref55223197 \r \h </w:instrText>
      </w:r>
      <w:r w:rsidR="008F7C96" w:rsidRPr="00733536">
        <w:fldChar w:fldCharType="separate"/>
      </w:r>
      <w:r w:rsidR="008F7C96" w:rsidRPr="00733536">
        <w:t>[12]</w:t>
      </w:r>
      <w:r w:rsidR="008F7C96" w:rsidRPr="00733536">
        <w:fldChar w:fldCharType="end"/>
      </w:r>
      <w:r w:rsidR="00C35BFF">
        <w:t xml:space="preserve"> and </w:t>
      </w:r>
      <w:r w:rsidR="008F7C96" w:rsidRPr="00733536">
        <w:fldChar w:fldCharType="begin"/>
      </w:r>
      <w:r w:rsidR="008F7C96" w:rsidRPr="00733536">
        <w:instrText xml:space="preserve"> REF _Ref55223198 \r \h </w:instrText>
      </w:r>
      <w:r w:rsidR="008F7C96" w:rsidRPr="00733536">
        <w:fldChar w:fldCharType="separate"/>
      </w:r>
      <w:r w:rsidR="008F7C96" w:rsidRPr="00733536">
        <w:t>[13]</w:t>
      </w:r>
      <w:r w:rsidR="008F7C96" w:rsidRPr="00733536">
        <w:fldChar w:fldCharType="end"/>
      </w:r>
      <w:r w:rsidR="00323B92" w:rsidRPr="00733536">
        <w:t xml:space="preserve"> </w:t>
      </w:r>
      <w:r w:rsidR="004A0700" w:rsidRPr="00733536">
        <w:t xml:space="preserve">present evidence that </w:t>
      </w:r>
      <w:r w:rsidR="00C35BFF">
        <w:t xml:space="preserve">the </w:t>
      </w:r>
      <w:r w:rsidR="004A0700" w:rsidRPr="00733536">
        <w:t xml:space="preserve">technical and economic benefits provided by 3D printing represent an adequate response to several of the back-shoring drivers discussed in the extant literature </w:t>
      </w:r>
      <w:r w:rsidR="008F7C96" w:rsidRPr="00733536">
        <w:fldChar w:fldCharType="begin"/>
      </w:r>
      <w:r w:rsidR="008F7C96" w:rsidRPr="00733536">
        <w:instrText xml:space="preserve"> REF _Ref55223192 \r \h </w:instrText>
      </w:r>
      <w:r w:rsidR="008F7C96" w:rsidRPr="00733536">
        <w:fldChar w:fldCharType="separate"/>
      </w:r>
      <w:r w:rsidR="008F7C96" w:rsidRPr="00733536">
        <w:t>[7]</w:t>
      </w:r>
      <w:r w:rsidR="008F7C96" w:rsidRPr="00733536">
        <w:fldChar w:fldCharType="end"/>
      </w:r>
      <w:r w:rsidR="004A0700" w:rsidRPr="00733536">
        <w:t xml:space="preserve">. </w:t>
      </w:r>
      <w:r w:rsidR="00C35BFF">
        <w:t>Furthermore</w:t>
      </w:r>
      <w:r w:rsidR="004A0700" w:rsidRPr="00733536">
        <w:t xml:space="preserve">, </w:t>
      </w:r>
      <w:r w:rsidR="008F7C96" w:rsidRPr="00733536">
        <w:fldChar w:fldCharType="begin"/>
      </w:r>
      <w:r w:rsidR="008F7C96" w:rsidRPr="00733536">
        <w:instrText xml:space="preserve"> REF _Ref55223197 \r \h </w:instrText>
      </w:r>
      <w:r w:rsidR="008F7C96" w:rsidRPr="00733536">
        <w:fldChar w:fldCharType="separate"/>
      </w:r>
      <w:r w:rsidR="008F7C96" w:rsidRPr="00733536">
        <w:t>[12]</w:t>
      </w:r>
      <w:r w:rsidR="008F7C96" w:rsidRPr="00733536">
        <w:fldChar w:fldCharType="end"/>
      </w:r>
      <w:r w:rsidR="00C35BFF">
        <w:t xml:space="preserve"> and </w:t>
      </w:r>
      <w:r w:rsidR="008F7C96" w:rsidRPr="00733536">
        <w:fldChar w:fldCharType="begin"/>
      </w:r>
      <w:r w:rsidR="008F7C96" w:rsidRPr="00733536">
        <w:instrText xml:space="preserve"> REF _Ref55223198 \r \h </w:instrText>
      </w:r>
      <w:r w:rsidR="008F7C96" w:rsidRPr="00733536">
        <w:fldChar w:fldCharType="separate"/>
      </w:r>
      <w:r w:rsidR="008F7C96" w:rsidRPr="00733536">
        <w:t>[13]</w:t>
      </w:r>
      <w:r w:rsidR="008F7C96" w:rsidRPr="00733536">
        <w:fldChar w:fldCharType="end"/>
      </w:r>
      <w:r w:rsidR="00323B92" w:rsidRPr="00733536">
        <w:t xml:space="preserve"> </w:t>
      </w:r>
      <w:r w:rsidR="004A0700" w:rsidRPr="00733536">
        <w:t xml:space="preserve">showed that industries in which additive manufacturing technologies are implemented are </w:t>
      </w:r>
      <w:r w:rsidR="00AF38B8" w:rsidRPr="00733536">
        <w:t xml:space="preserve">generally the same ones in </w:t>
      </w:r>
      <w:r w:rsidR="00BC560F" w:rsidRPr="00733536">
        <w:t xml:space="preserve">which earlier empirical research found evidence of </w:t>
      </w:r>
      <w:r w:rsidR="004A0700" w:rsidRPr="00733536">
        <w:t xml:space="preserve">back-shoring strategies. This finding completes the previous evidence </w:t>
      </w:r>
      <w:r>
        <w:t xml:space="preserve">presented </w:t>
      </w:r>
      <w:r w:rsidR="004A0700" w:rsidRPr="00733536">
        <w:t xml:space="preserve">by </w:t>
      </w:r>
      <w:r w:rsidR="008F7C96" w:rsidRPr="00733536">
        <w:fldChar w:fldCharType="begin"/>
      </w:r>
      <w:r w:rsidR="008F7C96" w:rsidRPr="00733536">
        <w:instrText xml:space="preserve"> REF _Ref55223233 \r \h </w:instrText>
      </w:r>
      <w:r w:rsidR="008F7C96" w:rsidRPr="00733536">
        <w:fldChar w:fldCharType="separate"/>
      </w:r>
      <w:r w:rsidR="008F7C96" w:rsidRPr="00733536">
        <w:t>[48]</w:t>
      </w:r>
      <w:r w:rsidR="008F7C96" w:rsidRPr="00733536">
        <w:fldChar w:fldCharType="end"/>
      </w:r>
      <w:r w:rsidR="00C35BFF">
        <w:t>,</w:t>
      </w:r>
      <w:r w:rsidR="00323B92" w:rsidRPr="00733536">
        <w:t xml:space="preserve"> </w:t>
      </w:r>
      <w:r w:rsidR="004A0700" w:rsidRPr="00733536">
        <w:t>who classified manufacturing industries according to their propensity to adopt additive manufacturing technologies.</w:t>
      </w:r>
    </w:p>
    <w:p w14:paraId="658B455C" w14:textId="3626A9FD" w:rsidR="00F14CC7" w:rsidRPr="00733536" w:rsidRDefault="004A0700" w:rsidP="00F14CC7">
      <w:r w:rsidRPr="00733536">
        <w:t>As already noted, the attention paid by scholars to the relationship (if any)</w:t>
      </w:r>
      <w:r w:rsidR="00C35BFF">
        <w:t xml:space="preserve">, </w:t>
      </w:r>
      <w:r w:rsidRPr="00733536">
        <w:t>and even the causality</w:t>
      </w:r>
      <w:r w:rsidR="00C35BFF">
        <w:t xml:space="preserve">, </w:t>
      </w:r>
      <w:r w:rsidRPr="00733536">
        <w:t xml:space="preserve">between manufacturing reshoring and the whole set of Industry 4.0 </w:t>
      </w:r>
      <w:r w:rsidRPr="00733536">
        <w:lastRenderedPageBreak/>
        <w:t xml:space="preserve">technologies is still in its infancy. Among the few authors who have investigated such a linkage, </w:t>
      </w:r>
      <w:r w:rsidR="008F7C96" w:rsidRPr="00733536">
        <w:fldChar w:fldCharType="begin"/>
      </w:r>
      <w:r w:rsidR="008F7C96" w:rsidRPr="00733536">
        <w:instrText xml:space="preserve"> REF _Ref55223195 \r \h </w:instrText>
      </w:r>
      <w:r w:rsidR="008F7C96" w:rsidRPr="00733536">
        <w:fldChar w:fldCharType="separate"/>
      </w:r>
      <w:r w:rsidR="008F7C96" w:rsidRPr="00733536">
        <w:t>[10]</w:t>
      </w:r>
      <w:r w:rsidR="008F7C96" w:rsidRPr="00733536">
        <w:fldChar w:fldCharType="end"/>
      </w:r>
      <w:r w:rsidR="00C91728" w:rsidRPr="00733536">
        <w:t xml:space="preserve"> </w:t>
      </w:r>
      <w:r w:rsidRPr="00733536">
        <w:t xml:space="preserve">point out </w:t>
      </w:r>
      <w:r w:rsidR="00C35BFF">
        <w:t>that ‘</w:t>
      </w:r>
      <w:r w:rsidRPr="00733536">
        <w:t>robotics is not a necessary ingredient of [back-]reshoring</w:t>
      </w:r>
      <w:r w:rsidR="00C35BFF">
        <w:t>’</w:t>
      </w:r>
      <w:r w:rsidR="00327F00">
        <w:t>,</w:t>
      </w:r>
      <w:r w:rsidRPr="00733536">
        <w:t xml:space="preserve"> but </w:t>
      </w:r>
      <w:r w:rsidR="00C35BFF">
        <w:t>‘</w:t>
      </w:r>
      <w:r w:rsidRPr="00733536">
        <w:t>Industry 4.0 supports manufacturing [back-]reshoring when design and product innovation are involved</w:t>
      </w:r>
      <w:r w:rsidR="00C35BFF">
        <w:t>’</w:t>
      </w:r>
      <w:r w:rsidRPr="00733536">
        <w:t xml:space="preserve">. At the same time, </w:t>
      </w:r>
      <w:r w:rsidR="008F7C96" w:rsidRPr="00733536">
        <w:fldChar w:fldCharType="begin"/>
      </w:r>
      <w:r w:rsidR="008F7C96" w:rsidRPr="00733536">
        <w:instrText xml:space="preserve"> REF _Ref55223196 \r \h </w:instrText>
      </w:r>
      <w:r w:rsidR="008F7C96" w:rsidRPr="00733536">
        <w:fldChar w:fldCharType="separate"/>
      </w:r>
      <w:r w:rsidR="008F7C96" w:rsidRPr="00733536">
        <w:t>[11]</w:t>
      </w:r>
      <w:r w:rsidR="008F7C96" w:rsidRPr="00733536">
        <w:fldChar w:fldCharType="end"/>
      </w:r>
      <w:r w:rsidR="00F20489" w:rsidRPr="00733536">
        <w:t xml:space="preserve"> </w:t>
      </w:r>
      <w:r w:rsidRPr="00733536">
        <w:t>provide evidence that</w:t>
      </w:r>
      <w:r w:rsidR="00C35BFF">
        <w:t xml:space="preserve">, </w:t>
      </w:r>
      <w:r w:rsidRPr="00733536">
        <w:t>at least until now</w:t>
      </w:r>
      <w:r w:rsidR="00C35BFF">
        <w:t xml:space="preserve">, </w:t>
      </w:r>
      <w:r w:rsidRPr="00733536">
        <w:t>back-shoring decisions have been implemented without investing in new technologies, especially if the relocation was aimed at leveraging the ‘made in’ effect and/or shortening the lead time and improving</w:t>
      </w:r>
      <w:r w:rsidR="00F853FE">
        <w:t xml:space="preserve"> the</w:t>
      </w:r>
      <w:r w:rsidRPr="00733536">
        <w:t xml:space="preserve"> </w:t>
      </w:r>
      <w:r w:rsidR="00F853FE">
        <w:t>company’s</w:t>
      </w:r>
      <w:r w:rsidRPr="00733536">
        <w:t xml:space="preserve"> responsiveness. However, authors expect Industry 4.0 may</w:t>
      </w:r>
      <w:r w:rsidR="00F853FE">
        <w:t>,</w:t>
      </w:r>
      <w:r w:rsidRPr="00733536">
        <w:t xml:space="preserve"> </w:t>
      </w:r>
      <w:r w:rsidR="00F853FE" w:rsidRPr="00733536">
        <w:t>in the near future</w:t>
      </w:r>
      <w:r w:rsidR="00F853FE">
        <w:t>,</w:t>
      </w:r>
      <w:r w:rsidR="00F853FE" w:rsidRPr="00733536">
        <w:t xml:space="preserve"> </w:t>
      </w:r>
      <w:r w:rsidRPr="00733536">
        <w:t>play a specific role in supporting manufacturing relocation decisions, especially in the case of skill shortage</w:t>
      </w:r>
      <w:r w:rsidR="00F853FE">
        <w:t xml:space="preserve">s, </w:t>
      </w:r>
      <w:r w:rsidRPr="00733536">
        <w:t xml:space="preserve">due to </w:t>
      </w:r>
      <w:r w:rsidR="00F853FE">
        <w:t xml:space="preserve">the </w:t>
      </w:r>
      <w:r w:rsidRPr="00733536">
        <w:t>previous de-industriali</w:t>
      </w:r>
      <w:r w:rsidR="00F853FE">
        <w:t>s</w:t>
      </w:r>
      <w:r w:rsidRPr="00733536">
        <w:t>ation emerging after decades of manufacturing off-shoring and/or when companies aim to improve design and strengthen product-development linkage</w:t>
      </w:r>
      <w:r w:rsidR="00F853FE">
        <w:t>s</w:t>
      </w:r>
      <w:r w:rsidRPr="00733536">
        <w:t xml:space="preserve">. </w:t>
      </w:r>
      <w:r w:rsidR="00F853FE">
        <w:t>These</w:t>
      </w:r>
      <w:r w:rsidRPr="00733536">
        <w:t xml:space="preserve"> findings are also confirmed by</w:t>
      </w:r>
      <w:r w:rsidR="00F20489" w:rsidRPr="00733536">
        <w:t xml:space="preserve"> </w:t>
      </w:r>
      <w:r w:rsidR="008F7C96" w:rsidRPr="00733536">
        <w:fldChar w:fldCharType="begin"/>
      </w:r>
      <w:r w:rsidR="008F7C96" w:rsidRPr="00733536">
        <w:instrText xml:space="preserve"> REF _Ref55223220 \r \h </w:instrText>
      </w:r>
      <w:r w:rsidR="008F7C96" w:rsidRPr="00733536">
        <w:fldChar w:fldCharType="separate"/>
      </w:r>
      <w:r w:rsidR="008F7C96" w:rsidRPr="00733536">
        <w:t>[35]</w:t>
      </w:r>
      <w:r w:rsidR="008F7C96" w:rsidRPr="00733536">
        <w:fldChar w:fldCharType="end"/>
      </w:r>
      <w:r w:rsidR="00F853FE">
        <w:t>,</w:t>
      </w:r>
      <w:r w:rsidRPr="00733536">
        <w:t xml:space="preserve"> who analysed a sample of Danish manufacturing companies. They found that the investigated technologies ha</w:t>
      </w:r>
      <w:r w:rsidR="00F853FE">
        <w:t>d</w:t>
      </w:r>
      <w:r w:rsidRPr="00733536">
        <w:t xml:space="preserve"> no impact on the decision to relocate manufacturing activities to the home country. In contrast, </w:t>
      </w:r>
      <w:r w:rsidR="008F7C96" w:rsidRPr="00733536">
        <w:fldChar w:fldCharType="begin"/>
      </w:r>
      <w:r w:rsidR="008F7C96" w:rsidRPr="00733536">
        <w:instrText xml:space="preserve"> REF _Ref55223208 \r \h </w:instrText>
      </w:r>
      <w:r w:rsidR="008F7C96" w:rsidRPr="00733536">
        <w:fldChar w:fldCharType="separate"/>
      </w:r>
      <w:r w:rsidR="008F7C96" w:rsidRPr="00733536">
        <w:t>[23]</w:t>
      </w:r>
      <w:r w:rsidR="008F7C96" w:rsidRPr="00733536">
        <w:fldChar w:fldCharType="end"/>
      </w:r>
      <w:r w:rsidR="00F20489" w:rsidRPr="00733536">
        <w:t xml:space="preserve"> </w:t>
      </w:r>
      <w:r w:rsidRPr="00733536">
        <w:t xml:space="preserve">found a positive and significant association between investments in Industry 4.0 technologies and back-shoring decisions. </w:t>
      </w:r>
    </w:p>
    <w:p w14:paraId="673808DC" w14:textId="1271276E" w:rsidR="004A0700" w:rsidRPr="00733536" w:rsidRDefault="004A0700" w:rsidP="00712DCE">
      <w:r w:rsidRPr="00733536">
        <w:t>Moreover, their study</w:t>
      </w:r>
      <w:r w:rsidR="00F853FE">
        <w:t xml:space="preserve">, </w:t>
      </w:r>
      <w:r w:rsidRPr="00733536">
        <w:t xml:space="preserve">which focused on manufacturing companies </w:t>
      </w:r>
      <w:r w:rsidR="00F853FE">
        <w:t>in</w:t>
      </w:r>
      <w:r w:rsidRPr="00733536">
        <w:t xml:space="preserve"> Germany, Austria and Switzerland</w:t>
      </w:r>
      <w:r w:rsidR="00F853FE">
        <w:t>,</w:t>
      </w:r>
      <w:r w:rsidRPr="00733536">
        <w:t xml:space="preserve"> shows that there is no causality between the two variables since both are driven by the research on higher levels of flexibility. It is worth noting that a previous investigation </w:t>
      </w:r>
      <w:r w:rsidR="00F853FE">
        <w:t>into</w:t>
      </w:r>
      <w:r w:rsidRPr="00733536">
        <w:t xml:space="preserve"> a German sample conducted by </w:t>
      </w:r>
      <w:r w:rsidR="008F7C96" w:rsidRPr="00733536">
        <w:fldChar w:fldCharType="begin"/>
      </w:r>
      <w:r w:rsidR="008F7C96" w:rsidRPr="00733536">
        <w:instrText xml:space="preserve"> REF _Ref55223234 \r \h </w:instrText>
      </w:r>
      <w:r w:rsidR="008F7C96" w:rsidRPr="00733536">
        <w:fldChar w:fldCharType="separate"/>
      </w:r>
      <w:r w:rsidR="008F7C96" w:rsidRPr="00733536">
        <w:t>[49]</w:t>
      </w:r>
      <w:r w:rsidR="008F7C96" w:rsidRPr="00733536">
        <w:fldChar w:fldCharType="end"/>
      </w:r>
      <w:r w:rsidR="00F20489" w:rsidRPr="00733536">
        <w:t xml:space="preserve"> </w:t>
      </w:r>
      <w:r w:rsidRPr="00733536">
        <w:t xml:space="preserve">found that </w:t>
      </w:r>
      <w:r w:rsidR="008D0774" w:rsidRPr="00733536">
        <w:t xml:space="preserve">Industry 4.0 technologies played a role in supporting back-shoring decisions </w:t>
      </w:r>
      <w:r w:rsidRPr="00733536">
        <w:t xml:space="preserve">in only 13 of the 50 sampled back-shoring decisions they analysed. </w:t>
      </w:r>
      <w:r w:rsidR="008D0774">
        <w:t>Furthermore</w:t>
      </w:r>
      <w:r w:rsidRPr="00733536">
        <w:t xml:space="preserve">, the relationship between the two issues was not adequately corroborated by </w:t>
      </w:r>
      <w:r w:rsidR="008D0774">
        <w:t xml:space="preserve">a </w:t>
      </w:r>
      <w:r w:rsidRPr="00733536">
        <w:t>quantitative analysis</w:t>
      </w:r>
      <w:r w:rsidR="008D0774">
        <w:t>,</w:t>
      </w:r>
      <w:r w:rsidRPr="00733536">
        <w:t xml:space="preserve"> since the mean value was below 3 on a Likert scale from 1 to 5 (specifically, 2</w:t>
      </w:r>
      <w:r w:rsidR="008D0774">
        <w:t>.</w:t>
      </w:r>
      <w:r w:rsidRPr="00733536">
        <w:t>3 for companies implementing relocation to the home country coupled with in-sourcing</w:t>
      </w:r>
      <w:r w:rsidR="008D0774">
        <w:t>,</w:t>
      </w:r>
      <w:r w:rsidRPr="00733536">
        <w:t xml:space="preserve"> and 2</w:t>
      </w:r>
      <w:r w:rsidR="008D0774">
        <w:t>.</w:t>
      </w:r>
      <w:r w:rsidRPr="00733536">
        <w:t xml:space="preserve">2 for those </w:t>
      </w:r>
      <w:r w:rsidR="008D0774">
        <w:t>that</w:t>
      </w:r>
      <w:r w:rsidRPr="00733536">
        <w:t xml:space="preserve"> out-sourced reshored production activities). Findings by </w:t>
      </w:r>
      <w:r w:rsidR="008F7C96" w:rsidRPr="00733536">
        <w:fldChar w:fldCharType="begin"/>
      </w:r>
      <w:r w:rsidR="008F7C96" w:rsidRPr="00733536">
        <w:instrText xml:space="preserve"> REF _Ref55223234 \r \h </w:instrText>
      </w:r>
      <w:r w:rsidR="008F7C96" w:rsidRPr="00733536">
        <w:fldChar w:fldCharType="separate"/>
      </w:r>
      <w:r w:rsidR="008F7C96" w:rsidRPr="00733536">
        <w:t>[49]</w:t>
      </w:r>
      <w:r w:rsidR="008F7C96" w:rsidRPr="00733536">
        <w:fldChar w:fldCharType="end"/>
      </w:r>
      <w:r w:rsidR="00F20489" w:rsidRPr="00733536">
        <w:t xml:space="preserve"> </w:t>
      </w:r>
      <w:r w:rsidRPr="00733536">
        <w:t xml:space="preserve">also show that the adoption of </w:t>
      </w:r>
      <w:r w:rsidR="00304242">
        <w:t xml:space="preserve">the </w:t>
      </w:r>
      <w:r w:rsidRPr="00733536">
        <w:t>investigated technologies is mainly related to companies declaring the following back-shoring drivers: innovation, testing of technologies and time</w:t>
      </w:r>
      <w:r w:rsidR="008D0774">
        <w:t>-</w:t>
      </w:r>
      <w:r w:rsidRPr="00733536">
        <w:t>to</w:t>
      </w:r>
      <w:r w:rsidR="008D0774">
        <w:t>-</w:t>
      </w:r>
      <w:r w:rsidRPr="00733536">
        <w:t xml:space="preserve">market reduction. Of specific note is the </w:t>
      </w:r>
      <w:r w:rsidR="008F7C96" w:rsidRPr="00733536">
        <w:fldChar w:fldCharType="begin"/>
      </w:r>
      <w:r w:rsidR="008F7C96" w:rsidRPr="00733536">
        <w:instrText xml:space="preserve"> REF _Ref55223208 \r \h </w:instrText>
      </w:r>
      <w:r w:rsidR="008F7C96" w:rsidRPr="00733536">
        <w:fldChar w:fldCharType="separate"/>
      </w:r>
      <w:r w:rsidR="008F7C96" w:rsidRPr="00733536">
        <w:t>[23]</w:t>
      </w:r>
      <w:r w:rsidR="008F7C96" w:rsidRPr="00733536">
        <w:fldChar w:fldCharType="end"/>
      </w:r>
      <w:r w:rsidR="00F20489" w:rsidRPr="00733536">
        <w:t xml:space="preserve"> </w:t>
      </w:r>
      <w:r w:rsidRPr="00733536">
        <w:t xml:space="preserve">study in which the authors point out that the higher level of responsiveness allowed by Industry 4.0 technologies may be carefully evaluated in terms of </w:t>
      </w:r>
      <w:r w:rsidR="008D0774">
        <w:t xml:space="preserve">the </w:t>
      </w:r>
      <w:r w:rsidRPr="00733536">
        <w:t xml:space="preserve">geographical distribution of </w:t>
      </w:r>
      <w:r w:rsidR="008D0774">
        <w:t>a company’s</w:t>
      </w:r>
      <w:r w:rsidRPr="00733536">
        <w:t xml:space="preserve"> customers. More specifically, if company customers are located in countries/regions other than the home country, the adoption of Industry 4.0 technologies would induce companies to implement RTC strategies, either in the form of near-shoring or of further off-shoring. </w:t>
      </w:r>
    </w:p>
    <w:p w14:paraId="6BB8CB84" w14:textId="10A6B75D" w:rsidR="004A0700" w:rsidRPr="00733536" w:rsidRDefault="004A0700" w:rsidP="004A0700">
      <w:r w:rsidRPr="00733536">
        <w:t xml:space="preserve">To sum up, the structured literature review conducted offers a varied set of results </w:t>
      </w:r>
      <w:r w:rsidR="008D0774">
        <w:t>that</w:t>
      </w:r>
      <w:r w:rsidRPr="00733536">
        <w:t xml:space="preserve"> are not conclusive. While several authors recognise that </w:t>
      </w:r>
      <w:r w:rsidR="00873596">
        <w:t>individual</w:t>
      </w:r>
      <w:r w:rsidRPr="00733536">
        <w:t xml:space="preserve"> Industry 4.0 technologies (mainly 3D/additive manufacturing and automation) may have an impact on manufacturing relocation decisions, their impact is highly dependent on the strategic aims pursued by the company. Moreover, analyses have been focused, until now, on a restricted number of countries</w:t>
      </w:r>
      <w:r w:rsidR="00304242">
        <w:t xml:space="preserve">, </w:t>
      </w:r>
      <w:r w:rsidRPr="00733536">
        <w:t xml:space="preserve">mainly in Europe. </w:t>
      </w:r>
      <w:r w:rsidR="008D0774">
        <w:t>Therefore, f</w:t>
      </w:r>
      <w:r w:rsidRPr="00733536">
        <w:t xml:space="preserve">urther investigations are </w:t>
      </w:r>
      <w:r w:rsidR="008D0774">
        <w:t>required</w:t>
      </w:r>
      <w:r w:rsidRPr="00733536">
        <w:t>; in this respect</w:t>
      </w:r>
      <w:r w:rsidR="008D0774">
        <w:t>,</w:t>
      </w:r>
      <w:r w:rsidRPr="00733536">
        <w:t xml:space="preserve"> evidence belonging to the UMRD</w:t>
      </w:r>
      <w:r w:rsidR="008D0774">
        <w:t xml:space="preserve">, </w:t>
      </w:r>
      <w:r w:rsidRPr="00733536">
        <w:t>which will be discussed in the next section</w:t>
      </w:r>
      <w:r w:rsidR="008D0774">
        <w:t xml:space="preserve">, </w:t>
      </w:r>
      <w:r w:rsidRPr="00733536">
        <w:t>may contribute to the academic debate.</w:t>
      </w:r>
    </w:p>
    <w:p w14:paraId="1F16CF75" w14:textId="66D526A7" w:rsidR="00E363B7" w:rsidRPr="00733536" w:rsidRDefault="00E363B7" w:rsidP="00E363B7">
      <w:pPr>
        <w:pStyle w:val="Level2Title"/>
      </w:pPr>
      <w:r w:rsidRPr="00733536">
        <w:t xml:space="preserve">Empirical </w:t>
      </w:r>
      <w:r w:rsidR="00304242">
        <w:t>f</w:t>
      </w:r>
      <w:r w:rsidRPr="00733536">
        <w:t xml:space="preserve">indings </w:t>
      </w:r>
    </w:p>
    <w:p w14:paraId="11550ECF" w14:textId="1938C205" w:rsidR="00F038BA" w:rsidRPr="00733536" w:rsidRDefault="00F038BA" w:rsidP="00F038BA">
      <w:pPr>
        <w:pStyle w:val="FigureCaption"/>
        <w:framePr w:w="4961" w:vSpace="284" w:wrap="notBeside" w:vAnchor="page" w:hAnchor="page" w:x="6099" w:y="1134"/>
        <w:spacing w:before="0" w:after="120"/>
      </w:pPr>
      <w:bookmarkStart w:id="12" w:name="_Ref55216682"/>
      <w:r w:rsidRPr="00733536">
        <w:rPr>
          <w:szCs w:val="20"/>
          <w:lang w:eastAsia="ko-KR"/>
        </w:rPr>
        <w:t xml:space="preserve">Table </w:t>
      </w:r>
      <w:r w:rsidRPr="00733536">
        <w:fldChar w:fldCharType="begin"/>
      </w:r>
      <w:r w:rsidRPr="00733536">
        <w:instrText xml:space="preserve"> SEQ Table \* ARABIC </w:instrText>
      </w:r>
      <w:r w:rsidRPr="00733536">
        <w:fldChar w:fldCharType="separate"/>
      </w:r>
      <w:r w:rsidR="008F7C96" w:rsidRPr="00733536">
        <w:rPr>
          <w:noProof/>
        </w:rPr>
        <w:t>2</w:t>
      </w:r>
      <w:r w:rsidRPr="00733536">
        <w:fldChar w:fldCharType="end"/>
      </w:r>
      <w:bookmarkEnd w:id="12"/>
      <w:r w:rsidRPr="00733536">
        <w:rPr>
          <w:szCs w:val="20"/>
          <w:lang w:eastAsia="ko-KR"/>
        </w:rPr>
        <w:t xml:space="preserve">. </w:t>
      </w:r>
      <w:r w:rsidRPr="00733536">
        <w:rPr>
          <w:rFonts w:asciiTheme="minorHAnsi" w:hAnsiTheme="minorHAnsi"/>
          <w:bCs/>
          <w:szCs w:val="16"/>
        </w:rPr>
        <w:t xml:space="preserve">Breakdown of back-shoring decisions by host region. </w:t>
      </w:r>
      <w:r w:rsidRPr="00733536">
        <w:rPr>
          <w:rFonts w:asciiTheme="minorHAnsi" w:hAnsiTheme="minorHAnsi"/>
          <w:szCs w:val="21"/>
        </w:rPr>
        <w:t>Source: UMRD</w:t>
      </w:r>
      <w:r w:rsidRPr="00733536">
        <w:t>.</w:t>
      </w:r>
    </w:p>
    <w:tbl>
      <w:tblPr>
        <w:tblStyle w:val="Tabellasemplice-220"/>
        <w:tblW w:w="5000" w:type="pct"/>
        <w:jc w:val="center"/>
        <w:tblCellMar>
          <w:left w:w="0" w:type="dxa"/>
          <w:right w:w="0" w:type="dxa"/>
        </w:tblCellMar>
        <w:tblLook w:val="04A0" w:firstRow="1" w:lastRow="0" w:firstColumn="1" w:lastColumn="0" w:noHBand="0" w:noVBand="1"/>
      </w:tblPr>
      <w:tblGrid>
        <w:gridCol w:w="3534"/>
        <w:gridCol w:w="1427"/>
      </w:tblGrid>
      <w:tr w:rsidR="00F038BA" w:rsidRPr="00733536" w14:paraId="0F93B596" w14:textId="77777777" w:rsidTr="00CE18B6">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vAlign w:val="center"/>
            <w:hideMark/>
          </w:tcPr>
          <w:p w14:paraId="0725D2E0" w14:textId="77777777" w:rsidR="00F038BA" w:rsidRPr="00733536" w:rsidRDefault="00F038BA" w:rsidP="00F038BA">
            <w:pPr>
              <w:framePr w:w="4961" w:vSpace="284" w:wrap="notBeside" w:vAnchor="page" w:hAnchor="page" w:x="6099" w:y="1134"/>
              <w:ind w:firstLine="0"/>
              <w:jc w:val="center"/>
              <w:rPr>
                <w:rFonts w:ascii="Calibri" w:hAnsi="Calibri"/>
                <w:color w:val="000000"/>
                <w:sz w:val="16"/>
                <w:szCs w:val="16"/>
                <w:lang w:eastAsia="ko-KR"/>
              </w:rPr>
            </w:pPr>
            <w:r w:rsidRPr="00733536">
              <w:rPr>
                <w:rFonts w:ascii="Calibri" w:hAnsi="Calibri"/>
                <w:color w:val="000000"/>
                <w:sz w:val="16"/>
                <w:szCs w:val="16"/>
                <w:lang w:eastAsia="ko-KR"/>
              </w:rPr>
              <w:t>Host region/country</w:t>
            </w:r>
          </w:p>
        </w:tc>
        <w:tc>
          <w:tcPr>
            <w:tcW w:w="0" w:type="auto"/>
            <w:tcBorders>
              <w:top w:val="single" w:sz="4" w:space="0" w:color="auto"/>
              <w:bottom w:val="single" w:sz="4" w:space="0" w:color="auto"/>
            </w:tcBorders>
            <w:shd w:val="clear" w:color="auto" w:fill="auto"/>
            <w:noWrap/>
            <w:vAlign w:val="center"/>
            <w:hideMark/>
          </w:tcPr>
          <w:p w14:paraId="51178D47" w14:textId="77777777" w:rsidR="00F038BA" w:rsidRPr="00733536" w:rsidRDefault="00F038BA" w:rsidP="00F038BA">
            <w:pPr>
              <w:framePr w:w="4961" w:vSpace="284" w:wrap="notBeside" w:vAnchor="page" w:hAnchor="page" w:x="6099" w:y="1134"/>
              <w:ind w:firstLine="0"/>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Decisions</w:t>
            </w:r>
          </w:p>
        </w:tc>
      </w:tr>
      <w:tr w:rsidR="00F038BA" w:rsidRPr="00733536" w14:paraId="7C17F9EC" w14:textId="77777777" w:rsidTr="00CE18B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vAlign w:val="center"/>
            <w:hideMark/>
          </w:tcPr>
          <w:p w14:paraId="30A9F856" w14:textId="77777777" w:rsidR="00F038BA" w:rsidRPr="00733536" w:rsidRDefault="00F038BA" w:rsidP="00F038BA">
            <w:pPr>
              <w:framePr w:w="4961" w:vSpace="284" w:wrap="notBeside" w:vAnchor="page" w:hAnchor="page" w:x="6099" w:y="1134"/>
              <w:ind w:firstLine="0"/>
              <w:jc w:val="left"/>
              <w:rPr>
                <w:rFonts w:ascii="Calibri" w:hAnsi="Calibri"/>
                <w:b w:val="0"/>
                <w:bCs w:val="0"/>
                <w:color w:val="000000"/>
                <w:sz w:val="16"/>
                <w:szCs w:val="16"/>
                <w:lang w:eastAsia="ko-KR"/>
              </w:rPr>
            </w:pPr>
            <w:r w:rsidRPr="00733536">
              <w:rPr>
                <w:rFonts w:ascii="Calibri" w:hAnsi="Calibri"/>
                <w:b w:val="0"/>
                <w:bCs w:val="0"/>
                <w:color w:val="000000"/>
                <w:sz w:val="16"/>
                <w:szCs w:val="16"/>
                <w:lang w:eastAsia="ko-KR"/>
              </w:rPr>
              <w:t>China</w:t>
            </w:r>
          </w:p>
        </w:tc>
        <w:tc>
          <w:tcPr>
            <w:tcW w:w="0" w:type="auto"/>
            <w:tcBorders>
              <w:top w:val="single" w:sz="4" w:space="0" w:color="auto"/>
              <w:bottom w:val="nil"/>
            </w:tcBorders>
            <w:shd w:val="clear" w:color="auto" w:fill="auto"/>
            <w:noWrap/>
            <w:vAlign w:val="center"/>
            <w:hideMark/>
          </w:tcPr>
          <w:p w14:paraId="03A8C19B" w14:textId="0EAD068A" w:rsidR="00F038BA" w:rsidRPr="00733536" w:rsidRDefault="00F038BA" w:rsidP="00104B9D">
            <w:pPr>
              <w:framePr w:w="4961" w:vSpace="284" w:wrap="notBeside" w:vAnchor="page" w:hAnchor="page" w:x="6099" w:y="1134"/>
              <w:ind w:right="287"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33.8</w:t>
            </w:r>
            <w:r w:rsidR="00104B9D" w:rsidRPr="00733536">
              <w:rPr>
                <w:rFonts w:ascii="Calibri" w:hAnsi="Calibri"/>
                <w:color w:val="000000"/>
                <w:sz w:val="16"/>
                <w:szCs w:val="16"/>
                <w:lang w:eastAsia="ko-KR"/>
              </w:rPr>
              <w:t xml:space="preserve"> </w:t>
            </w:r>
            <w:r w:rsidRPr="00733536">
              <w:rPr>
                <w:rFonts w:ascii="Calibri" w:hAnsi="Calibri"/>
                <w:color w:val="000000"/>
                <w:sz w:val="16"/>
                <w:szCs w:val="16"/>
                <w:lang w:eastAsia="ko-KR"/>
              </w:rPr>
              <w:t>%</w:t>
            </w:r>
          </w:p>
        </w:tc>
      </w:tr>
      <w:tr w:rsidR="00F038BA" w:rsidRPr="00733536" w14:paraId="74ADDBC5" w14:textId="77777777" w:rsidTr="00CE18B6">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hideMark/>
          </w:tcPr>
          <w:p w14:paraId="3EDBCFCA" w14:textId="77777777" w:rsidR="00F038BA" w:rsidRPr="00733536" w:rsidRDefault="00F038BA" w:rsidP="00F038BA">
            <w:pPr>
              <w:framePr w:w="4961" w:vSpace="284" w:wrap="notBeside" w:vAnchor="page" w:hAnchor="page" w:x="6099" w:y="1134"/>
              <w:ind w:firstLine="0"/>
              <w:jc w:val="left"/>
              <w:rPr>
                <w:rFonts w:ascii="Calibri" w:hAnsi="Calibri"/>
                <w:b w:val="0"/>
                <w:bCs w:val="0"/>
                <w:color w:val="000000"/>
                <w:sz w:val="16"/>
                <w:szCs w:val="16"/>
                <w:lang w:eastAsia="ko-KR"/>
              </w:rPr>
            </w:pPr>
            <w:r w:rsidRPr="00733536">
              <w:rPr>
                <w:rFonts w:ascii="Calibri" w:hAnsi="Calibri"/>
                <w:b w:val="0"/>
                <w:bCs w:val="0"/>
                <w:color w:val="000000"/>
                <w:sz w:val="16"/>
                <w:szCs w:val="16"/>
                <w:lang w:eastAsia="ko-KR"/>
              </w:rPr>
              <w:t>Asia (other than China)</w:t>
            </w:r>
          </w:p>
        </w:tc>
        <w:tc>
          <w:tcPr>
            <w:tcW w:w="0" w:type="auto"/>
            <w:tcBorders>
              <w:top w:val="nil"/>
              <w:bottom w:val="nil"/>
            </w:tcBorders>
            <w:shd w:val="clear" w:color="auto" w:fill="auto"/>
            <w:noWrap/>
            <w:vAlign w:val="center"/>
            <w:hideMark/>
          </w:tcPr>
          <w:p w14:paraId="11BF585E" w14:textId="1EE08EF0" w:rsidR="00F038BA" w:rsidRPr="00733536" w:rsidRDefault="00F038BA" w:rsidP="00104B9D">
            <w:pPr>
              <w:framePr w:w="4961" w:vSpace="284" w:wrap="notBeside" w:vAnchor="page" w:hAnchor="page" w:x="6099" w:y="1134"/>
              <w:ind w:right="287" w:firstLine="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9.2</w:t>
            </w:r>
            <w:r w:rsidR="00104B9D" w:rsidRPr="00733536">
              <w:rPr>
                <w:rFonts w:ascii="Calibri" w:hAnsi="Calibri"/>
                <w:color w:val="000000"/>
                <w:sz w:val="16"/>
                <w:szCs w:val="16"/>
                <w:lang w:eastAsia="ko-KR"/>
              </w:rPr>
              <w:t xml:space="preserve"> </w:t>
            </w:r>
            <w:r w:rsidRPr="00733536">
              <w:rPr>
                <w:rFonts w:ascii="Calibri" w:hAnsi="Calibri"/>
                <w:color w:val="000000"/>
                <w:sz w:val="16"/>
                <w:szCs w:val="16"/>
                <w:lang w:eastAsia="ko-KR"/>
              </w:rPr>
              <w:t>%</w:t>
            </w:r>
          </w:p>
        </w:tc>
      </w:tr>
      <w:tr w:rsidR="00F038BA" w:rsidRPr="00733536" w14:paraId="72C33A5C" w14:textId="77777777" w:rsidTr="00CE18B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hideMark/>
          </w:tcPr>
          <w:p w14:paraId="4CD51BA9" w14:textId="77777777" w:rsidR="00F038BA" w:rsidRPr="00733536" w:rsidRDefault="00F038BA" w:rsidP="00F038BA">
            <w:pPr>
              <w:framePr w:w="4961" w:vSpace="284" w:wrap="notBeside" w:vAnchor="page" w:hAnchor="page" w:x="6099" w:y="1134"/>
              <w:ind w:firstLine="0"/>
              <w:jc w:val="left"/>
              <w:rPr>
                <w:rFonts w:ascii="Calibri" w:hAnsi="Calibri"/>
                <w:b w:val="0"/>
                <w:bCs w:val="0"/>
                <w:color w:val="000000"/>
                <w:sz w:val="16"/>
                <w:szCs w:val="16"/>
                <w:lang w:eastAsia="ko-KR"/>
              </w:rPr>
            </w:pPr>
            <w:r w:rsidRPr="00733536">
              <w:rPr>
                <w:rFonts w:ascii="Calibri" w:hAnsi="Calibri"/>
                <w:b w:val="0"/>
                <w:bCs w:val="0"/>
                <w:color w:val="000000"/>
                <w:sz w:val="16"/>
                <w:szCs w:val="16"/>
                <w:lang w:eastAsia="ko-KR"/>
              </w:rPr>
              <w:t>Asia (not specified)</w:t>
            </w:r>
          </w:p>
        </w:tc>
        <w:tc>
          <w:tcPr>
            <w:tcW w:w="0" w:type="auto"/>
            <w:tcBorders>
              <w:top w:val="nil"/>
              <w:bottom w:val="nil"/>
            </w:tcBorders>
            <w:shd w:val="clear" w:color="auto" w:fill="auto"/>
            <w:noWrap/>
            <w:vAlign w:val="center"/>
            <w:hideMark/>
          </w:tcPr>
          <w:p w14:paraId="26930F6B" w14:textId="27D84682" w:rsidR="00F038BA" w:rsidRPr="00733536" w:rsidRDefault="00F038BA" w:rsidP="00104B9D">
            <w:pPr>
              <w:framePr w:w="4961" w:vSpace="284" w:wrap="notBeside" w:vAnchor="page" w:hAnchor="page" w:x="6099" w:y="1134"/>
              <w:ind w:right="287"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2.2</w:t>
            </w:r>
            <w:r w:rsidR="00104B9D" w:rsidRPr="00733536">
              <w:rPr>
                <w:rFonts w:ascii="Calibri" w:hAnsi="Calibri"/>
                <w:color w:val="000000"/>
                <w:sz w:val="16"/>
                <w:szCs w:val="16"/>
                <w:lang w:eastAsia="ko-KR"/>
              </w:rPr>
              <w:t xml:space="preserve"> </w:t>
            </w:r>
            <w:r w:rsidRPr="00733536">
              <w:rPr>
                <w:rFonts w:ascii="Calibri" w:hAnsi="Calibri"/>
                <w:color w:val="000000"/>
                <w:sz w:val="16"/>
                <w:szCs w:val="16"/>
                <w:lang w:eastAsia="ko-KR"/>
              </w:rPr>
              <w:t>%</w:t>
            </w:r>
          </w:p>
        </w:tc>
      </w:tr>
      <w:tr w:rsidR="00F038BA" w:rsidRPr="00733536" w14:paraId="282A9E04" w14:textId="77777777" w:rsidTr="00CE18B6">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hideMark/>
          </w:tcPr>
          <w:p w14:paraId="46A2C7FE" w14:textId="77777777" w:rsidR="00F038BA" w:rsidRPr="00733536" w:rsidRDefault="00F038BA" w:rsidP="00F038BA">
            <w:pPr>
              <w:framePr w:w="4961" w:vSpace="284" w:wrap="notBeside" w:vAnchor="page" w:hAnchor="page" w:x="6099" w:y="1134"/>
              <w:ind w:firstLine="0"/>
              <w:jc w:val="right"/>
              <w:rPr>
                <w:rFonts w:ascii="Calibri" w:hAnsi="Calibri"/>
                <w:color w:val="000000"/>
                <w:sz w:val="16"/>
                <w:szCs w:val="16"/>
                <w:lang w:eastAsia="ko-KR"/>
              </w:rPr>
            </w:pPr>
            <w:r w:rsidRPr="00733536">
              <w:rPr>
                <w:rFonts w:ascii="Calibri" w:hAnsi="Calibri"/>
                <w:color w:val="000000"/>
                <w:sz w:val="16"/>
                <w:szCs w:val="16"/>
                <w:lang w:eastAsia="ko-KR"/>
              </w:rPr>
              <w:t>Asia</w:t>
            </w:r>
          </w:p>
        </w:tc>
        <w:tc>
          <w:tcPr>
            <w:tcW w:w="0" w:type="auto"/>
            <w:tcBorders>
              <w:top w:val="nil"/>
              <w:bottom w:val="nil"/>
            </w:tcBorders>
            <w:shd w:val="clear" w:color="auto" w:fill="auto"/>
            <w:noWrap/>
            <w:vAlign w:val="center"/>
            <w:hideMark/>
          </w:tcPr>
          <w:p w14:paraId="6DDF3CC1" w14:textId="2F15C158" w:rsidR="00F038BA" w:rsidRPr="00733536" w:rsidRDefault="00F038BA" w:rsidP="00104B9D">
            <w:pPr>
              <w:framePr w:w="4961" w:vSpace="284" w:wrap="notBeside" w:vAnchor="page" w:hAnchor="page" w:x="6099" w:y="1134"/>
              <w:ind w:right="287" w:firstLine="0"/>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lang w:eastAsia="ko-KR"/>
              </w:rPr>
            </w:pPr>
            <w:r w:rsidRPr="00733536">
              <w:rPr>
                <w:rFonts w:ascii="Calibri" w:hAnsi="Calibri"/>
                <w:b/>
                <w:bCs/>
                <w:color w:val="000000"/>
                <w:sz w:val="16"/>
                <w:szCs w:val="16"/>
                <w:lang w:eastAsia="ko-KR"/>
              </w:rPr>
              <w:t>45.2</w:t>
            </w:r>
            <w:r w:rsidR="00104B9D" w:rsidRPr="00733536">
              <w:rPr>
                <w:rFonts w:ascii="Calibri" w:hAnsi="Calibri"/>
                <w:b/>
                <w:bCs/>
                <w:color w:val="000000"/>
                <w:sz w:val="16"/>
                <w:szCs w:val="16"/>
                <w:lang w:eastAsia="ko-KR"/>
              </w:rPr>
              <w:t xml:space="preserve"> </w:t>
            </w:r>
            <w:r w:rsidRPr="00733536">
              <w:rPr>
                <w:rFonts w:ascii="Calibri" w:hAnsi="Calibri"/>
                <w:b/>
                <w:bCs/>
                <w:color w:val="000000"/>
                <w:sz w:val="16"/>
                <w:szCs w:val="16"/>
                <w:lang w:eastAsia="ko-KR"/>
              </w:rPr>
              <w:t>%</w:t>
            </w:r>
          </w:p>
        </w:tc>
      </w:tr>
      <w:tr w:rsidR="00F038BA" w:rsidRPr="00733536" w14:paraId="30232603" w14:textId="77777777" w:rsidTr="00CE18B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hideMark/>
          </w:tcPr>
          <w:p w14:paraId="05FCDA7F" w14:textId="77777777" w:rsidR="00F038BA" w:rsidRPr="00733536" w:rsidRDefault="00F038BA" w:rsidP="00F038BA">
            <w:pPr>
              <w:framePr w:w="4961" w:vSpace="284" w:wrap="notBeside" w:vAnchor="page" w:hAnchor="page" w:x="6099" w:y="1134"/>
              <w:ind w:firstLine="0"/>
              <w:jc w:val="left"/>
              <w:rPr>
                <w:rFonts w:ascii="Calibri" w:hAnsi="Calibri"/>
                <w:b w:val="0"/>
                <w:bCs w:val="0"/>
                <w:color w:val="000000"/>
                <w:sz w:val="16"/>
                <w:szCs w:val="16"/>
                <w:lang w:eastAsia="ko-KR"/>
              </w:rPr>
            </w:pPr>
            <w:r w:rsidRPr="00733536">
              <w:rPr>
                <w:rFonts w:ascii="Calibri" w:hAnsi="Calibri"/>
                <w:b w:val="0"/>
                <w:bCs w:val="0"/>
                <w:color w:val="000000"/>
                <w:sz w:val="16"/>
                <w:szCs w:val="16"/>
                <w:lang w:eastAsia="ko-KR"/>
              </w:rPr>
              <w:t>Eastern Europe &amp; former USSR</w:t>
            </w:r>
          </w:p>
        </w:tc>
        <w:tc>
          <w:tcPr>
            <w:tcW w:w="0" w:type="auto"/>
            <w:tcBorders>
              <w:top w:val="nil"/>
              <w:bottom w:val="nil"/>
            </w:tcBorders>
            <w:shd w:val="clear" w:color="auto" w:fill="auto"/>
            <w:noWrap/>
            <w:vAlign w:val="center"/>
            <w:hideMark/>
          </w:tcPr>
          <w:p w14:paraId="5056E1D9" w14:textId="70A717D2" w:rsidR="00F038BA" w:rsidRPr="00733536" w:rsidRDefault="00F038BA" w:rsidP="00104B9D">
            <w:pPr>
              <w:framePr w:w="4961" w:vSpace="284" w:wrap="notBeside" w:vAnchor="page" w:hAnchor="page" w:x="6099" w:y="1134"/>
              <w:ind w:right="287"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17.6</w:t>
            </w:r>
            <w:r w:rsidR="00104B9D" w:rsidRPr="00733536">
              <w:rPr>
                <w:rFonts w:ascii="Calibri" w:hAnsi="Calibri"/>
                <w:color w:val="000000"/>
                <w:sz w:val="16"/>
                <w:szCs w:val="16"/>
                <w:lang w:eastAsia="ko-KR"/>
              </w:rPr>
              <w:t xml:space="preserve"> </w:t>
            </w:r>
            <w:r w:rsidRPr="00733536">
              <w:rPr>
                <w:rFonts w:ascii="Calibri" w:hAnsi="Calibri"/>
                <w:color w:val="000000"/>
                <w:sz w:val="16"/>
                <w:szCs w:val="16"/>
                <w:lang w:eastAsia="ko-KR"/>
              </w:rPr>
              <w:t>%</w:t>
            </w:r>
          </w:p>
        </w:tc>
      </w:tr>
      <w:tr w:rsidR="00F038BA" w:rsidRPr="00733536" w14:paraId="5A6261F1" w14:textId="77777777" w:rsidTr="00CE18B6">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hideMark/>
          </w:tcPr>
          <w:p w14:paraId="4F76154F" w14:textId="77777777" w:rsidR="00F038BA" w:rsidRPr="00733536" w:rsidRDefault="00F038BA" w:rsidP="00F038BA">
            <w:pPr>
              <w:framePr w:w="4961" w:vSpace="284" w:wrap="notBeside" w:vAnchor="page" w:hAnchor="page" w:x="6099" w:y="1134"/>
              <w:ind w:firstLine="0"/>
              <w:jc w:val="left"/>
              <w:rPr>
                <w:rFonts w:ascii="Calibri" w:hAnsi="Calibri"/>
                <w:b w:val="0"/>
                <w:bCs w:val="0"/>
                <w:color w:val="000000"/>
                <w:sz w:val="16"/>
                <w:szCs w:val="16"/>
                <w:lang w:eastAsia="ko-KR"/>
              </w:rPr>
            </w:pPr>
            <w:r w:rsidRPr="00733536">
              <w:rPr>
                <w:rFonts w:ascii="Calibri" w:hAnsi="Calibri"/>
                <w:b w:val="0"/>
                <w:bCs w:val="0"/>
                <w:color w:val="000000"/>
                <w:sz w:val="16"/>
                <w:szCs w:val="16"/>
                <w:lang w:eastAsia="ko-KR"/>
              </w:rPr>
              <w:t>Western Europe</w:t>
            </w:r>
          </w:p>
        </w:tc>
        <w:tc>
          <w:tcPr>
            <w:tcW w:w="0" w:type="auto"/>
            <w:tcBorders>
              <w:top w:val="nil"/>
              <w:bottom w:val="nil"/>
            </w:tcBorders>
            <w:shd w:val="clear" w:color="auto" w:fill="auto"/>
            <w:noWrap/>
            <w:vAlign w:val="center"/>
            <w:hideMark/>
          </w:tcPr>
          <w:p w14:paraId="001C57D6" w14:textId="5549BEBC" w:rsidR="00F038BA" w:rsidRPr="00733536" w:rsidRDefault="00F038BA" w:rsidP="00104B9D">
            <w:pPr>
              <w:framePr w:w="4961" w:vSpace="284" w:wrap="notBeside" w:vAnchor="page" w:hAnchor="page" w:x="6099" w:y="1134"/>
              <w:ind w:right="287" w:firstLine="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26.0</w:t>
            </w:r>
            <w:r w:rsidR="00104B9D" w:rsidRPr="00733536">
              <w:rPr>
                <w:rFonts w:ascii="Calibri" w:hAnsi="Calibri"/>
                <w:color w:val="000000"/>
                <w:sz w:val="16"/>
                <w:szCs w:val="16"/>
                <w:lang w:eastAsia="ko-KR"/>
              </w:rPr>
              <w:t xml:space="preserve"> </w:t>
            </w:r>
            <w:r w:rsidRPr="00733536">
              <w:rPr>
                <w:rFonts w:ascii="Calibri" w:hAnsi="Calibri"/>
                <w:color w:val="000000"/>
                <w:sz w:val="16"/>
                <w:szCs w:val="16"/>
                <w:lang w:eastAsia="ko-KR"/>
              </w:rPr>
              <w:t>%</w:t>
            </w:r>
          </w:p>
        </w:tc>
      </w:tr>
      <w:tr w:rsidR="00F038BA" w:rsidRPr="00733536" w14:paraId="316FF887" w14:textId="77777777" w:rsidTr="00CE18B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hideMark/>
          </w:tcPr>
          <w:p w14:paraId="0B54330C" w14:textId="77777777" w:rsidR="00F038BA" w:rsidRPr="00733536" w:rsidRDefault="00F038BA" w:rsidP="00F038BA">
            <w:pPr>
              <w:framePr w:w="4961" w:vSpace="284" w:wrap="notBeside" w:vAnchor="page" w:hAnchor="page" w:x="6099" w:y="1134"/>
              <w:ind w:firstLine="0"/>
              <w:jc w:val="left"/>
              <w:rPr>
                <w:rFonts w:ascii="Calibri" w:hAnsi="Calibri"/>
                <w:b w:val="0"/>
                <w:bCs w:val="0"/>
                <w:color w:val="000000"/>
                <w:sz w:val="16"/>
                <w:szCs w:val="16"/>
                <w:lang w:eastAsia="ko-KR"/>
              </w:rPr>
            </w:pPr>
            <w:r w:rsidRPr="00733536">
              <w:rPr>
                <w:rFonts w:ascii="Calibri" w:hAnsi="Calibri"/>
                <w:b w:val="0"/>
                <w:bCs w:val="0"/>
                <w:color w:val="000000"/>
                <w:sz w:val="16"/>
                <w:szCs w:val="16"/>
                <w:lang w:eastAsia="ko-KR"/>
              </w:rPr>
              <w:t>Europe (not specified)</w:t>
            </w:r>
          </w:p>
        </w:tc>
        <w:tc>
          <w:tcPr>
            <w:tcW w:w="0" w:type="auto"/>
            <w:tcBorders>
              <w:top w:val="nil"/>
              <w:bottom w:val="nil"/>
            </w:tcBorders>
            <w:shd w:val="clear" w:color="auto" w:fill="auto"/>
            <w:noWrap/>
            <w:vAlign w:val="center"/>
            <w:hideMark/>
          </w:tcPr>
          <w:p w14:paraId="383702B7" w14:textId="09271E6C" w:rsidR="00F038BA" w:rsidRPr="00733536" w:rsidRDefault="00F038BA" w:rsidP="00104B9D">
            <w:pPr>
              <w:framePr w:w="4961" w:vSpace="284" w:wrap="notBeside" w:vAnchor="page" w:hAnchor="page" w:x="6099" w:y="1134"/>
              <w:ind w:right="287"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0.5</w:t>
            </w:r>
            <w:r w:rsidR="00104B9D" w:rsidRPr="00733536">
              <w:rPr>
                <w:rFonts w:ascii="Calibri" w:hAnsi="Calibri"/>
                <w:color w:val="000000"/>
                <w:sz w:val="16"/>
                <w:szCs w:val="16"/>
                <w:lang w:eastAsia="ko-KR"/>
              </w:rPr>
              <w:t xml:space="preserve"> </w:t>
            </w:r>
            <w:r w:rsidRPr="00733536">
              <w:rPr>
                <w:rFonts w:ascii="Calibri" w:hAnsi="Calibri"/>
                <w:color w:val="000000"/>
                <w:sz w:val="16"/>
                <w:szCs w:val="16"/>
                <w:lang w:eastAsia="ko-KR"/>
              </w:rPr>
              <w:t>%</w:t>
            </w:r>
          </w:p>
        </w:tc>
      </w:tr>
      <w:tr w:rsidR="00F038BA" w:rsidRPr="00733536" w14:paraId="1232B81E" w14:textId="77777777" w:rsidTr="00CE18B6">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hideMark/>
          </w:tcPr>
          <w:p w14:paraId="2F9E28EA" w14:textId="77777777" w:rsidR="00F038BA" w:rsidRPr="00733536" w:rsidRDefault="00F038BA" w:rsidP="00F038BA">
            <w:pPr>
              <w:framePr w:w="4961" w:vSpace="284" w:wrap="notBeside" w:vAnchor="page" w:hAnchor="page" w:x="6099" w:y="1134"/>
              <w:ind w:firstLine="0"/>
              <w:jc w:val="right"/>
              <w:rPr>
                <w:rFonts w:ascii="Calibri" w:hAnsi="Calibri"/>
                <w:color w:val="000000"/>
                <w:sz w:val="16"/>
                <w:szCs w:val="16"/>
                <w:lang w:eastAsia="ko-KR"/>
              </w:rPr>
            </w:pPr>
            <w:r w:rsidRPr="00733536">
              <w:rPr>
                <w:rFonts w:ascii="Calibri" w:hAnsi="Calibri"/>
                <w:color w:val="000000"/>
                <w:sz w:val="16"/>
                <w:szCs w:val="16"/>
                <w:lang w:eastAsia="ko-KR"/>
              </w:rPr>
              <w:t>Europe &amp; former USSR</w:t>
            </w:r>
          </w:p>
        </w:tc>
        <w:tc>
          <w:tcPr>
            <w:tcW w:w="0" w:type="auto"/>
            <w:tcBorders>
              <w:top w:val="nil"/>
              <w:bottom w:val="nil"/>
            </w:tcBorders>
            <w:shd w:val="clear" w:color="auto" w:fill="auto"/>
            <w:noWrap/>
            <w:vAlign w:val="center"/>
            <w:hideMark/>
          </w:tcPr>
          <w:p w14:paraId="619452A0" w14:textId="3CC6CCD5" w:rsidR="00F038BA" w:rsidRPr="00733536" w:rsidRDefault="00F038BA" w:rsidP="00104B9D">
            <w:pPr>
              <w:framePr w:w="4961" w:vSpace="284" w:wrap="notBeside" w:vAnchor="page" w:hAnchor="page" w:x="6099" w:y="1134"/>
              <w:ind w:right="287" w:firstLine="0"/>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lang w:eastAsia="ko-KR"/>
              </w:rPr>
            </w:pPr>
            <w:r w:rsidRPr="00733536">
              <w:rPr>
                <w:rFonts w:ascii="Calibri" w:hAnsi="Calibri"/>
                <w:b/>
                <w:bCs/>
                <w:color w:val="000000"/>
                <w:sz w:val="16"/>
                <w:szCs w:val="16"/>
                <w:lang w:eastAsia="ko-KR"/>
              </w:rPr>
              <w:t>44.1</w:t>
            </w:r>
            <w:r w:rsidR="00104B9D" w:rsidRPr="00733536">
              <w:rPr>
                <w:rFonts w:ascii="Calibri" w:hAnsi="Calibri"/>
                <w:b/>
                <w:bCs/>
                <w:color w:val="000000"/>
                <w:sz w:val="16"/>
                <w:szCs w:val="16"/>
                <w:lang w:eastAsia="ko-KR"/>
              </w:rPr>
              <w:t xml:space="preserve"> </w:t>
            </w:r>
            <w:r w:rsidRPr="00733536">
              <w:rPr>
                <w:rFonts w:ascii="Calibri" w:hAnsi="Calibri"/>
                <w:b/>
                <w:bCs/>
                <w:color w:val="000000"/>
                <w:sz w:val="16"/>
                <w:szCs w:val="16"/>
                <w:lang w:eastAsia="ko-KR"/>
              </w:rPr>
              <w:t>%</w:t>
            </w:r>
          </w:p>
        </w:tc>
      </w:tr>
      <w:tr w:rsidR="00F038BA" w:rsidRPr="00733536" w14:paraId="0231A032" w14:textId="77777777" w:rsidTr="00CE18B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hideMark/>
          </w:tcPr>
          <w:p w14:paraId="3ECE1145" w14:textId="77777777" w:rsidR="00F038BA" w:rsidRPr="00733536" w:rsidRDefault="00F038BA" w:rsidP="00F038BA">
            <w:pPr>
              <w:framePr w:w="4961" w:vSpace="284" w:wrap="notBeside" w:vAnchor="page" w:hAnchor="page" w:x="6099" w:y="1134"/>
              <w:ind w:firstLine="0"/>
              <w:jc w:val="left"/>
              <w:rPr>
                <w:rFonts w:ascii="Calibri" w:hAnsi="Calibri"/>
                <w:b w:val="0"/>
                <w:bCs w:val="0"/>
                <w:color w:val="000000"/>
                <w:sz w:val="16"/>
                <w:szCs w:val="16"/>
                <w:lang w:eastAsia="ko-KR"/>
              </w:rPr>
            </w:pPr>
            <w:r w:rsidRPr="00733536">
              <w:rPr>
                <w:rFonts w:ascii="Calibri" w:hAnsi="Calibri"/>
                <w:b w:val="0"/>
                <w:bCs w:val="0"/>
                <w:color w:val="000000"/>
                <w:sz w:val="16"/>
                <w:szCs w:val="16"/>
                <w:lang w:eastAsia="ko-KR"/>
              </w:rPr>
              <w:t>North Africa &amp; Middle East</w:t>
            </w:r>
          </w:p>
        </w:tc>
        <w:tc>
          <w:tcPr>
            <w:tcW w:w="0" w:type="auto"/>
            <w:tcBorders>
              <w:top w:val="nil"/>
              <w:bottom w:val="nil"/>
            </w:tcBorders>
            <w:shd w:val="clear" w:color="auto" w:fill="auto"/>
            <w:noWrap/>
            <w:vAlign w:val="center"/>
            <w:hideMark/>
          </w:tcPr>
          <w:p w14:paraId="02794AA7" w14:textId="31ACD8AD" w:rsidR="00F038BA" w:rsidRPr="00733536" w:rsidRDefault="00F038BA" w:rsidP="00104B9D">
            <w:pPr>
              <w:framePr w:w="4961" w:vSpace="284" w:wrap="notBeside" w:vAnchor="page" w:hAnchor="page" w:x="6099" w:y="1134"/>
              <w:ind w:right="287"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3.7</w:t>
            </w:r>
            <w:r w:rsidR="00104B9D" w:rsidRPr="00733536">
              <w:rPr>
                <w:rFonts w:ascii="Calibri" w:hAnsi="Calibri"/>
                <w:color w:val="000000"/>
                <w:sz w:val="16"/>
                <w:szCs w:val="16"/>
                <w:lang w:eastAsia="ko-KR"/>
              </w:rPr>
              <w:t xml:space="preserve"> </w:t>
            </w:r>
            <w:r w:rsidRPr="00733536">
              <w:rPr>
                <w:rFonts w:ascii="Calibri" w:hAnsi="Calibri"/>
                <w:color w:val="000000"/>
                <w:sz w:val="16"/>
                <w:szCs w:val="16"/>
                <w:lang w:eastAsia="ko-KR"/>
              </w:rPr>
              <w:t>%</w:t>
            </w:r>
          </w:p>
        </w:tc>
      </w:tr>
      <w:tr w:rsidR="00F038BA" w:rsidRPr="00733536" w14:paraId="472C6590" w14:textId="77777777" w:rsidTr="00CE18B6">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hideMark/>
          </w:tcPr>
          <w:p w14:paraId="44DB4222" w14:textId="77777777" w:rsidR="00F038BA" w:rsidRPr="00733536" w:rsidRDefault="00F038BA" w:rsidP="00F038BA">
            <w:pPr>
              <w:framePr w:w="4961" w:vSpace="284" w:wrap="notBeside" w:vAnchor="page" w:hAnchor="page" w:x="6099" w:y="1134"/>
              <w:ind w:firstLine="0"/>
              <w:jc w:val="left"/>
              <w:rPr>
                <w:rFonts w:ascii="Calibri" w:hAnsi="Calibri"/>
                <w:b w:val="0"/>
                <w:bCs w:val="0"/>
                <w:color w:val="000000"/>
                <w:sz w:val="16"/>
                <w:szCs w:val="16"/>
                <w:lang w:eastAsia="ko-KR"/>
              </w:rPr>
            </w:pPr>
            <w:r w:rsidRPr="00733536">
              <w:rPr>
                <w:rFonts w:ascii="Calibri" w:hAnsi="Calibri"/>
                <w:b w:val="0"/>
                <w:bCs w:val="0"/>
                <w:color w:val="000000"/>
                <w:sz w:val="16"/>
                <w:szCs w:val="16"/>
                <w:lang w:eastAsia="ko-KR"/>
              </w:rPr>
              <w:t>South Africa</w:t>
            </w:r>
          </w:p>
        </w:tc>
        <w:tc>
          <w:tcPr>
            <w:tcW w:w="0" w:type="auto"/>
            <w:tcBorders>
              <w:top w:val="nil"/>
              <w:bottom w:val="nil"/>
            </w:tcBorders>
            <w:shd w:val="clear" w:color="auto" w:fill="auto"/>
            <w:noWrap/>
            <w:vAlign w:val="center"/>
            <w:hideMark/>
          </w:tcPr>
          <w:p w14:paraId="2A84E405" w14:textId="4F0141C2" w:rsidR="00F038BA" w:rsidRPr="00733536" w:rsidRDefault="00F038BA" w:rsidP="00104B9D">
            <w:pPr>
              <w:framePr w:w="4961" w:vSpace="284" w:wrap="notBeside" w:vAnchor="page" w:hAnchor="page" w:x="6099" w:y="1134"/>
              <w:ind w:right="287" w:firstLine="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0.1</w:t>
            </w:r>
            <w:r w:rsidR="00104B9D" w:rsidRPr="00733536">
              <w:rPr>
                <w:rFonts w:ascii="Calibri" w:hAnsi="Calibri"/>
                <w:color w:val="000000"/>
                <w:sz w:val="16"/>
                <w:szCs w:val="16"/>
                <w:lang w:eastAsia="ko-KR"/>
              </w:rPr>
              <w:t xml:space="preserve"> </w:t>
            </w:r>
            <w:r w:rsidRPr="00733536">
              <w:rPr>
                <w:rFonts w:ascii="Calibri" w:hAnsi="Calibri"/>
                <w:color w:val="000000"/>
                <w:sz w:val="16"/>
                <w:szCs w:val="16"/>
                <w:lang w:eastAsia="ko-KR"/>
              </w:rPr>
              <w:t>%</w:t>
            </w:r>
          </w:p>
        </w:tc>
      </w:tr>
      <w:tr w:rsidR="00F038BA" w:rsidRPr="00733536" w14:paraId="4CFCC9FB" w14:textId="77777777" w:rsidTr="00CE18B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hideMark/>
          </w:tcPr>
          <w:p w14:paraId="0D4125AC" w14:textId="77777777" w:rsidR="00F038BA" w:rsidRPr="00733536" w:rsidRDefault="00F038BA" w:rsidP="00F038BA">
            <w:pPr>
              <w:framePr w:w="4961" w:vSpace="284" w:wrap="notBeside" w:vAnchor="page" w:hAnchor="page" w:x="6099" w:y="1134"/>
              <w:ind w:firstLine="0"/>
              <w:jc w:val="left"/>
              <w:rPr>
                <w:rFonts w:ascii="Calibri" w:hAnsi="Calibri"/>
                <w:b w:val="0"/>
                <w:bCs w:val="0"/>
                <w:color w:val="000000"/>
                <w:sz w:val="16"/>
                <w:szCs w:val="16"/>
                <w:lang w:eastAsia="ko-KR"/>
              </w:rPr>
            </w:pPr>
            <w:r w:rsidRPr="00733536">
              <w:rPr>
                <w:rFonts w:ascii="Calibri" w:hAnsi="Calibri"/>
                <w:b w:val="0"/>
                <w:bCs w:val="0"/>
                <w:color w:val="000000"/>
                <w:sz w:val="16"/>
                <w:szCs w:val="16"/>
                <w:lang w:eastAsia="ko-KR"/>
              </w:rPr>
              <w:t>Africa (not specified)</w:t>
            </w:r>
          </w:p>
        </w:tc>
        <w:tc>
          <w:tcPr>
            <w:tcW w:w="0" w:type="auto"/>
            <w:tcBorders>
              <w:top w:val="nil"/>
              <w:bottom w:val="nil"/>
            </w:tcBorders>
            <w:shd w:val="clear" w:color="auto" w:fill="auto"/>
            <w:noWrap/>
            <w:vAlign w:val="center"/>
            <w:hideMark/>
          </w:tcPr>
          <w:p w14:paraId="174F0197" w14:textId="7E44924E" w:rsidR="00F038BA" w:rsidRPr="00733536" w:rsidRDefault="00F038BA" w:rsidP="00104B9D">
            <w:pPr>
              <w:framePr w:w="4961" w:vSpace="284" w:wrap="notBeside" w:vAnchor="page" w:hAnchor="page" w:x="6099" w:y="1134"/>
              <w:ind w:right="287"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0.2</w:t>
            </w:r>
            <w:r w:rsidR="00104B9D" w:rsidRPr="00733536">
              <w:rPr>
                <w:rFonts w:ascii="Calibri" w:hAnsi="Calibri"/>
                <w:color w:val="000000"/>
                <w:sz w:val="16"/>
                <w:szCs w:val="16"/>
                <w:lang w:eastAsia="ko-KR"/>
              </w:rPr>
              <w:t xml:space="preserve"> </w:t>
            </w:r>
            <w:r w:rsidRPr="00733536">
              <w:rPr>
                <w:rFonts w:ascii="Calibri" w:hAnsi="Calibri"/>
                <w:color w:val="000000"/>
                <w:sz w:val="16"/>
                <w:szCs w:val="16"/>
                <w:lang w:eastAsia="ko-KR"/>
              </w:rPr>
              <w:t>%</w:t>
            </w:r>
          </w:p>
        </w:tc>
      </w:tr>
      <w:tr w:rsidR="00F038BA" w:rsidRPr="00733536" w14:paraId="23C92CF9" w14:textId="77777777" w:rsidTr="00CE18B6">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hideMark/>
          </w:tcPr>
          <w:p w14:paraId="18DD9101" w14:textId="77777777" w:rsidR="00F038BA" w:rsidRPr="00733536" w:rsidRDefault="00F038BA" w:rsidP="00F038BA">
            <w:pPr>
              <w:framePr w:w="4961" w:vSpace="284" w:wrap="notBeside" w:vAnchor="page" w:hAnchor="page" w:x="6099" w:y="1134"/>
              <w:ind w:firstLine="0"/>
              <w:jc w:val="right"/>
              <w:rPr>
                <w:rFonts w:ascii="Calibri" w:hAnsi="Calibri"/>
                <w:color w:val="000000"/>
                <w:sz w:val="16"/>
                <w:szCs w:val="16"/>
                <w:lang w:eastAsia="ko-KR"/>
              </w:rPr>
            </w:pPr>
            <w:r w:rsidRPr="00733536">
              <w:rPr>
                <w:rFonts w:ascii="Calibri" w:hAnsi="Calibri"/>
                <w:color w:val="000000"/>
                <w:sz w:val="16"/>
                <w:szCs w:val="16"/>
                <w:lang w:eastAsia="ko-KR"/>
              </w:rPr>
              <w:t>Africa</w:t>
            </w:r>
          </w:p>
        </w:tc>
        <w:tc>
          <w:tcPr>
            <w:tcW w:w="0" w:type="auto"/>
            <w:tcBorders>
              <w:top w:val="nil"/>
              <w:bottom w:val="nil"/>
            </w:tcBorders>
            <w:shd w:val="clear" w:color="auto" w:fill="auto"/>
            <w:noWrap/>
            <w:vAlign w:val="center"/>
            <w:hideMark/>
          </w:tcPr>
          <w:p w14:paraId="07109FA5" w14:textId="27ADAA95" w:rsidR="00F038BA" w:rsidRPr="00733536" w:rsidRDefault="00F038BA" w:rsidP="00104B9D">
            <w:pPr>
              <w:framePr w:w="4961" w:vSpace="284" w:wrap="notBeside" w:vAnchor="page" w:hAnchor="page" w:x="6099" w:y="1134"/>
              <w:ind w:right="287" w:firstLine="0"/>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lang w:eastAsia="ko-KR"/>
              </w:rPr>
            </w:pPr>
            <w:r w:rsidRPr="00733536">
              <w:rPr>
                <w:rFonts w:ascii="Calibri" w:hAnsi="Calibri"/>
                <w:b/>
                <w:bCs/>
                <w:color w:val="000000"/>
                <w:sz w:val="16"/>
                <w:szCs w:val="16"/>
                <w:lang w:eastAsia="ko-KR"/>
              </w:rPr>
              <w:t>4.1</w:t>
            </w:r>
            <w:r w:rsidR="00104B9D" w:rsidRPr="00733536">
              <w:rPr>
                <w:rFonts w:ascii="Calibri" w:hAnsi="Calibri"/>
                <w:b/>
                <w:bCs/>
                <w:color w:val="000000"/>
                <w:sz w:val="16"/>
                <w:szCs w:val="16"/>
                <w:lang w:eastAsia="ko-KR"/>
              </w:rPr>
              <w:t xml:space="preserve"> </w:t>
            </w:r>
            <w:r w:rsidRPr="00733536">
              <w:rPr>
                <w:rFonts w:ascii="Calibri" w:hAnsi="Calibri"/>
                <w:b/>
                <w:bCs/>
                <w:color w:val="000000"/>
                <w:sz w:val="16"/>
                <w:szCs w:val="16"/>
                <w:lang w:eastAsia="ko-KR"/>
              </w:rPr>
              <w:t>%</w:t>
            </w:r>
          </w:p>
        </w:tc>
      </w:tr>
      <w:tr w:rsidR="00F038BA" w:rsidRPr="00733536" w14:paraId="0B695C71" w14:textId="77777777" w:rsidTr="00CE18B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hideMark/>
          </w:tcPr>
          <w:p w14:paraId="77CF107D" w14:textId="77777777" w:rsidR="00F038BA" w:rsidRPr="00733536" w:rsidRDefault="00F038BA" w:rsidP="00F038BA">
            <w:pPr>
              <w:framePr w:w="4961" w:vSpace="284" w:wrap="notBeside" w:vAnchor="page" w:hAnchor="page" w:x="6099" w:y="1134"/>
              <w:ind w:firstLine="0"/>
              <w:jc w:val="left"/>
              <w:rPr>
                <w:rFonts w:ascii="Calibri" w:hAnsi="Calibri"/>
                <w:b w:val="0"/>
                <w:bCs w:val="0"/>
                <w:color w:val="000000"/>
                <w:sz w:val="16"/>
                <w:szCs w:val="16"/>
                <w:lang w:eastAsia="ko-KR"/>
              </w:rPr>
            </w:pPr>
            <w:r w:rsidRPr="00733536">
              <w:rPr>
                <w:rFonts w:ascii="Calibri" w:hAnsi="Calibri"/>
                <w:b w:val="0"/>
                <w:bCs w:val="0"/>
                <w:color w:val="000000"/>
                <w:sz w:val="16"/>
                <w:szCs w:val="16"/>
                <w:lang w:eastAsia="ko-KR"/>
              </w:rPr>
              <w:t>North America</w:t>
            </w:r>
          </w:p>
        </w:tc>
        <w:tc>
          <w:tcPr>
            <w:tcW w:w="0" w:type="auto"/>
            <w:tcBorders>
              <w:top w:val="nil"/>
              <w:bottom w:val="nil"/>
            </w:tcBorders>
            <w:shd w:val="clear" w:color="auto" w:fill="auto"/>
            <w:noWrap/>
            <w:vAlign w:val="center"/>
            <w:hideMark/>
          </w:tcPr>
          <w:p w14:paraId="5DB888EA" w14:textId="4C75CD80" w:rsidR="00F038BA" w:rsidRPr="00733536" w:rsidRDefault="00F038BA" w:rsidP="00104B9D">
            <w:pPr>
              <w:framePr w:w="4961" w:vSpace="284" w:wrap="notBeside" w:vAnchor="page" w:hAnchor="page" w:x="6099" w:y="1134"/>
              <w:ind w:right="287"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2.4</w:t>
            </w:r>
            <w:r w:rsidR="00104B9D" w:rsidRPr="00733536">
              <w:rPr>
                <w:rFonts w:ascii="Calibri" w:hAnsi="Calibri"/>
                <w:color w:val="000000"/>
                <w:sz w:val="16"/>
                <w:szCs w:val="16"/>
                <w:lang w:eastAsia="ko-KR"/>
              </w:rPr>
              <w:t xml:space="preserve"> </w:t>
            </w:r>
            <w:r w:rsidRPr="00733536">
              <w:rPr>
                <w:rFonts w:ascii="Calibri" w:hAnsi="Calibri"/>
                <w:color w:val="000000"/>
                <w:sz w:val="16"/>
                <w:szCs w:val="16"/>
                <w:lang w:eastAsia="ko-KR"/>
              </w:rPr>
              <w:t>%</w:t>
            </w:r>
          </w:p>
        </w:tc>
      </w:tr>
      <w:tr w:rsidR="00F038BA" w:rsidRPr="00733536" w14:paraId="72F87BCA" w14:textId="77777777" w:rsidTr="00CE18B6">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hideMark/>
          </w:tcPr>
          <w:p w14:paraId="640C0FF3" w14:textId="77777777" w:rsidR="00F038BA" w:rsidRPr="00733536" w:rsidRDefault="00F038BA" w:rsidP="00F038BA">
            <w:pPr>
              <w:framePr w:w="4961" w:vSpace="284" w:wrap="notBeside" w:vAnchor="page" w:hAnchor="page" w:x="6099" w:y="1134"/>
              <w:ind w:firstLine="0"/>
              <w:jc w:val="left"/>
              <w:rPr>
                <w:rFonts w:ascii="Calibri" w:hAnsi="Calibri"/>
                <w:b w:val="0"/>
                <w:bCs w:val="0"/>
                <w:color w:val="000000"/>
                <w:sz w:val="16"/>
                <w:szCs w:val="16"/>
                <w:lang w:eastAsia="ko-KR"/>
              </w:rPr>
            </w:pPr>
            <w:r w:rsidRPr="00733536">
              <w:rPr>
                <w:rFonts w:ascii="Calibri" w:hAnsi="Calibri"/>
                <w:b w:val="0"/>
                <w:bCs w:val="0"/>
                <w:color w:val="000000"/>
                <w:sz w:val="16"/>
                <w:szCs w:val="16"/>
                <w:lang w:eastAsia="ko-KR"/>
              </w:rPr>
              <w:t>Central &amp; South America</w:t>
            </w:r>
          </w:p>
        </w:tc>
        <w:tc>
          <w:tcPr>
            <w:tcW w:w="0" w:type="auto"/>
            <w:tcBorders>
              <w:top w:val="nil"/>
              <w:bottom w:val="nil"/>
            </w:tcBorders>
            <w:shd w:val="clear" w:color="auto" w:fill="auto"/>
            <w:noWrap/>
            <w:vAlign w:val="center"/>
            <w:hideMark/>
          </w:tcPr>
          <w:p w14:paraId="3DCCC042" w14:textId="5E598A41" w:rsidR="00F038BA" w:rsidRPr="00733536" w:rsidRDefault="00F038BA" w:rsidP="00104B9D">
            <w:pPr>
              <w:framePr w:w="4961" w:vSpace="284" w:wrap="notBeside" w:vAnchor="page" w:hAnchor="page" w:x="6099" w:y="1134"/>
              <w:ind w:right="287" w:firstLine="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1.5</w:t>
            </w:r>
            <w:r w:rsidR="00104B9D" w:rsidRPr="00733536">
              <w:rPr>
                <w:rFonts w:ascii="Calibri" w:hAnsi="Calibri"/>
                <w:color w:val="000000"/>
                <w:sz w:val="16"/>
                <w:szCs w:val="16"/>
                <w:lang w:eastAsia="ko-KR"/>
              </w:rPr>
              <w:t xml:space="preserve"> </w:t>
            </w:r>
            <w:r w:rsidRPr="00733536">
              <w:rPr>
                <w:rFonts w:ascii="Calibri" w:hAnsi="Calibri"/>
                <w:color w:val="000000"/>
                <w:sz w:val="16"/>
                <w:szCs w:val="16"/>
                <w:lang w:eastAsia="ko-KR"/>
              </w:rPr>
              <w:t>%</w:t>
            </w:r>
          </w:p>
        </w:tc>
      </w:tr>
      <w:tr w:rsidR="00F038BA" w:rsidRPr="00733536" w14:paraId="5D8C6314" w14:textId="77777777" w:rsidTr="00CE18B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hideMark/>
          </w:tcPr>
          <w:p w14:paraId="41B1F017" w14:textId="77777777" w:rsidR="00F038BA" w:rsidRPr="00733536" w:rsidRDefault="00F038BA" w:rsidP="00F038BA">
            <w:pPr>
              <w:framePr w:w="4961" w:vSpace="284" w:wrap="notBeside" w:vAnchor="page" w:hAnchor="page" w:x="6099" w:y="1134"/>
              <w:ind w:firstLine="0"/>
              <w:jc w:val="right"/>
              <w:rPr>
                <w:rFonts w:ascii="Calibri" w:hAnsi="Calibri"/>
                <w:color w:val="000000"/>
                <w:sz w:val="16"/>
                <w:szCs w:val="16"/>
                <w:lang w:eastAsia="ko-KR"/>
              </w:rPr>
            </w:pPr>
            <w:r w:rsidRPr="00733536">
              <w:rPr>
                <w:rFonts w:ascii="Calibri" w:hAnsi="Calibri"/>
                <w:color w:val="000000"/>
                <w:sz w:val="16"/>
                <w:szCs w:val="16"/>
                <w:lang w:eastAsia="ko-KR"/>
              </w:rPr>
              <w:t>Americas</w:t>
            </w:r>
          </w:p>
        </w:tc>
        <w:tc>
          <w:tcPr>
            <w:tcW w:w="0" w:type="auto"/>
            <w:tcBorders>
              <w:top w:val="nil"/>
              <w:bottom w:val="nil"/>
            </w:tcBorders>
            <w:shd w:val="clear" w:color="auto" w:fill="auto"/>
            <w:noWrap/>
            <w:vAlign w:val="center"/>
            <w:hideMark/>
          </w:tcPr>
          <w:p w14:paraId="625477FF" w14:textId="2C19C8E4" w:rsidR="00F038BA" w:rsidRPr="00733536" w:rsidRDefault="00F038BA" w:rsidP="00104B9D">
            <w:pPr>
              <w:framePr w:w="4961" w:vSpace="284" w:wrap="notBeside" w:vAnchor="page" w:hAnchor="page" w:x="6099" w:y="1134"/>
              <w:ind w:right="287" w:firstLine="0"/>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16"/>
                <w:szCs w:val="16"/>
                <w:lang w:eastAsia="ko-KR"/>
              </w:rPr>
            </w:pPr>
            <w:r w:rsidRPr="00733536">
              <w:rPr>
                <w:rFonts w:ascii="Calibri" w:hAnsi="Calibri"/>
                <w:b/>
                <w:bCs/>
                <w:color w:val="000000"/>
                <w:sz w:val="16"/>
                <w:szCs w:val="16"/>
                <w:lang w:eastAsia="ko-KR"/>
              </w:rPr>
              <w:t>3.8</w:t>
            </w:r>
            <w:r w:rsidR="00104B9D" w:rsidRPr="00733536">
              <w:rPr>
                <w:rFonts w:ascii="Calibri" w:hAnsi="Calibri"/>
                <w:b/>
                <w:bCs/>
                <w:color w:val="000000"/>
                <w:sz w:val="16"/>
                <w:szCs w:val="16"/>
                <w:lang w:eastAsia="ko-KR"/>
              </w:rPr>
              <w:t xml:space="preserve"> </w:t>
            </w:r>
            <w:r w:rsidRPr="00733536">
              <w:rPr>
                <w:rFonts w:ascii="Calibri" w:hAnsi="Calibri"/>
                <w:b/>
                <w:bCs/>
                <w:color w:val="000000"/>
                <w:sz w:val="16"/>
                <w:szCs w:val="16"/>
                <w:lang w:eastAsia="ko-KR"/>
              </w:rPr>
              <w:t>%</w:t>
            </w:r>
          </w:p>
        </w:tc>
      </w:tr>
      <w:tr w:rsidR="00F038BA" w:rsidRPr="00733536" w14:paraId="4156B4DB" w14:textId="77777777" w:rsidTr="00CE18B6">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hideMark/>
          </w:tcPr>
          <w:p w14:paraId="6DC1D041" w14:textId="77777777" w:rsidR="00F038BA" w:rsidRPr="00733536" w:rsidRDefault="00F038BA" w:rsidP="00F038BA">
            <w:pPr>
              <w:framePr w:w="4961" w:vSpace="284" w:wrap="notBeside" w:vAnchor="page" w:hAnchor="page" w:x="6099" w:y="1134"/>
              <w:ind w:firstLine="0"/>
              <w:jc w:val="right"/>
              <w:rPr>
                <w:rFonts w:ascii="Calibri" w:hAnsi="Calibri"/>
                <w:color w:val="000000"/>
                <w:sz w:val="16"/>
                <w:szCs w:val="16"/>
                <w:lang w:eastAsia="ko-KR"/>
              </w:rPr>
            </w:pPr>
            <w:r w:rsidRPr="00733536">
              <w:rPr>
                <w:rFonts w:ascii="Calibri" w:hAnsi="Calibri"/>
                <w:color w:val="000000"/>
                <w:sz w:val="16"/>
                <w:szCs w:val="16"/>
                <w:lang w:eastAsia="ko-KR"/>
              </w:rPr>
              <w:t>Oceania</w:t>
            </w:r>
          </w:p>
        </w:tc>
        <w:tc>
          <w:tcPr>
            <w:tcW w:w="0" w:type="auto"/>
            <w:tcBorders>
              <w:top w:val="nil"/>
              <w:bottom w:val="nil"/>
            </w:tcBorders>
            <w:shd w:val="clear" w:color="auto" w:fill="auto"/>
            <w:noWrap/>
            <w:vAlign w:val="center"/>
            <w:hideMark/>
          </w:tcPr>
          <w:p w14:paraId="3F5F2D39" w14:textId="743C8E2B" w:rsidR="00F038BA" w:rsidRPr="00733536" w:rsidRDefault="00F038BA" w:rsidP="00104B9D">
            <w:pPr>
              <w:framePr w:w="4961" w:vSpace="284" w:wrap="notBeside" w:vAnchor="page" w:hAnchor="page" w:x="6099" w:y="1134"/>
              <w:ind w:right="287" w:firstLine="0"/>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lang w:eastAsia="ko-KR"/>
              </w:rPr>
            </w:pPr>
            <w:r w:rsidRPr="00733536">
              <w:rPr>
                <w:rFonts w:ascii="Calibri" w:hAnsi="Calibri"/>
                <w:b/>
                <w:bCs/>
                <w:color w:val="000000"/>
                <w:sz w:val="16"/>
                <w:szCs w:val="16"/>
                <w:lang w:eastAsia="ko-KR"/>
              </w:rPr>
              <w:t>0.1</w:t>
            </w:r>
            <w:r w:rsidR="00104B9D" w:rsidRPr="00733536">
              <w:rPr>
                <w:rFonts w:ascii="Calibri" w:hAnsi="Calibri"/>
                <w:b/>
                <w:bCs/>
                <w:color w:val="000000"/>
                <w:sz w:val="16"/>
                <w:szCs w:val="16"/>
                <w:lang w:eastAsia="ko-KR"/>
              </w:rPr>
              <w:t xml:space="preserve"> </w:t>
            </w:r>
            <w:r w:rsidRPr="00733536">
              <w:rPr>
                <w:rFonts w:ascii="Calibri" w:hAnsi="Calibri"/>
                <w:b/>
                <w:bCs/>
                <w:color w:val="000000"/>
                <w:sz w:val="16"/>
                <w:szCs w:val="16"/>
                <w:lang w:eastAsia="ko-KR"/>
              </w:rPr>
              <w:t>%</w:t>
            </w:r>
          </w:p>
        </w:tc>
      </w:tr>
      <w:tr w:rsidR="00F038BA" w:rsidRPr="00733536" w14:paraId="2CC3F7D1" w14:textId="77777777" w:rsidTr="00CE18B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hideMark/>
          </w:tcPr>
          <w:p w14:paraId="36650489" w14:textId="77777777" w:rsidR="00F038BA" w:rsidRPr="00733536" w:rsidRDefault="00F038BA" w:rsidP="00F038BA">
            <w:pPr>
              <w:framePr w:w="4961" w:vSpace="284" w:wrap="notBeside" w:vAnchor="page" w:hAnchor="page" w:x="6099" w:y="1134"/>
              <w:ind w:firstLine="0"/>
              <w:jc w:val="right"/>
              <w:rPr>
                <w:rFonts w:ascii="Calibri" w:hAnsi="Calibri"/>
                <w:color w:val="000000"/>
                <w:sz w:val="16"/>
                <w:szCs w:val="16"/>
                <w:lang w:eastAsia="ko-KR"/>
              </w:rPr>
            </w:pPr>
            <w:r w:rsidRPr="00733536">
              <w:rPr>
                <w:rFonts w:ascii="Calibri" w:hAnsi="Calibri"/>
                <w:color w:val="000000"/>
                <w:sz w:val="16"/>
                <w:szCs w:val="16"/>
                <w:lang w:eastAsia="ko-KR"/>
              </w:rPr>
              <w:t>Not available</w:t>
            </w:r>
          </w:p>
        </w:tc>
        <w:tc>
          <w:tcPr>
            <w:tcW w:w="0" w:type="auto"/>
            <w:tcBorders>
              <w:top w:val="nil"/>
              <w:bottom w:val="nil"/>
            </w:tcBorders>
            <w:shd w:val="clear" w:color="auto" w:fill="auto"/>
            <w:noWrap/>
            <w:vAlign w:val="center"/>
            <w:hideMark/>
          </w:tcPr>
          <w:p w14:paraId="5C6BC07A" w14:textId="5227026E" w:rsidR="00F038BA" w:rsidRPr="00733536" w:rsidRDefault="00F038BA" w:rsidP="00104B9D">
            <w:pPr>
              <w:framePr w:w="4961" w:vSpace="284" w:wrap="notBeside" w:vAnchor="page" w:hAnchor="page" w:x="6099" w:y="1134"/>
              <w:ind w:right="287" w:firstLine="0"/>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16"/>
                <w:szCs w:val="16"/>
                <w:lang w:eastAsia="ko-KR"/>
              </w:rPr>
            </w:pPr>
            <w:r w:rsidRPr="00733536">
              <w:rPr>
                <w:rFonts w:ascii="Calibri" w:hAnsi="Calibri"/>
                <w:b/>
                <w:bCs/>
                <w:color w:val="000000"/>
                <w:sz w:val="16"/>
                <w:szCs w:val="16"/>
                <w:lang w:eastAsia="ko-KR"/>
              </w:rPr>
              <w:t>2.7</w:t>
            </w:r>
            <w:r w:rsidR="00104B9D" w:rsidRPr="00733536">
              <w:rPr>
                <w:rFonts w:ascii="Calibri" w:hAnsi="Calibri"/>
                <w:b/>
                <w:bCs/>
                <w:color w:val="000000"/>
                <w:sz w:val="16"/>
                <w:szCs w:val="16"/>
                <w:lang w:eastAsia="ko-KR"/>
              </w:rPr>
              <w:t xml:space="preserve"> </w:t>
            </w:r>
            <w:r w:rsidRPr="00733536">
              <w:rPr>
                <w:rFonts w:ascii="Calibri" w:hAnsi="Calibri"/>
                <w:b/>
                <w:bCs/>
                <w:color w:val="000000"/>
                <w:sz w:val="16"/>
                <w:szCs w:val="16"/>
                <w:lang w:eastAsia="ko-KR"/>
              </w:rPr>
              <w:t>%</w:t>
            </w:r>
          </w:p>
        </w:tc>
      </w:tr>
      <w:tr w:rsidR="00F038BA" w:rsidRPr="00733536" w14:paraId="4BA23926" w14:textId="77777777" w:rsidTr="00CE18B6">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vAlign w:val="center"/>
            <w:hideMark/>
          </w:tcPr>
          <w:p w14:paraId="7506CB30" w14:textId="77777777" w:rsidR="00F038BA" w:rsidRPr="00733536" w:rsidRDefault="00F038BA" w:rsidP="00F038BA">
            <w:pPr>
              <w:framePr w:w="4961" w:vSpace="284" w:wrap="notBeside" w:vAnchor="page" w:hAnchor="page" w:x="6099" w:y="1134"/>
              <w:ind w:firstLine="0"/>
              <w:jc w:val="left"/>
              <w:rPr>
                <w:rFonts w:ascii="Calibri" w:hAnsi="Calibri"/>
                <w:color w:val="000000"/>
                <w:sz w:val="16"/>
                <w:szCs w:val="16"/>
                <w:lang w:eastAsia="ko-KR"/>
              </w:rPr>
            </w:pPr>
            <w:r w:rsidRPr="00733536">
              <w:rPr>
                <w:rFonts w:ascii="Calibri" w:hAnsi="Calibri"/>
                <w:color w:val="000000"/>
                <w:sz w:val="16"/>
                <w:szCs w:val="16"/>
                <w:lang w:eastAsia="ko-KR"/>
              </w:rPr>
              <w:t>Total</w:t>
            </w:r>
          </w:p>
        </w:tc>
        <w:tc>
          <w:tcPr>
            <w:tcW w:w="0" w:type="auto"/>
            <w:tcBorders>
              <w:top w:val="nil"/>
              <w:bottom w:val="single" w:sz="4" w:space="0" w:color="auto"/>
            </w:tcBorders>
            <w:shd w:val="clear" w:color="auto" w:fill="auto"/>
            <w:noWrap/>
            <w:vAlign w:val="center"/>
            <w:hideMark/>
          </w:tcPr>
          <w:p w14:paraId="20ADEE78" w14:textId="3D9504B6" w:rsidR="00F038BA" w:rsidRPr="00733536" w:rsidRDefault="00F038BA" w:rsidP="00104B9D">
            <w:pPr>
              <w:framePr w:w="4961" w:vSpace="284" w:wrap="notBeside" w:vAnchor="page" w:hAnchor="page" w:x="6099" w:y="1134"/>
              <w:ind w:right="287" w:firstLine="0"/>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6"/>
                <w:szCs w:val="16"/>
                <w:lang w:eastAsia="ko-KR"/>
              </w:rPr>
            </w:pPr>
            <w:r w:rsidRPr="00733536">
              <w:rPr>
                <w:rFonts w:ascii="Calibri" w:hAnsi="Calibri"/>
                <w:b/>
                <w:bCs/>
                <w:color w:val="000000"/>
                <w:sz w:val="16"/>
                <w:szCs w:val="16"/>
                <w:lang w:eastAsia="ko-KR"/>
              </w:rPr>
              <w:t>100.0</w:t>
            </w:r>
            <w:r w:rsidR="00104B9D" w:rsidRPr="00733536">
              <w:rPr>
                <w:rFonts w:ascii="Calibri" w:hAnsi="Calibri"/>
                <w:b/>
                <w:bCs/>
                <w:color w:val="000000"/>
                <w:sz w:val="16"/>
                <w:szCs w:val="16"/>
                <w:lang w:eastAsia="ko-KR"/>
              </w:rPr>
              <w:t xml:space="preserve"> </w:t>
            </w:r>
            <w:r w:rsidRPr="00733536">
              <w:rPr>
                <w:rFonts w:ascii="Calibri" w:hAnsi="Calibri"/>
                <w:b/>
                <w:bCs/>
                <w:color w:val="000000"/>
                <w:sz w:val="16"/>
                <w:szCs w:val="16"/>
                <w:lang w:eastAsia="ko-KR"/>
              </w:rPr>
              <w:t>%</w:t>
            </w:r>
          </w:p>
        </w:tc>
      </w:tr>
    </w:tbl>
    <w:p w14:paraId="6627B95B" w14:textId="6646ECBE" w:rsidR="00CE18B6" w:rsidRPr="00733536" w:rsidRDefault="00F038BA" w:rsidP="00F038BA">
      <w:r w:rsidRPr="00733536">
        <w:t xml:space="preserve">Given </w:t>
      </w:r>
      <w:commentRangeStart w:id="13"/>
      <w:r w:rsidRPr="00733536">
        <w:t xml:space="preserve">the </w:t>
      </w:r>
      <w:r w:rsidR="002B529D">
        <w:t xml:space="preserve">lack of homogeneity </w:t>
      </w:r>
      <w:commentRangeEnd w:id="13"/>
      <w:r w:rsidR="002B529D">
        <w:rPr>
          <w:rStyle w:val="CommentReference"/>
          <w:rFonts w:asciiTheme="minorHAnsi" w:eastAsiaTheme="minorEastAsia" w:hAnsiTheme="minorHAnsi" w:cstheme="minorBidi"/>
          <w:lang w:val="it-IT" w:eastAsia="ko-KR"/>
        </w:rPr>
        <w:commentReference w:id="13"/>
      </w:r>
      <w:r w:rsidR="002B529D">
        <w:t>in the</w:t>
      </w:r>
      <w:r w:rsidRPr="00733536">
        <w:t xml:space="preserve"> results emerging from the extant literature and in order</w:t>
      </w:r>
      <w:r w:rsidR="002B529D">
        <w:t xml:space="preserve"> to</w:t>
      </w:r>
      <w:r w:rsidRPr="00733536">
        <w:t xml:space="preserve"> investigate more deeply the proposed research question, attention is now focused on</w:t>
      </w:r>
      <w:r w:rsidR="002B529D">
        <w:t xml:space="preserve"> the</w:t>
      </w:r>
      <w:r w:rsidRPr="00733536">
        <w:t xml:space="preserve"> empirical evidence collected </w:t>
      </w:r>
      <w:r w:rsidR="00CE3C69">
        <w:t>from</w:t>
      </w:r>
      <w:r w:rsidRPr="00733536">
        <w:t xml:space="preserve"> the UMRD. It contains secondary data belonging to back-shoring decisions implemented by companies at </w:t>
      </w:r>
      <w:r w:rsidR="002B529D">
        <w:t>a global</w:t>
      </w:r>
      <w:r w:rsidRPr="00733536">
        <w:t xml:space="preserve"> level. However, for the aims of this paper, attention has been focused on companies headquartered in Europe. Up to December 2018, the UMRD contains a total of 814 </w:t>
      </w:r>
      <w:r w:rsidR="002B529D">
        <w:t>examples of</w:t>
      </w:r>
      <w:r w:rsidRPr="00733536">
        <w:t xml:space="preserve"> back-shoring decisions implemented by companies headquartered in 24 European countries. </w:t>
      </w:r>
      <w:r w:rsidR="002B529D">
        <w:t>Companies have been taking and implementing s</w:t>
      </w:r>
      <w:r w:rsidRPr="00733536">
        <w:t xml:space="preserve">uch decisions since the </w:t>
      </w:r>
      <w:r w:rsidR="002B529D">
        <w:t>19</w:t>
      </w:r>
      <w:r w:rsidRPr="00733536">
        <w:t>90s</w:t>
      </w:r>
      <w:r w:rsidR="002B529D">
        <w:t>,</w:t>
      </w:r>
      <w:r w:rsidRPr="00733536">
        <w:t xml:space="preserve"> but </w:t>
      </w:r>
      <w:r w:rsidR="00873596">
        <w:t>most</w:t>
      </w:r>
      <w:r w:rsidR="002B529D">
        <w:t xml:space="preserve"> </w:t>
      </w:r>
      <w:r w:rsidR="00873596">
        <w:t>of the examples are</w:t>
      </w:r>
      <w:r w:rsidR="002B529D">
        <w:t xml:space="preserve"> from th</w:t>
      </w:r>
      <w:r w:rsidR="00873596">
        <w:t>is</w:t>
      </w:r>
      <w:r w:rsidRPr="00733536">
        <w:t xml:space="preserve"> century. Before analysing the impact (if any) of Industry 4.0 technologies on back-shoring decisions, it seems useful to point out the main characteristics of the sampled back-shoring decisions.</w:t>
      </w:r>
    </w:p>
    <w:p w14:paraId="3FF361EC" w14:textId="71236EAB" w:rsidR="00117889" w:rsidRPr="00733536" w:rsidRDefault="00A64411" w:rsidP="00F038BA">
      <w:r w:rsidRPr="00733536">
        <w:t xml:space="preserve">As far as the geographical dimension (host country/region) is concerned, </w:t>
      </w:r>
      <w:r w:rsidR="002B529D">
        <w:t>the</w:t>
      </w:r>
      <w:r w:rsidRPr="00733536">
        <w:t xml:space="preserve"> evidence is homogeneously divided between Asia and Europe (</w:t>
      </w:r>
      <w:r w:rsidR="00542406" w:rsidRPr="00733536">
        <w:fldChar w:fldCharType="begin"/>
      </w:r>
      <w:r w:rsidR="00542406" w:rsidRPr="00733536">
        <w:instrText xml:space="preserve"> REF _Ref55216682 \h </w:instrText>
      </w:r>
      <w:r w:rsidR="00542406" w:rsidRPr="00733536">
        <w:fldChar w:fldCharType="separate"/>
      </w:r>
      <w:r w:rsidR="008F7C96" w:rsidRPr="00733536">
        <w:rPr>
          <w:szCs w:val="20"/>
          <w:lang w:eastAsia="ko-KR"/>
        </w:rPr>
        <w:t xml:space="preserve">Table </w:t>
      </w:r>
      <w:r w:rsidR="008F7C96" w:rsidRPr="00733536">
        <w:rPr>
          <w:noProof/>
        </w:rPr>
        <w:t>2</w:t>
      </w:r>
      <w:r w:rsidR="00542406" w:rsidRPr="00733536">
        <w:fldChar w:fldCharType="end"/>
      </w:r>
      <w:r w:rsidRPr="00733536">
        <w:t>).</w:t>
      </w:r>
      <w:r w:rsidR="00152B29" w:rsidRPr="00733536">
        <w:t xml:space="preserve"> </w:t>
      </w:r>
      <w:r w:rsidR="00117889" w:rsidRPr="00733536">
        <w:t>This finding is quite interesting and may be</w:t>
      </w:r>
      <w:r w:rsidR="002B529D">
        <w:t xml:space="preserve">, </w:t>
      </w:r>
      <w:r w:rsidR="00117889" w:rsidRPr="00733536">
        <w:t>at least partially</w:t>
      </w:r>
      <w:r w:rsidR="002B529D">
        <w:t xml:space="preserve">, </w:t>
      </w:r>
      <w:r w:rsidR="00117889" w:rsidRPr="00733536">
        <w:t xml:space="preserve">explained </w:t>
      </w:r>
      <w:r w:rsidR="002B529D">
        <w:t>by</w:t>
      </w:r>
      <w:r w:rsidR="00117889" w:rsidRPr="00733536">
        <w:t xml:space="preserve"> the </w:t>
      </w:r>
      <w:r w:rsidR="002B529D">
        <w:t>‘</w:t>
      </w:r>
      <w:r w:rsidR="00117889" w:rsidRPr="00733536">
        <w:t>region-centric</w:t>
      </w:r>
      <w:r w:rsidR="002B529D">
        <w:t>’</w:t>
      </w:r>
      <w:r w:rsidR="00117889" w:rsidRPr="00733536">
        <w:t xml:space="preserve"> approach often adopted by European companies when off-shoring their production activities. </w:t>
      </w:r>
      <w:r w:rsidR="00873596">
        <w:t>These</w:t>
      </w:r>
      <w:r w:rsidR="00117889" w:rsidRPr="00733536">
        <w:t xml:space="preserve"> location strateg</w:t>
      </w:r>
      <w:r w:rsidR="00873596">
        <w:t>ies</w:t>
      </w:r>
      <w:r w:rsidR="00117889" w:rsidRPr="00733536">
        <w:t xml:space="preserve"> </w:t>
      </w:r>
      <w:r w:rsidR="00CE3C69">
        <w:t>w</w:t>
      </w:r>
      <w:r w:rsidR="00873596">
        <w:t>ere</w:t>
      </w:r>
      <w:r w:rsidR="00117889" w:rsidRPr="00733536">
        <w:t xml:space="preserve"> </w:t>
      </w:r>
      <w:r w:rsidR="00873596">
        <w:t>given a strong</w:t>
      </w:r>
      <w:r w:rsidR="00117889" w:rsidRPr="00733536">
        <w:t xml:space="preserve"> boost by </w:t>
      </w:r>
      <w:r w:rsidR="00557DD7">
        <w:t xml:space="preserve">the </w:t>
      </w:r>
      <w:r w:rsidR="00117889" w:rsidRPr="00733536">
        <w:t>European Union enlargements in 2004 and 2007</w:t>
      </w:r>
      <w:r w:rsidR="00557DD7">
        <w:t>,</w:t>
      </w:r>
      <w:r w:rsidR="00117889" w:rsidRPr="00733536">
        <w:t xml:space="preserve"> which generated </w:t>
      </w:r>
      <w:r w:rsidR="00557DD7">
        <w:t xml:space="preserve">an </w:t>
      </w:r>
      <w:r w:rsidR="00117889" w:rsidRPr="00733536">
        <w:t>opportunity to produce in low-cost countries close to Western Europe.</w:t>
      </w:r>
      <w:r w:rsidR="00F038BA" w:rsidRPr="00733536">
        <w:t xml:space="preserve"> </w:t>
      </w:r>
      <w:r w:rsidR="00117889" w:rsidRPr="00733536">
        <w:t xml:space="preserve">Finally, it is worth noting that the majority of intra-Europe relocations have been implemented among Western countries, i.e. </w:t>
      </w:r>
      <w:r w:rsidR="00557DD7">
        <w:t>between</w:t>
      </w:r>
      <w:r w:rsidR="00117889" w:rsidRPr="00733536">
        <w:t xml:space="preserve"> high-cost nations. This evidence seems to confirm the idea that production offshoring </w:t>
      </w:r>
      <w:r w:rsidR="00873596">
        <w:t>has</w:t>
      </w:r>
      <w:r w:rsidR="00117889" w:rsidRPr="00733536">
        <w:t xml:space="preserve"> not</w:t>
      </w:r>
      <w:r w:rsidR="00873596">
        <w:t xml:space="preserve"> been</w:t>
      </w:r>
      <w:r w:rsidR="00117889" w:rsidRPr="00733536">
        <w:t xml:space="preserve"> aimed only </w:t>
      </w:r>
      <w:r w:rsidR="00557DD7">
        <w:t>at</w:t>
      </w:r>
      <w:r w:rsidR="00117889" w:rsidRPr="00733536">
        <w:t xml:space="preserve"> reduc</w:t>
      </w:r>
      <w:r w:rsidR="00557DD7">
        <w:t>ing</w:t>
      </w:r>
      <w:r w:rsidR="00117889" w:rsidRPr="00733536">
        <w:t xml:space="preserve"> production costs.</w:t>
      </w:r>
    </w:p>
    <w:p w14:paraId="016C495B" w14:textId="71F6B493" w:rsidR="00CE18B6" w:rsidRPr="00733536" w:rsidRDefault="00CE18B6" w:rsidP="00F038BA">
      <w:r w:rsidRPr="00733536">
        <w:t xml:space="preserve">The breakdown by </w:t>
      </w:r>
      <w:r w:rsidR="00557DD7">
        <w:t>company</w:t>
      </w:r>
      <w:r w:rsidRPr="00733536">
        <w:t xml:space="preserve"> size shows that half of the back</w:t>
      </w:r>
      <w:r w:rsidR="00557DD7">
        <w:t>-</w:t>
      </w:r>
      <w:r w:rsidRPr="00733536">
        <w:t xml:space="preserve">shoring decisions </w:t>
      </w:r>
      <w:r w:rsidR="00557DD7">
        <w:t>have been</w:t>
      </w:r>
      <w:r w:rsidRPr="00733536">
        <w:t xml:space="preserve"> implemented by large companies</w:t>
      </w:r>
      <w:r w:rsidR="00557DD7">
        <w:t>. T</w:t>
      </w:r>
      <w:r w:rsidRPr="00733536">
        <w:t xml:space="preserve">he other half is divided </w:t>
      </w:r>
      <w:r w:rsidR="00557DD7" w:rsidRPr="00733536">
        <w:t xml:space="preserve">equally </w:t>
      </w:r>
      <w:r w:rsidRPr="00733536">
        <w:t>between medium</w:t>
      </w:r>
      <w:r w:rsidR="00557DD7">
        <w:t xml:space="preserve"> and </w:t>
      </w:r>
      <w:r w:rsidRPr="00733536">
        <w:t>small and micro companies (</w:t>
      </w:r>
      <w:r w:rsidR="00542406" w:rsidRPr="00733536">
        <w:fldChar w:fldCharType="begin"/>
      </w:r>
      <w:r w:rsidR="00542406" w:rsidRPr="00733536">
        <w:instrText xml:space="preserve"> REF _Ref55216690 \h </w:instrText>
      </w:r>
      <w:r w:rsidR="00542406" w:rsidRPr="00733536">
        <w:fldChar w:fldCharType="separate"/>
      </w:r>
      <w:r w:rsidR="008F7C96" w:rsidRPr="00733536">
        <w:rPr>
          <w:szCs w:val="20"/>
          <w:lang w:eastAsia="ko-KR"/>
        </w:rPr>
        <w:t xml:space="preserve">Table </w:t>
      </w:r>
      <w:r w:rsidR="008F7C96" w:rsidRPr="00733536">
        <w:rPr>
          <w:noProof/>
        </w:rPr>
        <w:t>3</w:t>
      </w:r>
      <w:r w:rsidR="00542406" w:rsidRPr="00733536">
        <w:fldChar w:fldCharType="end"/>
      </w:r>
      <w:r w:rsidRPr="00733536">
        <w:t>).</w:t>
      </w:r>
    </w:p>
    <w:p w14:paraId="41674EC5" w14:textId="207A72E0" w:rsidR="00F038BA" w:rsidRPr="00733536" w:rsidRDefault="00F038BA" w:rsidP="00F038BA">
      <w:pPr>
        <w:pStyle w:val="FigureCaption"/>
        <w:framePr w:w="4961" w:vSpace="284" w:wrap="notBeside" w:vAnchor="page" w:hAnchor="page" w:x="849" w:y="1134"/>
        <w:spacing w:before="0" w:after="120"/>
      </w:pPr>
      <w:bookmarkStart w:id="14" w:name="_Ref55216690"/>
      <w:r w:rsidRPr="00733536">
        <w:rPr>
          <w:szCs w:val="20"/>
          <w:lang w:eastAsia="ko-KR"/>
        </w:rPr>
        <w:lastRenderedPageBreak/>
        <w:t xml:space="preserve">Table </w:t>
      </w:r>
      <w:r w:rsidRPr="00733536">
        <w:fldChar w:fldCharType="begin"/>
      </w:r>
      <w:r w:rsidRPr="00733536">
        <w:instrText xml:space="preserve"> SEQ Table \* ARABIC </w:instrText>
      </w:r>
      <w:r w:rsidRPr="00733536">
        <w:fldChar w:fldCharType="separate"/>
      </w:r>
      <w:r w:rsidR="008F7C96" w:rsidRPr="00733536">
        <w:rPr>
          <w:noProof/>
        </w:rPr>
        <w:t>3</w:t>
      </w:r>
      <w:r w:rsidRPr="00733536">
        <w:fldChar w:fldCharType="end"/>
      </w:r>
      <w:bookmarkEnd w:id="14"/>
      <w:r w:rsidRPr="00733536">
        <w:rPr>
          <w:szCs w:val="20"/>
          <w:lang w:eastAsia="ko-KR"/>
        </w:rPr>
        <w:t xml:space="preserve">. </w:t>
      </w:r>
      <w:r w:rsidRPr="00733536">
        <w:rPr>
          <w:rFonts w:asciiTheme="minorHAnsi" w:hAnsiTheme="minorHAnsi"/>
          <w:bCs/>
          <w:szCs w:val="21"/>
        </w:rPr>
        <w:t xml:space="preserve">Breakdown of back-shoring decisions by </w:t>
      </w:r>
      <w:r w:rsidR="00557DD7">
        <w:rPr>
          <w:rFonts w:asciiTheme="minorHAnsi" w:hAnsiTheme="minorHAnsi"/>
          <w:bCs/>
          <w:szCs w:val="21"/>
        </w:rPr>
        <w:t>company</w:t>
      </w:r>
      <w:r w:rsidRPr="00733536">
        <w:rPr>
          <w:rFonts w:asciiTheme="minorHAnsi" w:hAnsiTheme="minorHAnsi"/>
          <w:bCs/>
          <w:szCs w:val="21"/>
        </w:rPr>
        <w:t xml:space="preserve"> size. </w:t>
      </w:r>
      <w:r w:rsidRPr="00733536">
        <w:rPr>
          <w:rFonts w:asciiTheme="minorHAnsi" w:hAnsiTheme="minorHAnsi"/>
          <w:szCs w:val="21"/>
        </w:rPr>
        <w:t>Source: UMRD</w:t>
      </w:r>
      <w:r w:rsidRPr="00733536">
        <w:t>.</w:t>
      </w:r>
    </w:p>
    <w:tbl>
      <w:tblPr>
        <w:tblStyle w:val="Tabellasemplice-21"/>
        <w:tblW w:w="5000" w:type="pct"/>
        <w:jc w:val="center"/>
        <w:tblCellMar>
          <w:left w:w="0" w:type="dxa"/>
          <w:right w:w="0" w:type="dxa"/>
        </w:tblCellMar>
        <w:tblLook w:val="04A0" w:firstRow="1" w:lastRow="0" w:firstColumn="1" w:lastColumn="0" w:noHBand="0" w:noVBand="1"/>
      </w:tblPr>
      <w:tblGrid>
        <w:gridCol w:w="2313"/>
        <w:gridCol w:w="2648"/>
      </w:tblGrid>
      <w:tr w:rsidR="00F038BA" w:rsidRPr="00733536" w14:paraId="3BB0C829" w14:textId="77777777" w:rsidTr="00CE18B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bottom w:val="single" w:sz="4" w:space="0" w:color="auto"/>
            </w:tcBorders>
            <w:shd w:val="clear" w:color="auto" w:fill="auto"/>
            <w:noWrap/>
            <w:vAlign w:val="center"/>
            <w:hideMark/>
          </w:tcPr>
          <w:p w14:paraId="3345BD33" w14:textId="1495BE70" w:rsidR="00F038BA" w:rsidRPr="00733536" w:rsidRDefault="00557DD7" w:rsidP="00F038BA">
            <w:pPr>
              <w:framePr w:w="4961" w:vSpace="284" w:wrap="notBeside" w:vAnchor="page" w:hAnchor="page" w:x="849" w:y="1134"/>
              <w:ind w:firstLine="0"/>
              <w:jc w:val="center"/>
              <w:rPr>
                <w:rFonts w:ascii="Calibri" w:hAnsi="Calibri"/>
                <w:color w:val="000000"/>
                <w:sz w:val="16"/>
                <w:szCs w:val="16"/>
                <w:lang w:eastAsia="ko-KR"/>
              </w:rPr>
            </w:pPr>
            <w:r>
              <w:rPr>
                <w:rFonts w:ascii="Calibri" w:hAnsi="Calibri"/>
                <w:color w:val="000000"/>
                <w:sz w:val="16"/>
                <w:szCs w:val="16"/>
                <w:lang w:eastAsia="ko-KR"/>
              </w:rPr>
              <w:t>Company</w:t>
            </w:r>
            <w:r w:rsidR="00F038BA" w:rsidRPr="00733536">
              <w:rPr>
                <w:rFonts w:ascii="Calibri" w:hAnsi="Calibri"/>
                <w:color w:val="000000"/>
                <w:sz w:val="16"/>
                <w:szCs w:val="16"/>
                <w:lang w:eastAsia="ko-KR"/>
              </w:rPr>
              <w:t xml:space="preserve"> size</w:t>
            </w:r>
          </w:p>
        </w:tc>
        <w:tc>
          <w:tcPr>
            <w:tcW w:w="0" w:type="pct"/>
            <w:tcBorders>
              <w:top w:val="single" w:sz="4" w:space="0" w:color="auto"/>
              <w:bottom w:val="single" w:sz="4" w:space="0" w:color="auto"/>
            </w:tcBorders>
            <w:shd w:val="clear" w:color="auto" w:fill="auto"/>
            <w:noWrap/>
            <w:vAlign w:val="center"/>
            <w:hideMark/>
          </w:tcPr>
          <w:p w14:paraId="15781B02" w14:textId="77777777" w:rsidR="00F038BA" w:rsidRPr="00733536" w:rsidRDefault="00F038BA" w:rsidP="00F038BA">
            <w:pPr>
              <w:framePr w:w="4961" w:vSpace="284" w:wrap="notBeside" w:vAnchor="page" w:hAnchor="page" w:x="849" w:y="1134"/>
              <w:ind w:firstLine="0"/>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Decisions</w:t>
            </w:r>
          </w:p>
        </w:tc>
      </w:tr>
      <w:tr w:rsidR="00F038BA" w:rsidRPr="00733536" w14:paraId="2458748F" w14:textId="77777777" w:rsidTr="00CE18B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331" w:type="pct"/>
            <w:tcBorders>
              <w:top w:val="single" w:sz="4" w:space="0" w:color="auto"/>
              <w:bottom w:val="nil"/>
            </w:tcBorders>
            <w:shd w:val="clear" w:color="auto" w:fill="auto"/>
            <w:noWrap/>
            <w:vAlign w:val="center"/>
            <w:hideMark/>
          </w:tcPr>
          <w:p w14:paraId="07FB9BB9" w14:textId="77777777" w:rsidR="00F038BA" w:rsidRPr="00733536" w:rsidRDefault="00F038BA" w:rsidP="00F038BA">
            <w:pPr>
              <w:framePr w:w="4961" w:vSpace="284" w:wrap="notBeside" w:vAnchor="page" w:hAnchor="page" w:x="849" w:y="1134"/>
              <w:ind w:left="284" w:firstLine="0"/>
              <w:jc w:val="left"/>
              <w:rPr>
                <w:rFonts w:ascii="Calibri" w:hAnsi="Calibri"/>
                <w:b w:val="0"/>
                <w:bCs w:val="0"/>
                <w:color w:val="000000"/>
                <w:sz w:val="16"/>
                <w:szCs w:val="16"/>
                <w:lang w:eastAsia="ko-KR"/>
              </w:rPr>
            </w:pPr>
            <w:r w:rsidRPr="00733536">
              <w:rPr>
                <w:rFonts w:ascii="Calibri" w:hAnsi="Calibri"/>
                <w:b w:val="0"/>
                <w:bCs w:val="0"/>
                <w:color w:val="000000"/>
                <w:sz w:val="16"/>
                <w:szCs w:val="16"/>
                <w:lang w:eastAsia="ko-KR"/>
              </w:rPr>
              <w:t>Large</w:t>
            </w:r>
          </w:p>
        </w:tc>
        <w:tc>
          <w:tcPr>
            <w:tcW w:w="2669" w:type="pct"/>
            <w:tcBorders>
              <w:top w:val="single" w:sz="4" w:space="0" w:color="auto"/>
              <w:bottom w:val="nil"/>
            </w:tcBorders>
            <w:shd w:val="clear" w:color="auto" w:fill="auto"/>
            <w:noWrap/>
            <w:vAlign w:val="center"/>
            <w:hideMark/>
          </w:tcPr>
          <w:p w14:paraId="5A91BEFA" w14:textId="2603A421" w:rsidR="00F038BA" w:rsidRPr="00733536" w:rsidRDefault="00F038BA" w:rsidP="00104B9D">
            <w:pPr>
              <w:framePr w:w="4961" w:vSpace="284" w:wrap="notBeside" w:vAnchor="page" w:hAnchor="page" w:x="849" w:y="1134"/>
              <w:ind w:right="1137"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52.2</w:t>
            </w:r>
            <w:r w:rsidR="00104B9D" w:rsidRPr="00733536">
              <w:rPr>
                <w:rFonts w:ascii="Calibri" w:hAnsi="Calibri"/>
                <w:color w:val="000000"/>
                <w:sz w:val="16"/>
                <w:szCs w:val="16"/>
                <w:lang w:eastAsia="ko-KR"/>
              </w:rPr>
              <w:t xml:space="preserve"> </w:t>
            </w:r>
            <w:r w:rsidRPr="00733536">
              <w:rPr>
                <w:rFonts w:ascii="Calibri" w:hAnsi="Calibri"/>
                <w:color w:val="000000"/>
                <w:sz w:val="16"/>
                <w:szCs w:val="16"/>
                <w:lang w:eastAsia="ko-KR"/>
              </w:rPr>
              <w:t>%</w:t>
            </w:r>
          </w:p>
        </w:tc>
      </w:tr>
      <w:tr w:rsidR="00F038BA" w:rsidRPr="00733536" w14:paraId="0CD6F5CF" w14:textId="77777777" w:rsidTr="00CE18B6">
        <w:trPr>
          <w:trHeight w:val="255"/>
          <w:jc w:val="center"/>
        </w:trPr>
        <w:tc>
          <w:tcPr>
            <w:cnfStyle w:val="001000000000" w:firstRow="0" w:lastRow="0" w:firstColumn="1" w:lastColumn="0" w:oddVBand="0" w:evenVBand="0" w:oddHBand="0" w:evenHBand="0" w:firstRowFirstColumn="0" w:firstRowLastColumn="0" w:lastRowFirstColumn="0" w:lastRowLastColumn="0"/>
            <w:tcW w:w="2331" w:type="pct"/>
            <w:tcBorders>
              <w:top w:val="nil"/>
              <w:bottom w:val="nil"/>
            </w:tcBorders>
            <w:shd w:val="clear" w:color="auto" w:fill="auto"/>
            <w:noWrap/>
            <w:vAlign w:val="center"/>
            <w:hideMark/>
          </w:tcPr>
          <w:p w14:paraId="707C4F76" w14:textId="77777777" w:rsidR="00F038BA" w:rsidRPr="00733536" w:rsidRDefault="00F038BA" w:rsidP="00F038BA">
            <w:pPr>
              <w:framePr w:w="4961" w:vSpace="284" w:wrap="notBeside" w:vAnchor="page" w:hAnchor="page" w:x="849" w:y="1134"/>
              <w:ind w:left="284" w:firstLine="0"/>
              <w:jc w:val="left"/>
              <w:rPr>
                <w:rFonts w:ascii="Calibri" w:hAnsi="Calibri"/>
                <w:b w:val="0"/>
                <w:bCs w:val="0"/>
                <w:color w:val="000000"/>
                <w:sz w:val="16"/>
                <w:szCs w:val="16"/>
                <w:lang w:eastAsia="ko-KR"/>
              </w:rPr>
            </w:pPr>
            <w:r w:rsidRPr="00733536">
              <w:rPr>
                <w:rFonts w:ascii="Calibri" w:hAnsi="Calibri"/>
                <w:b w:val="0"/>
                <w:bCs w:val="0"/>
                <w:color w:val="000000"/>
                <w:sz w:val="16"/>
                <w:szCs w:val="16"/>
                <w:lang w:eastAsia="ko-KR"/>
              </w:rPr>
              <w:t>Medium</w:t>
            </w:r>
          </w:p>
        </w:tc>
        <w:tc>
          <w:tcPr>
            <w:tcW w:w="2669" w:type="pct"/>
            <w:tcBorders>
              <w:top w:val="nil"/>
              <w:bottom w:val="nil"/>
            </w:tcBorders>
            <w:shd w:val="clear" w:color="auto" w:fill="auto"/>
            <w:noWrap/>
            <w:vAlign w:val="center"/>
            <w:hideMark/>
          </w:tcPr>
          <w:p w14:paraId="6C0166F0" w14:textId="74BC400E" w:rsidR="00F038BA" w:rsidRPr="00733536" w:rsidRDefault="00F038BA" w:rsidP="00104B9D">
            <w:pPr>
              <w:framePr w:w="4961" w:vSpace="284" w:wrap="notBeside" w:vAnchor="page" w:hAnchor="page" w:x="849" w:y="1134"/>
              <w:ind w:right="1137" w:firstLine="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23.6</w:t>
            </w:r>
            <w:r w:rsidR="00104B9D" w:rsidRPr="00733536">
              <w:rPr>
                <w:rFonts w:ascii="Calibri" w:hAnsi="Calibri"/>
                <w:color w:val="000000"/>
                <w:sz w:val="16"/>
                <w:szCs w:val="16"/>
                <w:lang w:eastAsia="ko-KR"/>
              </w:rPr>
              <w:t xml:space="preserve"> </w:t>
            </w:r>
            <w:r w:rsidRPr="00733536">
              <w:rPr>
                <w:rFonts w:ascii="Calibri" w:hAnsi="Calibri"/>
                <w:color w:val="000000"/>
                <w:sz w:val="16"/>
                <w:szCs w:val="16"/>
                <w:lang w:eastAsia="ko-KR"/>
              </w:rPr>
              <w:t>%</w:t>
            </w:r>
          </w:p>
        </w:tc>
      </w:tr>
      <w:tr w:rsidR="00F038BA" w:rsidRPr="00733536" w14:paraId="7447B644" w14:textId="77777777" w:rsidTr="00CE18B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331" w:type="pct"/>
            <w:tcBorders>
              <w:top w:val="nil"/>
              <w:bottom w:val="nil"/>
            </w:tcBorders>
            <w:shd w:val="clear" w:color="auto" w:fill="auto"/>
            <w:noWrap/>
            <w:vAlign w:val="center"/>
            <w:hideMark/>
          </w:tcPr>
          <w:p w14:paraId="2DA0B9FA" w14:textId="77777777" w:rsidR="00F038BA" w:rsidRPr="00733536" w:rsidRDefault="00F038BA" w:rsidP="00F038BA">
            <w:pPr>
              <w:framePr w:w="4961" w:vSpace="284" w:wrap="notBeside" w:vAnchor="page" w:hAnchor="page" w:x="849" w:y="1134"/>
              <w:ind w:left="284" w:firstLine="0"/>
              <w:jc w:val="left"/>
              <w:rPr>
                <w:rFonts w:ascii="Calibri" w:hAnsi="Calibri"/>
                <w:b w:val="0"/>
                <w:bCs w:val="0"/>
                <w:color w:val="000000"/>
                <w:sz w:val="16"/>
                <w:szCs w:val="16"/>
                <w:lang w:eastAsia="ko-KR"/>
              </w:rPr>
            </w:pPr>
            <w:r w:rsidRPr="00733536">
              <w:rPr>
                <w:rFonts w:ascii="Calibri" w:hAnsi="Calibri"/>
                <w:b w:val="0"/>
                <w:bCs w:val="0"/>
                <w:color w:val="000000"/>
                <w:sz w:val="16"/>
                <w:szCs w:val="16"/>
                <w:lang w:eastAsia="ko-KR"/>
              </w:rPr>
              <w:t>Small &amp; Micro</w:t>
            </w:r>
          </w:p>
        </w:tc>
        <w:tc>
          <w:tcPr>
            <w:tcW w:w="2669" w:type="pct"/>
            <w:tcBorders>
              <w:top w:val="nil"/>
              <w:bottom w:val="nil"/>
            </w:tcBorders>
            <w:shd w:val="clear" w:color="auto" w:fill="auto"/>
            <w:noWrap/>
            <w:vAlign w:val="center"/>
            <w:hideMark/>
          </w:tcPr>
          <w:p w14:paraId="0A0B7301" w14:textId="74F25085" w:rsidR="00F038BA" w:rsidRPr="00733536" w:rsidRDefault="00F038BA" w:rsidP="00104B9D">
            <w:pPr>
              <w:framePr w:w="4961" w:vSpace="284" w:wrap="notBeside" w:vAnchor="page" w:hAnchor="page" w:x="849" w:y="1134"/>
              <w:ind w:right="1137"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23.2</w:t>
            </w:r>
            <w:r w:rsidR="00104B9D" w:rsidRPr="00733536">
              <w:rPr>
                <w:rFonts w:ascii="Calibri" w:hAnsi="Calibri"/>
                <w:color w:val="000000"/>
                <w:sz w:val="16"/>
                <w:szCs w:val="16"/>
                <w:lang w:eastAsia="ko-KR"/>
              </w:rPr>
              <w:t xml:space="preserve"> </w:t>
            </w:r>
            <w:r w:rsidRPr="00733536">
              <w:rPr>
                <w:rFonts w:ascii="Calibri" w:hAnsi="Calibri"/>
                <w:color w:val="000000"/>
                <w:sz w:val="16"/>
                <w:szCs w:val="16"/>
                <w:lang w:eastAsia="ko-KR"/>
              </w:rPr>
              <w:t>%</w:t>
            </w:r>
          </w:p>
        </w:tc>
      </w:tr>
      <w:tr w:rsidR="00F038BA" w:rsidRPr="00733536" w14:paraId="65B1F1DD" w14:textId="77777777" w:rsidTr="00CE18B6">
        <w:trPr>
          <w:trHeight w:val="255"/>
          <w:jc w:val="center"/>
        </w:trPr>
        <w:tc>
          <w:tcPr>
            <w:cnfStyle w:val="001000000000" w:firstRow="0" w:lastRow="0" w:firstColumn="1" w:lastColumn="0" w:oddVBand="0" w:evenVBand="0" w:oddHBand="0" w:evenHBand="0" w:firstRowFirstColumn="0" w:firstRowLastColumn="0" w:lastRowFirstColumn="0" w:lastRowLastColumn="0"/>
            <w:tcW w:w="2331" w:type="pct"/>
            <w:tcBorders>
              <w:top w:val="nil"/>
              <w:bottom w:val="nil"/>
            </w:tcBorders>
            <w:shd w:val="clear" w:color="auto" w:fill="auto"/>
            <w:noWrap/>
            <w:vAlign w:val="center"/>
            <w:hideMark/>
          </w:tcPr>
          <w:p w14:paraId="7E2844C9" w14:textId="4FB797F7" w:rsidR="00F038BA" w:rsidRPr="00733536" w:rsidRDefault="00557DD7" w:rsidP="00F038BA">
            <w:pPr>
              <w:framePr w:w="4961" w:vSpace="284" w:wrap="notBeside" w:vAnchor="page" w:hAnchor="page" w:x="849" w:y="1134"/>
              <w:ind w:left="284" w:firstLine="0"/>
              <w:jc w:val="left"/>
              <w:rPr>
                <w:rFonts w:ascii="Calibri" w:hAnsi="Calibri"/>
                <w:b w:val="0"/>
                <w:bCs w:val="0"/>
                <w:color w:val="000000"/>
                <w:sz w:val="16"/>
                <w:szCs w:val="16"/>
                <w:lang w:eastAsia="ko-KR"/>
              </w:rPr>
            </w:pPr>
            <w:commentRangeStart w:id="15"/>
            <w:r>
              <w:rPr>
                <w:rFonts w:ascii="Calibri" w:hAnsi="Calibri"/>
                <w:b w:val="0"/>
                <w:bCs w:val="0"/>
                <w:color w:val="000000"/>
                <w:sz w:val="16"/>
                <w:szCs w:val="16"/>
                <w:lang w:eastAsia="ko-KR"/>
              </w:rPr>
              <w:t>Not available</w:t>
            </w:r>
            <w:commentRangeEnd w:id="15"/>
            <w:r>
              <w:rPr>
                <w:rStyle w:val="CommentReference"/>
                <w:rFonts w:asciiTheme="minorHAnsi" w:eastAsiaTheme="minorEastAsia" w:hAnsiTheme="minorHAnsi" w:cstheme="minorBidi"/>
                <w:b w:val="0"/>
                <w:bCs w:val="0"/>
                <w:lang w:val="it-IT" w:eastAsia="ko-KR"/>
              </w:rPr>
              <w:commentReference w:id="15"/>
            </w:r>
          </w:p>
        </w:tc>
        <w:tc>
          <w:tcPr>
            <w:tcW w:w="2669" w:type="pct"/>
            <w:tcBorders>
              <w:top w:val="nil"/>
              <w:bottom w:val="nil"/>
            </w:tcBorders>
            <w:shd w:val="clear" w:color="auto" w:fill="auto"/>
            <w:noWrap/>
            <w:vAlign w:val="center"/>
            <w:hideMark/>
          </w:tcPr>
          <w:p w14:paraId="69E3DD69" w14:textId="0F07ECD7" w:rsidR="00F038BA" w:rsidRPr="00733536" w:rsidRDefault="00F038BA" w:rsidP="00104B9D">
            <w:pPr>
              <w:framePr w:w="4961" w:vSpace="284" w:wrap="notBeside" w:vAnchor="page" w:hAnchor="page" w:x="849" w:y="1134"/>
              <w:ind w:right="1137" w:firstLine="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1.0</w:t>
            </w:r>
            <w:r w:rsidR="00104B9D" w:rsidRPr="00733536">
              <w:rPr>
                <w:rFonts w:ascii="Calibri" w:hAnsi="Calibri"/>
                <w:color w:val="000000"/>
                <w:sz w:val="16"/>
                <w:szCs w:val="16"/>
                <w:lang w:eastAsia="ko-KR"/>
              </w:rPr>
              <w:t xml:space="preserve"> </w:t>
            </w:r>
            <w:r w:rsidRPr="00733536">
              <w:rPr>
                <w:rFonts w:ascii="Calibri" w:hAnsi="Calibri"/>
                <w:color w:val="000000"/>
                <w:sz w:val="16"/>
                <w:szCs w:val="16"/>
                <w:lang w:eastAsia="ko-KR"/>
              </w:rPr>
              <w:t>%</w:t>
            </w:r>
          </w:p>
        </w:tc>
      </w:tr>
      <w:tr w:rsidR="00F038BA" w:rsidRPr="00733536" w14:paraId="21AE69B2" w14:textId="77777777" w:rsidTr="00CE18B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331" w:type="pct"/>
            <w:tcBorders>
              <w:top w:val="nil"/>
              <w:bottom w:val="single" w:sz="4" w:space="0" w:color="auto"/>
            </w:tcBorders>
            <w:shd w:val="clear" w:color="auto" w:fill="auto"/>
            <w:noWrap/>
            <w:vAlign w:val="center"/>
            <w:hideMark/>
          </w:tcPr>
          <w:p w14:paraId="76989AA0" w14:textId="77777777" w:rsidR="00F038BA" w:rsidRPr="00733536" w:rsidRDefault="00F038BA" w:rsidP="00F038BA">
            <w:pPr>
              <w:framePr w:w="4961" w:vSpace="284" w:wrap="notBeside" w:vAnchor="page" w:hAnchor="page" w:x="849" w:y="1134"/>
              <w:ind w:left="284" w:firstLine="0"/>
              <w:jc w:val="left"/>
              <w:rPr>
                <w:rFonts w:ascii="Calibri" w:hAnsi="Calibri"/>
                <w:b w:val="0"/>
                <w:bCs w:val="0"/>
                <w:color w:val="000000"/>
                <w:sz w:val="16"/>
                <w:szCs w:val="16"/>
                <w:lang w:eastAsia="ko-KR"/>
              </w:rPr>
            </w:pPr>
            <w:r w:rsidRPr="00733536">
              <w:rPr>
                <w:rFonts w:ascii="Calibri" w:hAnsi="Calibri"/>
                <w:b w:val="0"/>
                <w:bCs w:val="0"/>
                <w:color w:val="000000"/>
                <w:sz w:val="16"/>
                <w:szCs w:val="16"/>
                <w:lang w:eastAsia="ko-KR"/>
              </w:rPr>
              <w:t>Total</w:t>
            </w:r>
          </w:p>
        </w:tc>
        <w:tc>
          <w:tcPr>
            <w:tcW w:w="2669" w:type="pct"/>
            <w:tcBorders>
              <w:top w:val="nil"/>
              <w:bottom w:val="single" w:sz="4" w:space="0" w:color="auto"/>
            </w:tcBorders>
            <w:shd w:val="clear" w:color="auto" w:fill="auto"/>
            <w:noWrap/>
            <w:vAlign w:val="center"/>
            <w:hideMark/>
          </w:tcPr>
          <w:p w14:paraId="5770E92E" w14:textId="3E15A496" w:rsidR="00F038BA" w:rsidRPr="00733536" w:rsidRDefault="00F038BA" w:rsidP="00104B9D">
            <w:pPr>
              <w:framePr w:w="4961" w:vSpace="284" w:wrap="notBeside" w:vAnchor="page" w:hAnchor="page" w:x="849" w:y="1134"/>
              <w:ind w:right="1137"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100.0</w:t>
            </w:r>
            <w:r w:rsidR="00104B9D" w:rsidRPr="00733536">
              <w:rPr>
                <w:rFonts w:ascii="Calibri" w:hAnsi="Calibri"/>
                <w:color w:val="000000"/>
                <w:sz w:val="16"/>
                <w:szCs w:val="16"/>
                <w:lang w:eastAsia="ko-KR"/>
              </w:rPr>
              <w:t xml:space="preserve"> </w:t>
            </w:r>
            <w:r w:rsidRPr="00733536">
              <w:rPr>
                <w:rFonts w:ascii="Calibri" w:hAnsi="Calibri"/>
                <w:color w:val="000000"/>
                <w:sz w:val="16"/>
                <w:szCs w:val="16"/>
                <w:lang w:eastAsia="ko-KR"/>
              </w:rPr>
              <w:t>%</w:t>
            </w:r>
          </w:p>
        </w:tc>
      </w:tr>
    </w:tbl>
    <w:p w14:paraId="380BB0B8" w14:textId="3943B826" w:rsidR="00117889" w:rsidRPr="00733536" w:rsidRDefault="00117889" w:rsidP="00F038BA">
      <w:r w:rsidRPr="00733536">
        <w:t xml:space="preserve">The equal distribution in terms of </w:t>
      </w:r>
      <w:r w:rsidR="00557DD7">
        <w:t>company</w:t>
      </w:r>
      <w:r w:rsidRPr="00733536">
        <w:t xml:space="preserve"> size is consistent with some previous findings</w:t>
      </w:r>
      <w:r w:rsidR="00F12D34">
        <w:t xml:space="preserve"> </w:t>
      </w:r>
      <w:r w:rsidR="00F12D34" w:rsidRPr="00733536">
        <w:fldChar w:fldCharType="begin"/>
      </w:r>
      <w:r w:rsidR="00F12D34" w:rsidRPr="00733536">
        <w:instrText xml:space="preserve"> REF _Ref55223194 \r \h </w:instrText>
      </w:r>
      <w:r w:rsidR="00F12D34" w:rsidRPr="00733536">
        <w:fldChar w:fldCharType="separate"/>
      </w:r>
      <w:r w:rsidR="00F12D34" w:rsidRPr="00733536">
        <w:t>[9]</w:t>
      </w:r>
      <w:r w:rsidR="00F12D34" w:rsidRPr="00733536">
        <w:fldChar w:fldCharType="end"/>
      </w:r>
      <w:r w:rsidR="00F12D34">
        <w:t>,</w:t>
      </w:r>
      <w:r w:rsidRPr="00733536">
        <w:t xml:space="preserve"> </w:t>
      </w:r>
      <w:r w:rsidR="00F12D34" w:rsidRPr="00733536">
        <w:fldChar w:fldCharType="begin"/>
      </w:r>
      <w:r w:rsidR="00F12D34" w:rsidRPr="00733536">
        <w:instrText xml:space="preserve"> REF _Ref55223212 \r \h </w:instrText>
      </w:r>
      <w:r w:rsidR="00F12D34" w:rsidRPr="00733536">
        <w:fldChar w:fldCharType="separate"/>
      </w:r>
      <w:r w:rsidR="00F12D34" w:rsidRPr="00733536">
        <w:t>[27]</w:t>
      </w:r>
      <w:r w:rsidR="00F12D34" w:rsidRPr="00733536">
        <w:fldChar w:fldCharType="end"/>
      </w:r>
      <w:r w:rsidR="00F12D34" w:rsidRPr="00733536">
        <w:t>,</w:t>
      </w:r>
      <w:r w:rsidR="00F12D34">
        <w:t xml:space="preserve"> </w:t>
      </w:r>
      <w:r w:rsidR="008F7C96" w:rsidRPr="00733536">
        <w:fldChar w:fldCharType="begin"/>
      </w:r>
      <w:r w:rsidR="008F7C96" w:rsidRPr="00733536">
        <w:instrText xml:space="preserve"> REF _Ref55223235 \r \h </w:instrText>
      </w:r>
      <w:r w:rsidR="008F7C96" w:rsidRPr="00733536">
        <w:fldChar w:fldCharType="separate"/>
      </w:r>
      <w:r w:rsidR="008F7C96" w:rsidRPr="00733536">
        <w:t>[50]</w:t>
      </w:r>
      <w:r w:rsidR="008F7C96" w:rsidRPr="00733536">
        <w:fldChar w:fldCharType="end"/>
      </w:r>
      <w:r w:rsidRPr="00733536">
        <w:t xml:space="preserve">. However, it must be acknowledged </w:t>
      </w:r>
      <w:r w:rsidR="00557DD7">
        <w:t xml:space="preserve">that the </w:t>
      </w:r>
      <w:r w:rsidRPr="00733536">
        <w:t>data related to Germany</w:t>
      </w:r>
      <w:r w:rsidR="00F12D34">
        <w:t xml:space="preserve"> </w:t>
      </w:r>
      <w:r w:rsidR="00F12D34" w:rsidRPr="00733536">
        <w:fldChar w:fldCharType="begin"/>
      </w:r>
      <w:r w:rsidR="00F12D34" w:rsidRPr="00733536">
        <w:instrText xml:space="preserve"> REF _Ref55223208 \r \h </w:instrText>
      </w:r>
      <w:r w:rsidR="00F12D34" w:rsidRPr="00733536">
        <w:fldChar w:fldCharType="separate"/>
      </w:r>
      <w:r w:rsidR="00F12D34" w:rsidRPr="00733536">
        <w:t>[23]</w:t>
      </w:r>
      <w:r w:rsidR="00F12D34" w:rsidRPr="00733536">
        <w:fldChar w:fldCharType="end"/>
      </w:r>
      <w:r w:rsidR="00F12D34">
        <w:t>,</w:t>
      </w:r>
      <w:r w:rsidR="00F12D34" w:rsidRPr="00733536">
        <w:rPr>
          <w:rFonts w:asciiTheme="minorHAnsi" w:hAnsiTheme="minorHAnsi" w:cstheme="minorHAnsi"/>
          <w:color w:val="000000"/>
          <w:sz w:val="22"/>
          <w:szCs w:val="22"/>
          <w:lang w:eastAsia="it-IT"/>
        </w:rPr>
        <w:t xml:space="preserve"> </w:t>
      </w:r>
      <w:r w:rsidRPr="00733536">
        <w:t xml:space="preserve"> </w:t>
      </w:r>
      <w:r w:rsidR="008F7C96" w:rsidRPr="00733536">
        <w:fldChar w:fldCharType="begin"/>
      </w:r>
      <w:r w:rsidR="008F7C96" w:rsidRPr="00733536">
        <w:instrText xml:space="preserve"> REF _Ref55223236 \r \h </w:instrText>
      </w:r>
      <w:r w:rsidR="008F7C96" w:rsidRPr="00733536">
        <w:fldChar w:fldCharType="separate"/>
      </w:r>
      <w:r w:rsidR="008F7C96" w:rsidRPr="00733536">
        <w:t>[51]</w:t>
      </w:r>
      <w:r w:rsidR="008F7C96" w:rsidRPr="00733536">
        <w:fldChar w:fldCharType="end"/>
      </w:r>
      <w:r w:rsidR="002923BD" w:rsidRPr="00733536">
        <w:t>,</w:t>
      </w:r>
      <w:r w:rsidR="00F12D34">
        <w:t xml:space="preserve"> </w:t>
      </w:r>
      <w:r w:rsidR="008F7C96" w:rsidRPr="00733536">
        <w:fldChar w:fldCharType="begin"/>
      </w:r>
      <w:r w:rsidR="008F7C96" w:rsidRPr="00733536">
        <w:instrText xml:space="preserve"> REF _Ref55223237 \r \h </w:instrText>
      </w:r>
      <w:r w:rsidR="008F7C96" w:rsidRPr="00733536">
        <w:fldChar w:fldCharType="separate"/>
      </w:r>
      <w:r w:rsidR="008F7C96" w:rsidRPr="00733536">
        <w:t>[52]</w:t>
      </w:r>
      <w:r w:rsidR="008F7C96" w:rsidRPr="00733536">
        <w:fldChar w:fldCharType="end"/>
      </w:r>
      <w:r w:rsidR="00F12D34">
        <w:t xml:space="preserve"> </w:t>
      </w:r>
      <w:r w:rsidRPr="00733536">
        <w:t>and</w:t>
      </w:r>
      <w:r w:rsidR="00CE3C69">
        <w:t xml:space="preserve"> the</w:t>
      </w:r>
      <w:r w:rsidRPr="00733536">
        <w:t xml:space="preserve"> Scandinavian countries </w:t>
      </w:r>
      <w:r w:rsidR="008F7C96" w:rsidRPr="00733536">
        <w:fldChar w:fldCharType="begin"/>
      </w:r>
      <w:r w:rsidR="008F7C96" w:rsidRPr="00733536">
        <w:instrText xml:space="preserve"> REF _Ref55223223 \r \h </w:instrText>
      </w:r>
      <w:r w:rsidR="008F7C96" w:rsidRPr="00733536">
        <w:fldChar w:fldCharType="separate"/>
      </w:r>
      <w:r w:rsidR="008F7C96" w:rsidRPr="00733536">
        <w:t>[38]</w:t>
      </w:r>
      <w:r w:rsidR="008F7C96" w:rsidRPr="00733536">
        <w:fldChar w:fldCharType="end"/>
      </w:r>
      <w:r w:rsidR="00F12D34">
        <w:t>-</w:t>
      </w:r>
      <w:r w:rsidR="008F7C96" w:rsidRPr="00733536">
        <w:fldChar w:fldCharType="begin"/>
      </w:r>
      <w:r w:rsidR="008F7C96" w:rsidRPr="00733536">
        <w:instrText xml:space="preserve"> REF _Ref55223225 \r \h </w:instrText>
      </w:r>
      <w:r w:rsidR="008F7C96" w:rsidRPr="00733536">
        <w:fldChar w:fldCharType="separate"/>
      </w:r>
      <w:r w:rsidR="008F7C96" w:rsidRPr="00733536">
        <w:t>[40]</w:t>
      </w:r>
      <w:r w:rsidR="008F7C96" w:rsidRPr="00733536">
        <w:fldChar w:fldCharType="end"/>
      </w:r>
      <w:r w:rsidRPr="00733536">
        <w:t xml:space="preserve"> show</w:t>
      </w:r>
      <w:r w:rsidR="00557DD7">
        <w:t>s</w:t>
      </w:r>
      <w:r w:rsidRPr="00733536">
        <w:t xml:space="preserve"> a higher back-shoring propensity </w:t>
      </w:r>
      <w:r w:rsidR="00557DD7">
        <w:t>among</w:t>
      </w:r>
      <w:r w:rsidRPr="00733536">
        <w:t xml:space="preserve"> large companies.</w:t>
      </w:r>
      <w:r w:rsidR="00F038BA" w:rsidRPr="00733536">
        <w:t xml:space="preserve"> </w:t>
      </w:r>
    </w:p>
    <w:p w14:paraId="64C09CBD" w14:textId="75FC6AC2" w:rsidR="00F038BA" w:rsidRPr="00733536" w:rsidRDefault="00F038BA" w:rsidP="00F038BA">
      <w:pPr>
        <w:pStyle w:val="FigureCaption"/>
        <w:framePr w:w="4961" w:vSpace="284" w:wrap="notBeside" w:vAnchor="page" w:hAnchor="page" w:x="849" w:y="6774"/>
        <w:spacing w:before="0" w:after="120"/>
      </w:pPr>
      <w:bookmarkStart w:id="16" w:name="_Ref55216695"/>
      <w:r w:rsidRPr="00733536">
        <w:rPr>
          <w:szCs w:val="20"/>
          <w:lang w:eastAsia="ko-KR"/>
        </w:rPr>
        <w:t xml:space="preserve">Table </w:t>
      </w:r>
      <w:r w:rsidRPr="00733536">
        <w:fldChar w:fldCharType="begin"/>
      </w:r>
      <w:r w:rsidRPr="00733536">
        <w:instrText xml:space="preserve"> SEQ Table \* ARABIC </w:instrText>
      </w:r>
      <w:r w:rsidRPr="00733536">
        <w:fldChar w:fldCharType="separate"/>
      </w:r>
      <w:r w:rsidR="008F7C96" w:rsidRPr="00733536">
        <w:rPr>
          <w:noProof/>
        </w:rPr>
        <w:t>4</w:t>
      </w:r>
      <w:r w:rsidRPr="00733536">
        <w:fldChar w:fldCharType="end"/>
      </w:r>
      <w:bookmarkEnd w:id="16"/>
      <w:r w:rsidRPr="00733536">
        <w:rPr>
          <w:szCs w:val="20"/>
          <w:lang w:eastAsia="ko-KR"/>
        </w:rPr>
        <w:t xml:space="preserve">. </w:t>
      </w:r>
      <w:r w:rsidRPr="00733536">
        <w:rPr>
          <w:rFonts w:asciiTheme="minorHAnsi" w:hAnsiTheme="minorHAnsi"/>
          <w:bCs/>
          <w:szCs w:val="21"/>
        </w:rPr>
        <w:t>Breakdown of back-shoring decisions by industry.</w:t>
      </w:r>
      <w:r w:rsidRPr="00733536">
        <w:rPr>
          <w:rFonts w:asciiTheme="minorHAnsi" w:hAnsiTheme="minorHAnsi"/>
          <w:bCs/>
          <w:szCs w:val="16"/>
        </w:rPr>
        <w:t xml:space="preserve"> </w:t>
      </w:r>
      <w:r w:rsidRPr="00733536">
        <w:rPr>
          <w:rFonts w:asciiTheme="minorHAnsi" w:hAnsiTheme="minorHAnsi"/>
          <w:szCs w:val="21"/>
        </w:rPr>
        <w:t>Source: UMRD</w:t>
      </w:r>
      <w:r w:rsidRPr="00733536">
        <w:t>.</w:t>
      </w:r>
    </w:p>
    <w:tbl>
      <w:tblPr>
        <w:tblStyle w:val="Grigliatabellachiara1"/>
        <w:tblW w:w="493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47"/>
        <w:gridCol w:w="3354"/>
        <w:gridCol w:w="892"/>
      </w:tblGrid>
      <w:tr w:rsidR="00F038BA" w:rsidRPr="00733536" w14:paraId="59A8DB6D" w14:textId="77777777" w:rsidTr="00C44FFB">
        <w:trPr>
          <w:trHeight w:val="315"/>
        </w:trPr>
        <w:tc>
          <w:tcPr>
            <w:tcW w:w="661" w:type="pct"/>
            <w:tcBorders>
              <w:top w:val="single" w:sz="4" w:space="0" w:color="auto"/>
              <w:bottom w:val="single" w:sz="4" w:space="0" w:color="auto"/>
            </w:tcBorders>
            <w:noWrap/>
            <w:vAlign w:val="center"/>
            <w:hideMark/>
          </w:tcPr>
          <w:p w14:paraId="4C49EC34" w14:textId="77777777" w:rsidR="00F038BA" w:rsidRPr="00733536" w:rsidRDefault="00F038BA" w:rsidP="00F038BA">
            <w:pPr>
              <w:framePr w:w="4961" w:vSpace="284" w:wrap="notBeside" w:vAnchor="page" w:hAnchor="page" w:x="849" w:y="6774"/>
              <w:ind w:firstLine="0"/>
              <w:jc w:val="center"/>
              <w:rPr>
                <w:rFonts w:asciiTheme="minorHAnsi" w:hAnsiTheme="minorHAnsi"/>
                <w:b/>
                <w:bCs/>
                <w:color w:val="000000"/>
                <w:sz w:val="16"/>
                <w:szCs w:val="16"/>
              </w:rPr>
            </w:pPr>
            <w:r w:rsidRPr="00733536">
              <w:rPr>
                <w:rFonts w:asciiTheme="minorHAnsi" w:hAnsiTheme="minorHAnsi"/>
                <w:b/>
                <w:bCs/>
                <w:color w:val="000000"/>
                <w:sz w:val="16"/>
                <w:szCs w:val="16"/>
              </w:rPr>
              <w:t>NACE code</w:t>
            </w:r>
          </w:p>
        </w:tc>
        <w:tc>
          <w:tcPr>
            <w:tcW w:w="3427" w:type="pct"/>
            <w:tcBorders>
              <w:top w:val="single" w:sz="4" w:space="0" w:color="auto"/>
              <w:bottom w:val="single" w:sz="4" w:space="0" w:color="auto"/>
            </w:tcBorders>
            <w:noWrap/>
            <w:vAlign w:val="center"/>
            <w:hideMark/>
          </w:tcPr>
          <w:p w14:paraId="4AF77629" w14:textId="77777777" w:rsidR="00F038BA" w:rsidRPr="00733536" w:rsidRDefault="00F038BA" w:rsidP="00F038BA">
            <w:pPr>
              <w:framePr w:w="4961" w:vSpace="284" w:wrap="notBeside" w:vAnchor="page" w:hAnchor="page" w:x="849" w:y="6774"/>
              <w:jc w:val="center"/>
              <w:rPr>
                <w:rFonts w:asciiTheme="minorHAnsi" w:hAnsiTheme="minorHAnsi"/>
                <w:b/>
                <w:bCs/>
                <w:color w:val="000000"/>
                <w:sz w:val="16"/>
                <w:szCs w:val="16"/>
              </w:rPr>
            </w:pPr>
            <w:r w:rsidRPr="00733536">
              <w:rPr>
                <w:rFonts w:asciiTheme="minorHAnsi" w:hAnsiTheme="minorHAnsi"/>
                <w:b/>
                <w:bCs/>
                <w:color w:val="000000"/>
                <w:sz w:val="16"/>
                <w:szCs w:val="16"/>
              </w:rPr>
              <w:t>Description</w:t>
            </w:r>
          </w:p>
        </w:tc>
        <w:tc>
          <w:tcPr>
            <w:tcW w:w="912" w:type="pct"/>
            <w:tcBorders>
              <w:top w:val="single" w:sz="4" w:space="0" w:color="auto"/>
              <w:bottom w:val="single" w:sz="4" w:space="0" w:color="auto"/>
            </w:tcBorders>
            <w:noWrap/>
            <w:vAlign w:val="center"/>
            <w:hideMark/>
          </w:tcPr>
          <w:p w14:paraId="127CD29F" w14:textId="77777777" w:rsidR="00F038BA" w:rsidRPr="00733536" w:rsidRDefault="00F038BA" w:rsidP="00F038BA">
            <w:pPr>
              <w:framePr w:w="4961" w:vSpace="284" w:wrap="notBeside" w:vAnchor="page" w:hAnchor="page" w:x="849" w:y="6774"/>
              <w:ind w:firstLine="0"/>
              <w:jc w:val="center"/>
              <w:rPr>
                <w:rFonts w:asciiTheme="minorHAnsi" w:hAnsiTheme="minorHAnsi"/>
                <w:b/>
                <w:bCs/>
                <w:color w:val="000000"/>
                <w:sz w:val="16"/>
                <w:szCs w:val="16"/>
              </w:rPr>
            </w:pPr>
            <w:r w:rsidRPr="00733536">
              <w:rPr>
                <w:rFonts w:asciiTheme="minorHAnsi" w:hAnsiTheme="minorHAnsi"/>
                <w:b/>
                <w:bCs/>
                <w:color w:val="000000"/>
                <w:sz w:val="16"/>
                <w:szCs w:val="16"/>
              </w:rPr>
              <w:t>Decisions</w:t>
            </w:r>
          </w:p>
        </w:tc>
      </w:tr>
      <w:tr w:rsidR="00F038BA" w:rsidRPr="00733536" w14:paraId="42E916AF" w14:textId="77777777" w:rsidTr="00C44FFB">
        <w:trPr>
          <w:trHeight w:val="255"/>
        </w:trPr>
        <w:tc>
          <w:tcPr>
            <w:tcW w:w="661" w:type="pct"/>
            <w:tcBorders>
              <w:top w:val="single" w:sz="4" w:space="0" w:color="auto"/>
            </w:tcBorders>
            <w:shd w:val="clear" w:color="auto" w:fill="auto"/>
            <w:noWrap/>
            <w:vAlign w:val="center"/>
            <w:hideMark/>
          </w:tcPr>
          <w:p w14:paraId="3DF6D13E"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28</w:t>
            </w:r>
          </w:p>
        </w:tc>
        <w:tc>
          <w:tcPr>
            <w:tcW w:w="3427" w:type="pct"/>
            <w:tcBorders>
              <w:top w:val="single" w:sz="4" w:space="0" w:color="auto"/>
            </w:tcBorders>
            <w:shd w:val="clear" w:color="auto" w:fill="auto"/>
            <w:vAlign w:val="center"/>
            <w:hideMark/>
          </w:tcPr>
          <w:p w14:paraId="40C61FE6" w14:textId="6F989653"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 xml:space="preserve">Manufacture of machinery and equipment </w:t>
            </w:r>
            <w:r w:rsidR="004D1B59">
              <w:rPr>
                <w:rFonts w:asciiTheme="minorHAnsi" w:hAnsiTheme="minorHAnsi"/>
                <w:color w:val="000000"/>
                <w:sz w:val="16"/>
                <w:szCs w:val="16"/>
              </w:rPr>
              <w:t>not elsewhere classified</w:t>
            </w:r>
          </w:p>
        </w:tc>
        <w:tc>
          <w:tcPr>
            <w:tcW w:w="912" w:type="pct"/>
            <w:tcBorders>
              <w:top w:val="single" w:sz="4" w:space="0" w:color="auto"/>
            </w:tcBorders>
            <w:noWrap/>
            <w:vAlign w:val="center"/>
            <w:hideMark/>
          </w:tcPr>
          <w:p w14:paraId="0BC2955F" w14:textId="7941F39B"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10.6</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5450FF4B" w14:textId="77777777" w:rsidTr="00C44FFB">
        <w:trPr>
          <w:trHeight w:val="255"/>
        </w:trPr>
        <w:tc>
          <w:tcPr>
            <w:tcW w:w="661" w:type="pct"/>
            <w:shd w:val="clear" w:color="auto" w:fill="auto"/>
            <w:noWrap/>
            <w:vAlign w:val="center"/>
            <w:hideMark/>
          </w:tcPr>
          <w:p w14:paraId="031801C2"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15</w:t>
            </w:r>
          </w:p>
        </w:tc>
        <w:tc>
          <w:tcPr>
            <w:tcW w:w="3427" w:type="pct"/>
            <w:shd w:val="clear" w:color="auto" w:fill="auto"/>
            <w:vAlign w:val="center"/>
            <w:hideMark/>
          </w:tcPr>
          <w:p w14:paraId="4B081C35"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Manufacture of leather and related products</w:t>
            </w:r>
          </w:p>
        </w:tc>
        <w:tc>
          <w:tcPr>
            <w:tcW w:w="912" w:type="pct"/>
            <w:noWrap/>
            <w:vAlign w:val="center"/>
            <w:hideMark/>
          </w:tcPr>
          <w:p w14:paraId="112F07F5" w14:textId="722B8BEC"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10.6</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625F6A74" w14:textId="77777777" w:rsidTr="00C44FFB">
        <w:trPr>
          <w:trHeight w:val="255"/>
        </w:trPr>
        <w:tc>
          <w:tcPr>
            <w:tcW w:w="661" w:type="pct"/>
            <w:shd w:val="clear" w:color="auto" w:fill="auto"/>
            <w:noWrap/>
            <w:vAlign w:val="center"/>
            <w:hideMark/>
          </w:tcPr>
          <w:p w14:paraId="425ED06A"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26</w:t>
            </w:r>
          </w:p>
        </w:tc>
        <w:tc>
          <w:tcPr>
            <w:tcW w:w="3427" w:type="pct"/>
            <w:shd w:val="clear" w:color="auto" w:fill="auto"/>
            <w:vAlign w:val="center"/>
            <w:hideMark/>
          </w:tcPr>
          <w:p w14:paraId="4A6E4920"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 xml:space="preserve">Manufacture of computer, electronic and optical products </w:t>
            </w:r>
          </w:p>
        </w:tc>
        <w:tc>
          <w:tcPr>
            <w:tcW w:w="912" w:type="pct"/>
            <w:noWrap/>
            <w:vAlign w:val="center"/>
            <w:hideMark/>
          </w:tcPr>
          <w:p w14:paraId="03F82992" w14:textId="0BA3DE70"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10.1</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786191C2" w14:textId="77777777" w:rsidTr="00C44FFB">
        <w:trPr>
          <w:trHeight w:val="255"/>
        </w:trPr>
        <w:tc>
          <w:tcPr>
            <w:tcW w:w="661" w:type="pct"/>
            <w:shd w:val="clear" w:color="auto" w:fill="auto"/>
            <w:noWrap/>
            <w:vAlign w:val="center"/>
            <w:hideMark/>
          </w:tcPr>
          <w:p w14:paraId="0183C8A0"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14</w:t>
            </w:r>
          </w:p>
        </w:tc>
        <w:tc>
          <w:tcPr>
            <w:tcW w:w="3427" w:type="pct"/>
            <w:shd w:val="clear" w:color="auto" w:fill="auto"/>
            <w:vAlign w:val="center"/>
            <w:hideMark/>
          </w:tcPr>
          <w:p w14:paraId="37B4457E"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Manufacture of apparel</w:t>
            </w:r>
          </w:p>
        </w:tc>
        <w:tc>
          <w:tcPr>
            <w:tcW w:w="912" w:type="pct"/>
            <w:noWrap/>
            <w:vAlign w:val="center"/>
            <w:hideMark/>
          </w:tcPr>
          <w:p w14:paraId="19DAC26D" w14:textId="28993259"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9.8</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473EAE77" w14:textId="77777777" w:rsidTr="00C44FFB">
        <w:trPr>
          <w:trHeight w:val="255"/>
        </w:trPr>
        <w:tc>
          <w:tcPr>
            <w:tcW w:w="661" w:type="pct"/>
            <w:shd w:val="clear" w:color="auto" w:fill="auto"/>
            <w:noWrap/>
            <w:vAlign w:val="center"/>
            <w:hideMark/>
          </w:tcPr>
          <w:p w14:paraId="5221A83A"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27</w:t>
            </w:r>
          </w:p>
        </w:tc>
        <w:tc>
          <w:tcPr>
            <w:tcW w:w="3427" w:type="pct"/>
            <w:shd w:val="clear" w:color="auto" w:fill="auto"/>
            <w:vAlign w:val="center"/>
            <w:hideMark/>
          </w:tcPr>
          <w:p w14:paraId="703F9082"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Manufacture of electrical equipment</w:t>
            </w:r>
          </w:p>
        </w:tc>
        <w:tc>
          <w:tcPr>
            <w:tcW w:w="912" w:type="pct"/>
            <w:noWrap/>
            <w:vAlign w:val="center"/>
            <w:hideMark/>
          </w:tcPr>
          <w:p w14:paraId="5197CA74" w14:textId="182D5AFF"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9.6</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731C5ACB" w14:textId="77777777" w:rsidTr="00C44FFB">
        <w:trPr>
          <w:trHeight w:val="255"/>
        </w:trPr>
        <w:tc>
          <w:tcPr>
            <w:tcW w:w="661" w:type="pct"/>
            <w:shd w:val="clear" w:color="auto" w:fill="auto"/>
            <w:noWrap/>
            <w:vAlign w:val="center"/>
            <w:hideMark/>
          </w:tcPr>
          <w:p w14:paraId="4AB7DB67"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32</w:t>
            </w:r>
          </w:p>
        </w:tc>
        <w:tc>
          <w:tcPr>
            <w:tcW w:w="3427" w:type="pct"/>
            <w:shd w:val="clear" w:color="auto" w:fill="auto"/>
            <w:vAlign w:val="center"/>
            <w:hideMark/>
          </w:tcPr>
          <w:p w14:paraId="0A68E5E6"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Other manufacturing</w:t>
            </w:r>
          </w:p>
        </w:tc>
        <w:tc>
          <w:tcPr>
            <w:tcW w:w="912" w:type="pct"/>
            <w:noWrap/>
            <w:vAlign w:val="center"/>
            <w:hideMark/>
          </w:tcPr>
          <w:p w14:paraId="7548561C" w14:textId="1F08BA3C"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6.6</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44631CE5" w14:textId="77777777" w:rsidTr="00C44FFB">
        <w:trPr>
          <w:trHeight w:val="255"/>
        </w:trPr>
        <w:tc>
          <w:tcPr>
            <w:tcW w:w="661" w:type="pct"/>
            <w:shd w:val="clear" w:color="auto" w:fill="auto"/>
            <w:noWrap/>
            <w:vAlign w:val="center"/>
            <w:hideMark/>
          </w:tcPr>
          <w:p w14:paraId="21D409DF"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10</w:t>
            </w:r>
          </w:p>
        </w:tc>
        <w:tc>
          <w:tcPr>
            <w:tcW w:w="3427" w:type="pct"/>
            <w:shd w:val="clear" w:color="auto" w:fill="auto"/>
            <w:vAlign w:val="center"/>
            <w:hideMark/>
          </w:tcPr>
          <w:p w14:paraId="5E8B67AF"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Manufacture of food products</w:t>
            </w:r>
          </w:p>
        </w:tc>
        <w:tc>
          <w:tcPr>
            <w:tcW w:w="912" w:type="pct"/>
            <w:noWrap/>
            <w:vAlign w:val="center"/>
            <w:hideMark/>
          </w:tcPr>
          <w:p w14:paraId="25157CD7" w14:textId="2CDD6238"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6.0</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60C0581A" w14:textId="77777777" w:rsidTr="00C44FFB">
        <w:trPr>
          <w:trHeight w:val="255"/>
        </w:trPr>
        <w:tc>
          <w:tcPr>
            <w:tcW w:w="661" w:type="pct"/>
            <w:shd w:val="clear" w:color="auto" w:fill="auto"/>
            <w:noWrap/>
            <w:vAlign w:val="center"/>
            <w:hideMark/>
          </w:tcPr>
          <w:p w14:paraId="29586066"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30</w:t>
            </w:r>
          </w:p>
        </w:tc>
        <w:tc>
          <w:tcPr>
            <w:tcW w:w="3427" w:type="pct"/>
            <w:shd w:val="clear" w:color="auto" w:fill="auto"/>
            <w:vAlign w:val="center"/>
            <w:hideMark/>
          </w:tcPr>
          <w:p w14:paraId="3E76EF6A"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Manufacture of other transport equipment</w:t>
            </w:r>
          </w:p>
        </w:tc>
        <w:tc>
          <w:tcPr>
            <w:tcW w:w="912" w:type="pct"/>
            <w:noWrap/>
            <w:vAlign w:val="center"/>
            <w:hideMark/>
          </w:tcPr>
          <w:p w14:paraId="73CB7E7C" w14:textId="440DD0B1"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5.9</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76FE88A6" w14:textId="77777777" w:rsidTr="00C44FFB">
        <w:trPr>
          <w:trHeight w:val="255"/>
        </w:trPr>
        <w:tc>
          <w:tcPr>
            <w:tcW w:w="661" w:type="pct"/>
            <w:shd w:val="clear" w:color="auto" w:fill="auto"/>
            <w:noWrap/>
            <w:vAlign w:val="center"/>
            <w:hideMark/>
          </w:tcPr>
          <w:p w14:paraId="4E00BD6E"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25</w:t>
            </w:r>
          </w:p>
        </w:tc>
        <w:tc>
          <w:tcPr>
            <w:tcW w:w="3427" w:type="pct"/>
            <w:shd w:val="clear" w:color="auto" w:fill="auto"/>
            <w:vAlign w:val="center"/>
            <w:hideMark/>
          </w:tcPr>
          <w:p w14:paraId="0D6FF297"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 xml:space="preserve">Manufacture of fabricated metal products, except machinery and equipment </w:t>
            </w:r>
          </w:p>
        </w:tc>
        <w:tc>
          <w:tcPr>
            <w:tcW w:w="912" w:type="pct"/>
            <w:noWrap/>
            <w:vAlign w:val="center"/>
            <w:hideMark/>
          </w:tcPr>
          <w:p w14:paraId="1ABA453A" w14:textId="610BE1AD"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5.2</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475A8AFB" w14:textId="77777777" w:rsidTr="00C44FFB">
        <w:trPr>
          <w:trHeight w:val="255"/>
        </w:trPr>
        <w:tc>
          <w:tcPr>
            <w:tcW w:w="661" w:type="pct"/>
            <w:shd w:val="clear" w:color="auto" w:fill="auto"/>
            <w:noWrap/>
            <w:vAlign w:val="center"/>
            <w:hideMark/>
          </w:tcPr>
          <w:p w14:paraId="1DCD4C8E"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29</w:t>
            </w:r>
          </w:p>
        </w:tc>
        <w:tc>
          <w:tcPr>
            <w:tcW w:w="3427" w:type="pct"/>
            <w:shd w:val="clear" w:color="auto" w:fill="auto"/>
            <w:vAlign w:val="center"/>
            <w:hideMark/>
          </w:tcPr>
          <w:p w14:paraId="67FEADFD"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Manufacture of motor vehicles, trailers and semi-trailers</w:t>
            </w:r>
          </w:p>
        </w:tc>
        <w:tc>
          <w:tcPr>
            <w:tcW w:w="912" w:type="pct"/>
            <w:noWrap/>
            <w:vAlign w:val="center"/>
            <w:hideMark/>
          </w:tcPr>
          <w:p w14:paraId="3065AAE9" w14:textId="1FDD9FB6"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4.8</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088D57F2" w14:textId="77777777" w:rsidTr="00C44FFB">
        <w:trPr>
          <w:trHeight w:val="255"/>
        </w:trPr>
        <w:tc>
          <w:tcPr>
            <w:tcW w:w="661" w:type="pct"/>
            <w:shd w:val="clear" w:color="auto" w:fill="auto"/>
            <w:noWrap/>
            <w:vAlign w:val="center"/>
            <w:hideMark/>
          </w:tcPr>
          <w:p w14:paraId="77928CF5"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22</w:t>
            </w:r>
          </w:p>
        </w:tc>
        <w:tc>
          <w:tcPr>
            <w:tcW w:w="3427" w:type="pct"/>
            <w:shd w:val="clear" w:color="auto" w:fill="auto"/>
            <w:vAlign w:val="center"/>
            <w:hideMark/>
          </w:tcPr>
          <w:p w14:paraId="4C3681AC"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Manufacture of rubber and plastic products</w:t>
            </w:r>
          </w:p>
        </w:tc>
        <w:tc>
          <w:tcPr>
            <w:tcW w:w="912" w:type="pct"/>
            <w:noWrap/>
            <w:vAlign w:val="center"/>
            <w:hideMark/>
          </w:tcPr>
          <w:p w14:paraId="62198843" w14:textId="1444D83F"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4.5</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72BA172F" w14:textId="77777777" w:rsidTr="00C44FFB">
        <w:trPr>
          <w:trHeight w:val="255"/>
        </w:trPr>
        <w:tc>
          <w:tcPr>
            <w:tcW w:w="661" w:type="pct"/>
            <w:shd w:val="clear" w:color="auto" w:fill="auto"/>
            <w:noWrap/>
            <w:vAlign w:val="center"/>
            <w:hideMark/>
          </w:tcPr>
          <w:p w14:paraId="31739E14"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31</w:t>
            </w:r>
          </w:p>
        </w:tc>
        <w:tc>
          <w:tcPr>
            <w:tcW w:w="3427" w:type="pct"/>
            <w:shd w:val="clear" w:color="auto" w:fill="auto"/>
            <w:vAlign w:val="center"/>
            <w:hideMark/>
          </w:tcPr>
          <w:p w14:paraId="3B8443D3"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Manufacture of furniture</w:t>
            </w:r>
          </w:p>
        </w:tc>
        <w:tc>
          <w:tcPr>
            <w:tcW w:w="912" w:type="pct"/>
            <w:noWrap/>
            <w:vAlign w:val="center"/>
            <w:hideMark/>
          </w:tcPr>
          <w:p w14:paraId="5C2AD855" w14:textId="3028952C"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3.3</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746BD580" w14:textId="77777777" w:rsidTr="00C44FFB">
        <w:trPr>
          <w:trHeight w:val="255"/>
        </w:trPr>
        <w:tc>
          <w:tcPr>
            <w:tcW w:w="661" w:type="pct"/>
            <w:shd w:val="clear" w:color="auto" w:fill="auto"/>
            <w:noWrap/>
            <w:vAlign w:val="center"/>
            <w:hideMark/>
          </w:tcPr>
          <w:p w14:paraId="68184BE6"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20</w:t>
            </w:r>
          </w:p>
        </w:tc>
        <w:tc>
          <w:tcPr>
            <w:tcW w:w="3427" w:type="pct"/>
            <w:shd w:val="clear" w:color="auto" w:fill="auto"/>
            <w:vAlign w:val="center"/>
            <w:hideMark/>
          </w:tcPr>
          <w:p w14:paraId="0724B111"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Manufacture of chemicals and chemical products</w:t>
            </w:r>
          </w:p>
        </w:tc>
        <w:tc>
          <w:tcPr>
            <w:tcW w:w="912" w:type="pct"/>
            <w:noWrap/>
            <w:vAlign w:val="center"/>
            <w:hideMark/>
          </w:tcPr>
          <w:p w14:paraId="25A98BFB" w14:textId="1FEF79E0"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2.3</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33877574" w14:textId="77777777" w:rsidTr="00C44FFB">
        <w:trPr>
          <w:trHeight w:val="255"/>
        </w:trPr>
        <w:tc>
          <w:tcPr>
            <w:tcW w:w="661" w:type="pct"/>
            <w:shd w:val="clear" w:color="auto" w:fill="auto"/>
            <w:noWrap/>
            <w:vAlign w:val="center"/>
            <w:hideMark/>
          </w:tcPr>
          <w:p w14:paraId="67EA8DFA"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21</w:t>
            </w:r>
          </w:p>
        </w:tc>
        <w:tc>
          <w:tcPr>
            <w:tcW w:w="3427" w:type="pct"/>
            <w:shd w:val="clear" w:color="auto" w:fill="auto"/>
            <w:vAlign w:val="center"/>
            <w:hideMark/>
          </w:tcPr>
          <w:p w14:paraId="2C55A10A"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 xml:space="preserve">Manufacture of basic pharmaceutical products and pharmaceutical preparations </w:t>
            </w:r>
          </w:p>
        </w:tc>
        <w:tc>
          <w:tcPr>
            <w:tcW w:w="912" w:type="pct"/>
            <w:noWrap/>
            <w:vAlign w:val="center"/>
            <w:hideMark/>
          </w:tcPr>
          <w:p w14:paraId="6C0FC1B7" w14:textId="41234564"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2.3</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356A4A25" w14:textId="77777777" w:rsidTr="00C44FFB">
        <w:trPr>
          <w:trHeight w:val="255"/>
        </w:trPr>
        <w:tc>
          <w:tcPr>
            <w:tcW w:w="661" w:type="pct"/>
            <w:shd w:val="clear" w:color="auto" w:fill="auto"/>
            <w:noWrap/>
            <w:vAlign w:val="center"/>
            <w:hideMark/>
          </w:tcPr>
          <w:p w14:paraId="6EB1B33D"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24</w:t>
            </w:r>
          </w:p>
        </w:tc>
        <w:tc>
          <w:tcPr>
            <w:tcW w:w="3427" w:type="pct"/>
            <w:shd w:val="clear" w:color="auto" w:fill="auto"/>
            <w:vAlign w:val="center"/>
            <w:hideMark/>
          </w:tcPr>
          <w:p w14:paraId="32360BAB"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Manufacture of basic metals</w:t>
            </w:r>
          </w:p>
        </w:tc>
        <w:tc>
          <w:tcPr>
            <w:tcW w:w="912" w:type="pct"/>
            <w:noWrap/>
            <w:vAlign w:val="center"/>
            <w:hideMark/>
          </w:tcPr>
          <w:p w14:paraId="5E6A7729" w14:textId="0129DDF5"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2.0</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5A6052FE" w14:textId="77777777" w:rsidTr="00C44FFB">
        <w:trPr>
          <w:trHeight w:val="255"/>
        </w:trPr>
        <w:tc>
          <w:tcPr>
            <w:tcW w:w="661" w:type="pct"/>
            <w:shd w:val="clear" w:color="auto" w:fill="auto"/>
            <w:noWrap/>
            <w:vAlign w:val="center"/>
            <w:hideMark/>
          </w:tcPr>
          <w:p w14:paraId="49AB36A5"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13</w:t>
            </w:r>
          </w:p>
        </w:tc>
        <w:tc>
          <w:tcPr>
            <w:tcW w:w="3427" w:type="pct"/>
            <w:shd w:val="clear" w:color="auto" w:fill="auto"/>
            <w:vAlign w:val="center"/>
            <w:hideMark/>
          </w:tcPr>
          <w:p w14:paraId="485C438A"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Manufacture of textiles</w:t>
            </w:r>
          </w:p>
        </w:tc>
        <w:tc>
          <w:tcPr>
            <w:tcW w:w="912" w:type="pct"/>
            <w:noWrap/>
            <w:vAlign w:val="center"/>
            <w:hideMark/>
          </w:tcPr>
          <w:p w14:paraId="1697D8AE" w14:textId="3E349E33"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1.8</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54644962" w14:textId="77777777" w:rsidTr="00C44FFB">
        <w:trPr>
          <w:trHeight w:val="255"/>
        </w:trPr>
        <w:tc>
          <w:tcPr>
            <w:tcW w:w="661" w:type="pct"/>
            <w:shd w:val="clear" w:color="auto" w:fill="auto"/>
            <w:noWrap/>
            <w:vAlign w:val="center"/>
            <w:hideMark/>
          </w:tcPr>
          <w:p w14:paraId="3C5CB490"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23</w:t>
            </w:r>
          </w:p>
        </w:tc>
        <w:tc>
          <w:tcPr>
            <w:tcW w:w="3427" w:type="pct"/>
            <w:shd w:val="clear" w:color="auto" w:fill="auto"/>
            <w:vAlign w:val="center"/>
            <w:hideMark/>
          </w:tcPr>
          <w:p w14:paraId="4B87CD6E"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 xml:space="preserve">Manufacture of other non-metallic mineral products </w:t>
            </w:r>
          </w:p>
        </w:tc>
        <w:tc>
          <w:tcPr>
            <w:tcW w:w="912" w:type="pct"/>
            <w:noWrap/>
            <w:vAlign w:val="center"/>
            <w:hideMark/>
          </w:tcPr>
          <w:p w14:paraId="33E0DBFD" w14:textId="03A5EC17"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1.2</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5EFDF452" w14:textId="77777777" w:rsidTr="00C44FFB">
        <w:trPr>
          <w:trHeight w:val="255"/>
        </w:trPr>
        <w:tc>
          <w:tcPr>
            <w:tcW w:w="661" w:type="pct"/>
            <w:shd w:val="clear" w:color="auto" w:fill="auto"/>
            <w:noWrap/>
            <w:vAlign w:val="center"/>
            <w:hideMark/>
          </w:tcPr>
          <w:p w14:paraId="26601197"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17</w:t>
            </w:r>
          </w:p>
        </w:tc>
        <w:tc>
          <w:tcPr>
            <w:tcW w:w="3427" w:type="pct"/>
            <w:shd w:val="clear" w:color="auto" w:fill="auto"/>
            <w:vAlign w:val="center"/>
            <w:hideMark/>
          </w:tcPr>
          <w:p w14:paraId="4E8F914A"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Manufacture of paper and paper products</w:t>
            </w:r>
          </w:p>
        </w:tc>
        <w:tc>
          <w:tcPr>
            <w:tcW w:w="912" w:type="pct"/>
            <w:noWrap/>
            <w:vAlign w:val="center"/>
            <w:hideMark/>
          </w:tcPr>
          <w:p w14:paraId="74C5B000" w14:textId="0F5ED9F8"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1.0</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4CF13ADA" w14:textId="77777777" w:rsidTr="00C44FFB">
        <w:trPr>
          <w:trHeight w:val="255"/>
        </w:trPr>
        <w:tc>
          <w:tcPr>
            <w:tcW w:w="661" w:type="pct"/>
            <w:shd w:val="clear" w:color="auto" w:fill="auto"/>
            <w:noWrap/>
            <w:vAlign w:val="center"/>
            <w:hideMark/>
          </w:tcPr>
          <w:p w14:paraId="4F92E599"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16</w:t>
            </w:r>
          </w:p>
        </w:tc>
        <w:tc>
          <w:tcPr>
            <w:tcW w:w="3427" w:type="pct"/>
            <w:shd w:val="clear" w:color="auto" w:fill="auto"/>
            <w:vAlign w:val="center"/>
            <w:hideMark/>
          </w:tcPr>
          <w:p w14:paraId="517F096E" w14:textId="4BCBE61D"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 xml:space="preserve">Manufacture of wood and of products of wood and cork, except furniture </w:t>
            </w:r>
          </w:p>
        </w:tc>
        <w:tc>
          <w:tcPr>
            <w:tcW w:w="912" w:type="pct"/>
            <w:noWrap/>
            <w:vAlign w:val="center"/>
            <w:hideMark/>
          </w:tcPr>
          <w:p w14:paraId="11999B8D" w14:textId="44DCA7A1"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0.6</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0E936DDC" w14:textId="77777777" w:rsidTr="00C44FFB">
        <w:trPr>
          <w:trHeight w:val="255"/>
        </w:trPr>
        <w:tc>
          <w:tcPr>
            <w:tcW w:w="661" w:type="pct"/>
            <w:shd w:val="clear" w:color="auto" w:fill="auto"/>
            <w:noWrap/>
            <w:vAlign w:val="center"/>
            <w:hideMark/>
          </w:tcPr>
          <w:p w14:paraId="5D6B93BC"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11</w:t>
            </w:r>
          </w:p>
        </w:tc>
        <w:tc>
          <w:tcPr>
            <w:tcW w:w="3427" w:type="pct"/>
            <w:shd w:val="clear" w:color="auto" w:fill="auto"/>
            <w:vAlign w:val="center"/>
            <w:hideMark/>
          </w:tcPr>
          <w:p w14:paraId="030F8BA3"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Manufacture of beverages</w:t>
            </w:r>
          </w:p>
        </w:tc>
        <w:tc>
          <w:tcPr>
            <w:tcW w:w="912" w:type="pct"/>
            <w:noWrap/>
            <w:vAlign w:val="center"/>
            <w:hideMark/>
          </w:tcPr>
          <w:p w14:paraId="066C94C1" w14:textId="6017AF97"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0.6</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780FA10D" w14:textId="77777777" w:rsidTr="00C44FFB">
        <w:trPr>
          <w:trHeight w:val="255"/>
        </w:trPr>
        <w:tc>
          <w:tcPr>
            <w:tcW w:w="661" w:type="pct"/>
            <w:shd w:val="clear" w:color="auto" w:fill="auto"/>
            <w:noWrap/>
            <w:vAlign w:val="center"/>
            <w:hideMark/>
          </w:tcPr>
          <w:p w14:paraId="48EA4ECE"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18</w:t>
            </w:r>
          </w:p>
        </w:tc>
        <w:tc>
          <w:tcPr>
            <w:tcW w:w="3427" w:type="pct"/>
            <w:shd w:val="clear" w:color="auto" w:fill="auto"/>
            <w:vAlign w:val="center"/>
            <w:hideMark/>
          </w:tcPr>
          <w:p w14:paraId="5FDE00C6"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 xml:space="preserve">Printing and reproduction of recorded media </w:t>
            </w:r>
          </w:p>
        </w:tc>
        <w:tc>
          <w:tcPr>
            <w:tcW w:w="912" w:type="pct"/>
            <w:noWrap/>
            <w:vAlign w:val="center"/>
            <w:hideMark/>
          </w:tcPr>
          <w:p w14:paraId="62D09C78" w14:textId="07B82779"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0.6</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1C93A90A" w14:textId="77777777" w:rsidTr="00C44FFB">
        <w:trPr>
          <w:trHeight w:val="255"/>
        </w:trPr>
        <w:tc>
          <w:tcPr>
            <w:tcW w:w="661" w:type="pct"/>
            <w:shd w:val="clear" w:color="auto" w:fill="auto"/>
            <w:noWrap/>
            <w:vAlign w:val="center"/>
            <w:hideMark/>
          </w:tcPr>
          <w:p w14:paraId="0AA25A6D"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12</w:t>
            </w:r>
          </w:p>
        </w:tc>
        <w:tc>
          <w:tcPr>
            <w:tcW w:w="3427" w:type="pct"/>
            <w:shd w:val="clear" w:color="auto" w:fill="auto"/>
            <w:vAlign w:val="center"/>
            <w:hideMark/>
          </w:tcPr>
          <w:p w14:paraId="1173ADE4"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Manufacture of tobacco products</w:t>
            </w:r>
          </w:p>
        </w:tc>
        <w:tc>
          <w:tcPr>
            <w:tcW w:w="912" w:type="pct"/>
            <w:noWrap/>
            <w:vAlign w:val="center"/>
            <w:hideMark/>
          </w:tcPr>
          <w:p w14:paraId="1DE2B057" w14:textId="3ECF0AD9"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0.1</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1EBAA1EB" w14:textId="77777777" w:rsidTr="00C44FFB">
        <w:trPr>
          <w:trHeight w:val="255"/>
        </w:trPr>
        <w:tc>
          <w:tcPr>
            <w:tcW w:w="661" w:type="pct"/>
            <w:shd w:val="clear" w:color="auto" w:fill="auto"/>
            <w:noWrap/>
            <w:vAlign w:val="center"/>
            <w:hideMark/>
          </w:tcPr>
          <w:p w14:paraId="67C89748"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33</w:t>
            </w:r>
          </w:p>
        </w:tc>
        <w:tc>
          <w:tcPr>
            <w:tcW w:w="3427" w:type="pct"/>
            <w:shd w:val="clear" w:color="auto" w:fill="auto"/>
            <w:vAlign w:val="center"/>
            <w:hideMark/>
          </w:tcPr>
          <w:p w14:paraId="15609D45"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 xml:space="preserve">Repair and installation of machinery and equipment </w:t>
            </w:r>
          </w:p>
        </w:tc>
        <w:tc>
          <w:tcPr>
            <w:tcW w:w="912" w:type="pct"/>
            <w:noWrap/>
            <w:vAlign w:val="center"/>
            <w:hideMark/>
          </w:tcPr>
          <w:p w14:paraId="367E1A10" w14:textId="27E00206"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0.1</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14ABBD6C" w14:textId="77777777" w:rsidTr="00C44FFB">
        <w:trPr>
          <w:trHeight w:val="255"/>
        </w:trPr>
        <w:tc>
          <w:tcPr>
            <w:tcW w:w="661" w:type="pct"/>
            <w:shd w:val="clear" w:color="auto" w:fill="auto"/>
            <w:noWrap/>
            <w:vAlign w:val="center"/>
            <w:hideMark/>
          </w:tcPr>
          <w:p w14:paraId="78E2807F" w14:textId="77777777" w:rsidR="00F038BA" w:rsidRPr="00733536" w:rsidRDefault="00F038BA" w:rsidP="00F038BA">
            <w:pPr>
              <w:framePr w:w="4961" w:vSpace="284" w:wrap="notBeside" w:vAnchor="page" w:hAnchor="page" w:x="849" w:y="6774"/>
              <w:ind w:firstLine="0"/>
              <w:jc w:val="center"/>
              <w:rPr>
                <w:rFonts w:asciiTheme="minorHAnsi" w:hAnsiTheme="minorHAnsi"/>
                <w:color w:val="000000"/>
                <w:sz w:val="16"/>
                <w:szCs w:val="16"/>
              </w:rPr>
            </w:pPr>
            <w:r w:rsidRPr="00733536">
              <w:rPr>
                <w:rFonts w:asciiTheme="minorHAnsi" w:hAnsiTheme="minorHAnsi"/>
                <w:color w:val="000000"/>
                <w:sz w:val="16"/>
                <w:szCs w:val="16"/>
              </w:rPr>
              <w:t>62</w:t>
            </w:r>
          </w:p>
        </w:tc>
        <w:tc>
          <w:tcPr>
            <w:tcW w:w="3427" w:type="pct"/>
            <w:shd w:val="clear" w:color="auto" w:fill="auto"/>
            <w:vAlign w:val="center"/>
            <w:hideMark/>
          </w:tcPr>
          <w:p w14:paraId="246876F5"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Computer programming, consultancy and related activities</w:t>
            </w:r>
          </w:p>
        </w:tc>
        <w:tc>
          <w:tcPr>
            <w:tcW w:w="912" w:type="pct"/>
            <w:noWrap/>
            <w:vAlign w:val="center"/>
            <w:hideMark/>
          </w:tcPr>
          <w:p w14:paraId="56A8615B" w14:textId="57BA55D4"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0.1</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0F9A27D1" w14:textId="77777777" w:rsidTr="00C44FFB">
        <w:trPr>
          <w:trHeight w:val="255"/>
        </w:trPr>
        <w:tc>
          <w:tcPr>
            <w:tcW w:w="661" w:type="pct"/>
            <w:shd w:val="clear" w:color="auto" w:fill="auto"/>
            <w:noWrap/>
            <w:vAlign w:val="center"/>
            <w:hideMark/>
          </w:tcPr>
          <w:p w14:paraId="1B8E9827" w14:textId="77777777" w:rsidR="00F038BA" w:rsidRPr="00733536" w:rsidRDefault="00F038BA" w:rsidP="00F038BA">
            <w:pPr>
              <w:framePr w:w="4961" w:vSpace="284" w:wrap="notBeside" w:vAnchor="page" w:hAnchor="page" w:x="849" w:y="6774"/>
              <w:ind w:left="-142" w:right="-251" w:firstLine="0"/>
              <w:jc w:val="center"/>
              <w:rPr>
                <w:rFonts w:asciiTheme="minorHAnsi" w:hAnsiTheme="minorHAnsi"/>
                <w:color w:val="000000"/>
                <w:sz w:val="16"/>
                <w:szCs w:val="16"/>
              </w:rPr>
            </w:pPr>
            <w:commentRangeStart w:id="17"/>
            <w:r w:rsidRPr="00733536">
              <w:rPr>
                <w:rFonts w:asciiTheme="minorHAnsi" w:hAnsiTheme="minorHAnsi"/>
                <w:color w:val="000000"/>
                <w:sz w:val="16"/>
                <w:szCs w:val="16"/>
              </w:rPr>
              <w:t>n.a.</w:t>
            </w:r>
            <w:commentRangeEnd w:id="17"/>
            <w:r w:rsidR="004D1B59">
              <w:rPr>
                <w:rStyle w:val="CommentReference"/>
                <w:rFonts w:asciiTheme="minorHAnsi" w:eastAsiaTheme="minorEastAsia" w:hAnsiTheme="minorHAnsi" w:cstheme="minorBidi"/>
                <w:lang w:val="it-IT" w:eastAsia="ko-KR"/>
              </w:rPr>
              <w:commentReference w:id="17"/>
            </w:r>
          </w:p>
        </w:tc>
        <w:tc>
          <w:tcPr>
            <w:tcW w:w="3427" w:type="pct"/>
            <w:shd w:val="clear" w:color="auto" w:fill="auto"/>
            <w:noWrap/>
            <w:vAlign w:val="center"/>
            <w:hideMark/>
          </w:tcPr>
          <w:p w14:paraId="486FC152" w14:textId="77777777" w:rsidR="00F038BA" w:rsidRPr="00733536" w:rsidRDefault="00F038BA" w:rsidP="00F038BA">
            <w:pPr>
              <w:framePr w:w="4961" w:vSpace="284" w:wrap="notBeside" w:vAnchor="page" w:hAnchor="page" w:x="849" w:y="6774"/>
              <w:ind w:firstLine="0"/>
              <w:jc w:val="left"/>
              <w:rPr>
                <w:rFonts w:asciiTheme="minorHAnsi" w:hAnsiTheme="minorHAnsi"/>
                <w:color w:val="000000"/>
                <w:sz w:val="16"/>
                <w:szCs w:val="16"/>
              </w:rPr>
            </w:pPr>
            <w:r w:rsidRPr="00733536">
              <w:rPr>
                <w:rFonts w:asciiTheme="minorHAnsi" w:hAnsiTheme="minorHAnsi"/>
                <w:color w:val="000000"/>
                <w:sz w:val="16"/>
                <w:szCs w:val="16"/>
              </w:rPr>
              <w:t> </w:t>
            </w:r>
          </w:p>
        </w:tc>
        <w:tc>
          <w:tcPr>
            <w:tcW w:w="912" w:type="pct"/>
            <w:noWrap/>
            <w:vAlign w:val="center"/>
            <w:hideMark/>
          </w:tcPr>
          <w:p w14:paraId="025846A0" w14:textId="227B81F4" w:rsidR="00F038BA" w:rsidRPr="00733536" w:rsidRDefault="00F038BA" w:rsidP="00104B9D">
            <w:pPr>
              <w:framePr w:w="4961" w:vSpace="284" w:wrap="notBeside" w:vAnchor="page" w:hAnchor="page" w:x="849" w:y="6774"/>
              <w:ind w:right="227" w:firstLine="0"/>
              <w:jc w:val="right"/>
              <w:rPr>
                <w:rFonts w:asciiTheme="minorHAnsi" w:hAnsiTheme="minorHAnsi"/>
                <w:color w:val="000000"/>
                <w:sz w:val="16"/>
                <w:szCs w:val="16"/>
              </w:rPr>
            </w:pPr>
            <w:r w:rsidRPr="00733536">
              <w:rPr>
                <w:rFonts w:asciiTheme="minorHAnsi" w:hAnsiTheme="minorHAnsi"/>
                <w:color w:val="000000"/>
                <w:sz w:val="16"/>
                <w:szCs w:val="16"/>
              </w:rPr>
              <w:t>0.1</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F038BA" w:rsidRPr="00733536" w14:paraId="1EB79EF5" w14:textId="77777777" w:rsidTr="00C44FFB">
        <w:trPr>
          <w:trHeight w:val="255"/>
        </w:trPr>
        <w:tc>
          <w:tcPr>
            <w:tcW w:w="4088" w:type="pct"/>
            <w:gridSpan w:val="2"/>
            <w:tcBorders>
              <w:bottom w:val="single" w:sz="4" w:space="0" w:color="auto"/>
            </w:tcBorders>
            <w:shd w:val="clear" w:color="auto" w:fill="auto"/>
            <w:noWrap/>
            <w:vAlign w:val="center"/>
            <w:hideMark/>
          </w:tcPr>
          <w:p w14:paraId="27F63F8B" w14:textId="77777777" w:rsidR="00F038BA" w:rsidRPr="00733536" w:rsidRDefault="00F038BA" w:rsidP="00F038BA">
            <w:pPr>
              <w:framePr w:w="4961" w:vSpace="284" w:wrap="notBeside" w:vAnchor="page" w:hAnchor="page" w:x="849" w:y="6774"/>
              <w:ind w:firstLine="0"/>
              <w:jc w:val="left"/>
              <w:rPr>
                <w:rFonts w:asciiTheme="minorHAnsi" w:hAnsiTheme="minorHAnsi"/>
                <w:b/>
                <w:bCs/>
                <w:color w:val="000000"/>
                <w:sz w:val="16"/>
                <w:szCs w:val="16"/>
              </w:rPr>
            </w:pPr>
            <w:r w:rsidRPr="00733536">
              <w:rPr>
                <w:rFonts w:asciiTheme="minorHAnsi" w:hAnsiTheme="minorHAnsi"/>
                <w:b/>
                <w:bCs/>
                <w:color w:val="000000"/>
                <w:sz w:val="16"/>
                <w:szCs w:val="16"/>
              </w:rPr>
              <w:t>Total</w:t>
            </w:r>
          </w:p>
        </w:tc>
        <w:tc>
          <w:tcPr>
            <w:tcW w:w="912" w:type="pct"/>
            <w:tcBorders>
              <w:bottom w:val="single" w:sz="4" w:space="0" w:color="auto"/>
            </w:tcBorders>
            <w:noWrap/>
            <w:vAlign w:val="center"/>
            <w:hideMark/>
          </w:tcPr>
          <w:p w14:paraId="2CF06DF8" w14:textId="7735429B" w:rsidR="00F038BA" w:rsidRPr="00733536" w:rsidRDefault="00F038BA" w:rsidP="00104B9D">
            <w:pPr>
              <w:framePr w:w="4961" w:vSpace="284" w:wrap="notBeside" w:vAnchor="page" w:hAnchor="page" w:x="849" w:y="6774"/>
              <w:ind w:left="-73" w:right="227" w:firstLine="33"/>
              <w:jc w:val="right"/>
              <w:rPr>
                <w:rFonts w:asciiTheme="minorHAnsi" w:hAnsiTheme="minorHAnsi"/>
                <w:b/>
                <w:bCs/>
                <w:color w:val="000000"/>
                <w:sz w:val="16"/>
                <w:szCs w:val="16"/>
              </w:rPr>
            </w:pPr>
            <w:r w:rsidRPr="00733536">
              <w:rPr>
                <w:rFonts w:asciiTheme="minorHAnsi" w:hAnsiTheme="minorHAnsi"/>
                <w:b/>
                <w:bCs/>
                <w:color w:val="000000"/>
                <w:sz w:val="16"/>
                <w:szCs w:val="16"/>
              </w:rPr>
              <w:t>100.0</w:t>
            </w:r>
            <w:r w:rsidR="00104B9D" w:rsidRPr="00733536">
              <w:rPr>
                <w:rFonts w:asciiTheme="minorHAnsi" w:hAnsiTheme="minorHAnsi"/>
                <w:b/>
                <w:bCs/>
                <w:color w:val="000000"/>
                <w:sz w:val="16"/>
                <w:szCs w:val="16"/>
              </w:rPr>
              <w:t xml:space="preserve"> </w:t>
            </w:r>
            <w:r w:rsidRPr="00733536">
              <w:rPr>
                <w:rFonts w:asciiTheme="minorHAnsi" w:hAnsiTheme="minorHAnsi"/>
                <w:b/>
                <w:bCs/>
                <w:color w:val="000000"/>
                <w:sz w:val="16"/>
                <w:szCs w:val="16"/>
              </w:rPr>
              <w:t>%</w:t>
            </w:r>
          </w:p>
        </w:tc>
      </w:tr>
    </w:tbl>
    <w:p w14:paraId="03C70347" w14:textId="68D15520" w:rsidR="00A64411" w:rsidRPr="00733536" w:rsidRDefault="00A64411" w:rsidP="00F038BA">
      <w:r w:rsidRPr="00733536">
        <w:t>The breakdown by industry (</w:t>
      </w:r>
      <w:r w:rsidR="00542406" w:rsidRPr="00733536">
        <w:fldChar w:fldCharType="begin"/>
      </w:r>
      <w:r w:rsidR="00542406" w:rsidRPr="00733536">
        <w:instrText xml:space="preserve"> REF _Ref55216695 \h </w:instrText>
      </w:r>
      <w:r w:rsidR="00542406" w:rsidRPr="00733536">
        <w:fldChar w:fldCharType="separate"/>
      </w:r>
      <w:r w:rsidR="008F7C96" w:rsidRPr="00733536">
        <w:rPr>
          <w:szCs w:val="20"/>
          <w:lang w:eastAsia="ko-KR"/>
        </w:rPr>
        <w:t xml:space="preserve">Table </w:t>
      </w:r>
      <w:r w:rsidR="008F7C96" w:rsidRPr="00733536">
        <w:rPr>
          <w:noProof/>
        </w:rPr>
        <w:t>4</w:t>
      </w:r>
      <w:r w:rsidR="00542406" w:rsidRPr="00733536">
        <w:fldChar w:fldCharType="end"/>
      </w:r>
      <w:r w:rsidRPr="00733536">
        <w:t xml:space="preserve">) shows that </w:t>
      </w:r>
      <w:r w:rsidR="00F50BFE" w:rsidRPr="00733536">
        <w:t xml:space="preserve">at least one back-shoring decision has been implemented in </w:t>
      </w:r>
      <w:r w:rsidRPr="00733536">
        <w:t xml:space="preserve">24 </w:t>
      </w:r>
      <w:r w:rsidR="006D32A1">
        <w:t xml:space="preserve">different </w:t>
      </w:r>
      <w:r w:rsidRPr="00733536">
        <w:t>sector</w:t>
      </w:r>
      <w:r w:rsidR="006D32A1">
        <w:t>s. T</w:t>
      </w:r>
      <w:r w:rsidRPr="00733536">
        <w:t>he industr</w:t>
      </w:r>
      <w:r w:rsidR="00F3540E" w:rsidRPr="00733536">
        <w:t>ies</w:t>
      </w:r>
      <w:r w:rsidR="006D32A1">
        <w:t xml:space="preserve"> with the highest representation</w:t>
      </w:r>
      <w:r w:rsidR="00F3540E" w:rsidRPr="00733536">
        <w:t xml:space="preserve"> (more than 10</w:t>
      </w:r>
      <w:r w:rsidR="009D56E3" w:rsidRPr="00733536">
        <w:t> </w:t>
      </w:r>
      <w:r w:rsidR="00F3540E" w:rsidRPr="00733536">
        <w:t>%) are</w:t>
      </w:r>
      <w:r w:rsidR="003108E2">
        <w:t xml:space="preserve"> the</w:t>
      </w:r>
      <w:r w:rsidRPr="00733536">
        <w:t xml:space="preserve"> </w:t>
      </w:r>
      <w:r w:rsidR="006D32A1">
        <w:t>‘</w:t>
      </w:r>
      <w:r w:rsidRPr="00733536">
        <w:rPr>
          <w:color w:val="000000"/>
        </w:rPr>
        <w:t>Manufacture of machinery and equipment not elsewhere classified</w:t>
      </w:r>
      <w:r w:rsidR="006D32A1">
        <w:rPr>
          <w:color w:val="000000"/>
        </w:rPr>
        <w:t>’</w:t>
      </w:r>
      <w:r w:rsidR="00F3540E" w:rsidRPr="00733536">
        <w:rPr>
          <w:color w:val="000000"/>
        </w:rPr>
        <w:t>,</w:t>
      </w:r>
      <w:r w:rsidRPr="00733536">
        <w:t xml:space="preserve"> </w:t>
      </w:r>
      <w:r w:rsidR="003108E2">
        <w:t xml:space="preserve">the </w:t>
      </w:r>
      <w:r w:rsidR="006D32A1">
        <w:t>‘</w:t>
      </w:r>
      <w:r w:rsidRPr="00733536">
        <w:rPr>
          <w:color w:val="000000"/>
        </w:rPr>
        <w:t>Manufacture of leather and related products</w:t>
      </w:r>
      <w:r w:rsidR="006D32A1">
        <w:rPr>
          <w:color w:val="000000"/>
        </w:rPr>
        <w:t>’</w:t>
      </w:r>
      <w:r w:rsidRPr="00733536">
        <w:t xml:space="preserve"> and </w:t>
      </w:r>
      <w:r w:rsidR="003108E2">
        <w:t xml:space="preserve">the </w:t>
      </w:r>
      <w:r w:rsidR="006D32A1">
        <w:t>‘</w:t>
      </w:r>
      <w:r w:rsidRPr="00733536">
        <w:t xml:space="preserve">Manufacture of </w:t>
      </w:r>
      <w:r w:rsidRPr="00733536">
        <w:rPr>
          <w:color w:val="000000"/>
        </w:rPr>
        <w:t>computer, electronic and optical products</w:t>
      </w:r>
      <w:r w:rsidR="006D32A1">
        <w:t>’</w:t>
      </w:r>
      <w:r w:rsidRPr="00733536">
        <w:t>.</w:t>
      </w:r>
      <w:r w:rsidR="00F3540E" w:rsidRPr="00733536">
        <w:t xml:space="preserve"> Therefore, it seems the </w:t>
      </w:r>
      <w:r w:rsidR="006D32A1" w:rsidRPr="00733536">
        <w:t>intensity</w:t>
      </w:r>
      <w:r w:rsidR="006D32A1">
        <w:t xml:space="preserve"> of an</w:t>
      </w:r>
      <w:r w:rsidR="006D32A1" w:rsidRPr="00733536">
        <w:t xml:space="preserve"> </w:t>
      </w:r>
      <w:r w:rsidR="00F3540E" w:rsidRPr="00733536">
        <w:t xml:space="preserve">industry’s technology is not relevant. </w:t>
      </w:r>
    </w:p>
    <w:p w14:paraId="2B2D92DF" w14:textId="6994D41B" w:rsidR="00C44FFB" w:rsidRPr="00733536" w:rsidRDefault="00C44FFB" w:rsidP="00C44FFB">
      <w:pPr>
        <w:pStyle w:val="FigureCaption"/>
        <w:framePr w:w="4961" w:vSpace="284" w:wrap="notBeside" w:hAnchor="margin" w:xAlign="right" w:yAlign="bottom"/>
        <w:spacing w:before="0" w:after="120"/>
      </w:pPr>
      <w:bookmarkStart w:id="18" w:name="_Ref55216706"/>
      <w:r w:rsidRPr="00733536">
        <w:rPr>
          <w:szCs w:val="20"/>
          <w:lang w:eastAsia="ko-KR"/>
        </w:rPr>
        <w:t xml:space="preserve">Table </w:t>
      </w:r>
      <w:r w:rsidRPr="00733536">
        <w:fldChar w:fldCharType="begin"/>
      </w:r>
      <w:r w:rsidRPr="00733536">
        <w:instrText xml:space="preserve"> SEQ Table \* ARABIC </w:instrText>
      </w:r>
      <w:r w:rsidRPr="00733536">
        <w:fldChar w:fldCharType="separate"/>
      </w:r>
      <w:r w:rsidR="008F7C96" w:rsidRPr="00733536">
        <w:rPr>
          <w:noProof/>
        </w:rPr>
        <w:t>5</w:t>
      </w:r>
      <w:r w:rsidRPr="00733536">
        <w:fldChar w:fldCharType="end"/>
      </w:r>
      <w:bookmarkEnd w:id="18"/>
      <w:r w:rsidRPr="00733536">
        <w:rPr>
          <w:szCs w:val="20"/>
          <w:lang w:eastAsia="ko-KR"/>
        </w:rPr>
        <w:t xml:space="preserve">. </w:t>
      </w:r>
      <w:r w:rsidRPr="00733536">
        <w:rPr>
          <w:rFonts w:asciiTheme="minorHAnsi" w:hAnsiTheme="minorHAnsi"/>
          <w:bCs/>
          <w:szCs w:val="16"/>
        </w:rPr>
        <w:t xml:space="preserve">Breakdown of back-shoring decisions by declared motivation. </w:t>
      </w:r>
      <w:r w:rsidRPr="00733536">
        <w:rPr>
          <w:rFonts w:asciiTheme="minorHAnsi" w:hAnsiTheme="minorHAnsi"/>
          <w:szCs w:val="21"/>
        </w:rPr>
        <w:t xml:space="preserve">Motivations declared by at least 10 companies. </w:t>
      </w:r>
      <w:commentRangeStart w:id="19"/>
      <w:r w:rsidRPr="00733536">
        <w:rPr>
          <w:rFonts w:asciiTheme="minorHAnsi" w:hAnsiTheme="minorHAnsi"/>
          <w:szCs w:val="21"/>
        </w:rPr>
        <w:t>Motivations belonging to Industry 4.0 in bold.</w:t>
      </w:r>
      <w:commentRangeEnd w:id="19"/>
      <w:r w:rsidR="003108E2">
        <w:rPr>
          <w:rStyle w:val="CommentReference"/>
          <w:rFonts w:asciiTheme="minorHAnsi" w:eastAsiaTheme="minorEastAsia" w:hAnsiTheme="minorHAnsi" w:cstheme="minorBidi"/>
          <w:lang w:val="it-IT" w:eastAsia="ko-KR"/>
        </w:rPr>
        <w:commentReference w:id="19"/>
      </w:r>
      <w:r w:rsidRPr="00733536">
        <w:rPr>
          <w:rFonts w:asciiTheme="minorHAnsi" w:hAnsiTheme="minorHAnsi"/>
          <w:bCs/>
          <w:szCs w:val="16"/>
        </w:rPr>
        <w:t xml:space="preserve"> </w:t>
      </w:r>
      <w:r w:rsidRPr="00733536">
        <w:rPr>
          <w:rFonts w:asciiTheme="minorHAnsi" w:hAnsiTheme="minorHAnsi"/>
          <w:szCs w:val="21"/>
        </w:rPr>
        <w:t>Source: UMRD</w:t>
      </w:r>
      <w:r w:rsidRPr="00733536">
        <w:t>.</w:t>
      </w:r>
    </w:p>
    <w:tbl>
      <w:tblPr>
        <w:tblStyle w:val="Tabellasemplice41"/>
        <w:tblW w:w="4925" w:type="dxa"/>
        <w:tblCellMar>
          <w:left w:w="0" w:type="dxa"/>
          <w:right w:w="0" w:type="dxa"/>
        </w:tblCellMar>
        <w:tblLook w:val="04A0" w:firstRow="1" w:lastRow="0" w:firstColumn="1" w:lastColumn="0" w:noHBand="0" w:noVBand="1"/>
      </w:tblPr>
      <w:tblGrid>
        <w:gridCol w:w="103"/>
        <w:gridCol w:w="3359"/>
        <w:gridCol w:w="104"/>
        <w:gridCol w:w="1248"/>
        <w:gridCol w:w="111"/>
      </w:tblGrid>
      <w:tr w:rsidR="00C44FFB" w:rsidRPr="00733536" w14:paraId="296514DB" w14:textId="77777777" w:rsidTr="00C44FFB">
        <w:trPr>
          <w:gridBefore w:val="1"/>
          <w:cnfStyle w:val="100000000000" w:firstRow="1" w:lastRow="0" w:firstColumn="0" w:lastColumn="0" w:oddVBand="0" w:evenVBand="0" w:oddHBand="0" w:evenHBand="0" w:firstRowFirstColumn="0" w:firstRowLastColumn="0" w:lastRowFirstColumn="0" w:lastRowLastColumn="0"/>
          <w:wBefore w:w="105" w:type="dxa"/>
          <w:trHeight w:val="300"/>
        </w:trPr>
        <w:tc>
          <w:tcPr>
            <w:cnfStyle w:val="001000000000" w:firstRow="0" w:lastRow="0" w:firstColumn="1" w:lastColumn="0" w:oddVBand="0" w:evenVBand="0" w:oddHBand="0" w:evenHBand="0" w:firstRowFirstColumn="0" w:firstRowLastColumn="0" w:lastRowFirstColumn="0" w:lastRowLastColumn="0"/>
            <w:tcW w:w="3525" w:type="dxa"/>
            <w:gridSpan w:val="2"/>
            <w:tcBorders>
              <w:top w:val="single" w:sz="4" w:space="0" w:color="auto"/>
              <w:bottom w:val="single" w:sz="4" w:space="0" w:color="auto"/>
            </w:tcBorders>
            <w:shd w:val="clear" w:color="auto" w:fill="auto"/>
            <w:vAlign w:val="center"/>
            <w:hideMark/>
          </w:tcPr>
          <w:p w14:paraId="33693F91" w14:textId="77777777" w:rsidR="00C44FFB" w:rsidRPr="00733536" w:rsidRDefault="00C44FFB" w:rsidP="00C44FFB">
            <w:pPr>
              <w:framePr w:w="4961" w:vSpace="284" w:wrap="notBeside" w:hAnchor="margin" w:xAlign="right" w:yAlign="bottom"/>
              <w:ind w:left="-68" w:firstLine="0"/>
              <w:jc w:val="center"/>
              <w:rPr>
                <w:rFonts w:asciiTheme="minorHAnsi" w:hAnsiTheme="minorHAnsi"/>
                <w:color w:val="000000"/>
                <w:sz w:val="16"/>
                <w:szCs w:val="16"/>
              </w:rPr>
            </w:pPr>
            <w:r w:rsidRPr="00733536">
              <w:rPr>
                <w:rFonts w:asciiTheme="minorHAnsi" w:hAnsiTheme="minorHAnsi"/>
                <w:color w:val="000000"/>
                <w:sz w:val="16"/>
                <w:szCs w:val="16"/>
              </w:rPr>
              <w:t>Motivation</w:t>
            </w:r>
          </w:p>
        </w:tc>
        <w:tc>
          <w:tcPr>
            <w:tcW w:w="1295" w:type="dxa"/>
            <w:gridSpan w:val="2"/>
            <w:tcBorders>
              <w:top w:val="single" w:sz="4" w:space="0" w:color="auto"/>
              <w:bottom w:val="single" w:sz="4" w:space="0" w:color="auto"/>
            </w:tcBorders>
            <w:shd w:val="clear" w:color="auto" w:fill="auto"/>
            <w:noWrap/>
            <w:vAlign w:val="center"/>
            <w:hideMark/>
          </w:tcPr>
          <w:p w14:paraId="67B86E1C" w14:textId="77777777" w:rsidR="00C44FFB" w:rsidRPr="00733536" w:rsidRDefault="00C44FFB" w:rsidP="00C44FFB">
            <w:pPr>
              <w:framePr w:w="4961" w:vSpace="284" w:wrap="notBeside" w:hAnchor="margin" w:xAlign="right" w:yAlign="bottom"/>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Decisions</w:t>
            </w:r>
          </w:p>
        </w:tc>
      </w:tr>
      <w:tr w:rsidR="00C44FFB" w:rsidRPr="00733536" w14:paraId="0FCD9D9A" w14:textId="77777777" w:rsidTr="00C44FFB">
        <w:trPr>
          <w:gridAfter w:val="1"/>
          <w:cnfStyle w:val="000000100000" w:firstRow="0" w:lastRow="0" w:firstColumn="0" w:lastColumn="0" w:oddVBand="0" w:evenVBand="0" w:oddHBand="1" w:evenHBand="0" w:firstRowFirstColumn="0" w:firstRowLastColumn="0" w:lastRowFirstColumn="0" w:lastRowLastColumn="0"/>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tcBorders>
              <w:top w:val="single" w:sz="4" w:space="0" w:color="auto"/>
            </w:tcBorders>
            <w:shd w:val="clear" w:color="auto" w:fill="auto"/>
            <w:hideMark/>
          </w:tcPr>
          <w:p w14:paraId="25DDEE47" w14:textId="77777777"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Made in effect (home country)</w:t>
            </w:r>
          </w:p>
        </w:tc>
        <w:tc>
          <w:tcPr>
            <w:tcW w:w="1295" w:type="dxa"/>
            <w:gridSpan w:val="2"/>
            <w:tcBorders>
              <w:top w:val="single" w:sz="4" w:space="0" w:color="auto"/>
            </w:tcBorders>
            <w:shd w:val="clear" w:color="auto" w:fill="auto"/>
            <w:noWrap/>
            <w:hideMark/>
          </w:tcPr>
          <w:p w14:paraId="4E0ACFAA" w14:textId="514933C3" w:rsidR="00C44FFB" w:rsidRPr="00733536" w:rsidRDefault="00C44FFB" w:rsidP="00104B9D">
            <w:pPr>
              <w:framePr w:w="4961" w:vSpace="284" w:wrap="notBeside" w:hAnchor="margin" w:xAlign="right" w:yAlign="bottom"/>
              <w:ind w:left="113" w:right="421"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19.5</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46F792D6" w14:textId="77777777" w:rsidTr="00C44FFB">
        <w:trPr>
          <w:gridAfter w:val="1"/>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5E23E58D" w14:textId="56D99E96" w:rsidR="00C44FFB" w:rsidRPr="00733536" w:rsidRDefault="004D1B59" w:rsidP="00C44FFB">
            <w:pPr>
              <w:framePr w:w="4961" w:vSpace="284" w:wrap="notBeside" w:hAnchor="margin" w:xAlign="right" w:yAlign="bottom"/>
              <w:ind w:left="113" w:firstLine="0"/>
              <w:rPr>
                <w:rFonts w:asciiTheme="minorHAnsi" w:hAnsiTheme="minorHAnsi"/>
                <w:b w:val="0"/>
                <w:bCs w:val="0"/>
                <w:color w:val="000000"/>
                <w:sz w:val="16"/>
                <w:szCs w:val="16"/>
              </w:rPr>
            </w:pPr>
            <w:r>
              <w:rPr>
                <w:rFonts w:asciiTheme="minorHAnsi" w:hAnsiTheme="minorHAnsi"/>
                <w:b w:val="0"/>
                <w:bCs w:val="0"/>
                <w:color w:val="000000"/>
                <w:sz w:val="16"/>
                <w:szCs w:val="16"/>
              </w:rPr>
              <w:t>Company’s</w:t>
            </w:r>
            <w:r w:rsidR="00C44FFB" w:rsidRPr="00733536">
              <w:rPr>
                <w:rFonts w:asciiTheme="minorHAnsi" w:hAnsiTheme="minorHAnsi"/>
                <w:b w:val="0"/>
                <w:bCs w:val="0"/>
                <w:color w:val="000000"/>
                <w:sz w:val="16"/>
                <w:szCs w:val="16"/>
              </w:rPr>
              <w:t xml:space="preserve"> organi</w:t>
            </w:r>
            <w:r w:rsidR="003100F8">
              <w:rPr>
                <w:rFonts w:asciiTheme="minorHAnsi" w:hAnsiTheme="minorHAnsi"/>
                <w:b w:val="0"/>
                <w:bCs w:val="0"/>
                <w:color w:val="000000"/>
                <w:sz w:val="16"/>
                <w:szCs w:val="16"/>
              </w:rPr>
              <w:t>s</w:t>
            </w:r>
            <w:r w:rsidR="00C44FFB" w:rsidRPr="00733536">
              <w:rPr>
                <w:rFonts w:asciiTheme="minorHAnsi" w:hAnsiTheme="minorHAnsi"/>
                <w:b w:val="0"/>
                <w:bCs w:val="0"/>
                <w:color w:val="000000"/>
                <w:sz w:val="16"/>
                <w:szCs w:val="16"/>
              </w:rPr>
              <w:t>ational restructur</w:t>
            </w:r>
            <w:r w:rsidR="003100F8">
              <w:rPr>
                <w:rFonts w:asciiTheme="minorHAnsi" w:hAnsiTheme="minorHAnsi"/>
                <w:b w:val="0"/>
                <w:bCs w:val="0"/>
                <w:color w:val="000000"/>
                <w:sz w:val="16"/>
                <w:szCs w:val="16"/>
              </w:rPr>
              <w:t>ing</w:t>
            </w:r>
            <w:r w:rsidR="00C44FFB" w:rsidRPr="00733536">
              <w:rPr>
                <w:rFonts w:asciiTheme="minorHAnsi" w:hAnsiTheme="minorHAnsi"/>
                <w:b w:val="0"/>
                <w:bCs w:val="0"/>
                <w:color w:val="000000"/>
                <w:sz w:val="16"/>
                <w:szCs w:val="16"/>
              </w:rPr>
              <w:t xml:space="preserve"> </w:t>
            </w:r>
          </w:p>
        </w:tc>
        <w:tc>
          <w:tcPr>
            <w:tcW w:w="1295" w:type="dxa"/>
            <w:gridSpan w:val="2"/>
            <w:shd w:val="clear" w:color="auto" w:fill="auto"/>
            <w:noWrap/>
            <w:hideMark/>
          </w:tcPr>
          <w:p w14:paraId="222A2C70" w14:textId="005398A2" w:rsidR="00C44FFB" w:rsidRPr="00733536" w:rsidRDefault="00C44FFB" w:rsidP="00104B9D">
            <w:pPr>
              <w:framePr w:w="4961" w:vSpace="284" w:wrap="notBeside" w:hAnchor="margin" w:xAlign="right" w:yAlign="bottom"/>
              <w:ind w:left="113" w:right="421"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17.6</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27A0EC9B" w14:textId="77777777" w:rsidTr="00C44FFB">
        <w:trPr>
          <w:gridAfter w:val="1"/>
          <w:cnfStyle w:val="000000100000" w:firstRow="0" w:lastRow="0" w:firstColumn="0" w:lastColumn="0" w:oddVBand="0" w:evenVBand="0" w:oddHBand="1" w:evenHBand="0" w:firstRowFirstColumn="0" w:firstRowLastColumn="0" w:lastRowFirstColumn="0" w:lastRowLastColumn="0"/>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22C906E4" w14:textId="77777777"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Delivery time (including delays)</w:t>
            </w:r>
          </w:p>
        </w:tc>
        <w:tc>
          <w:tcPr>
            <w:tcW w:w="1295" w:type="dxa"/>
            <w:gridSpan w:val="2"/>
            <w:shd w:val="clear" w:color="auto" w:fill="auto"/>
            <w:noWrap/>
            <w:hideMark/>
          </w:tcPr>
          <w:p w14:paraId="151A28EE" w14:textId="22133BB2" w:rsidR="00C44FFB" w:rsidRPr="00733536" w:rsidRDefault="00C44FFB" w:rsidP="00104B9D">
            <w:pPr>
              <w:framePr w:w="4961" w:vSpace="284" w:wrap="notBeside" w:hAnchor="margin" w:xAlign="right" w:yAlign="bottom"/>
              <w:ind w:left="113" w:right="421"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17.3</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3A4D1B56" w14:textId="77777777" w:rsidTr="00C44FFB">
        <w:trPr>
          <w:gridAfter w:val="1"/>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63A1CE59" w14:textId="75A5B562"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Customer responsiveness/vicinity</w:t>
            </w:r>
            <w:r w:rsidR="003100F8">
              <w:rPr>
                <w:rFonts w:asciiTheme="minorHAnsi" w:hAnsiTheme="minorHAnsi"/>
                <w:b w:val="0"/>
                <w:bCs w:val="0"/>
                <w:color w:val="000000"/>
                <w:sz w:val="16"/>
                <w:szCs w:val="16"/>
              </w:rPr>
              <w:t xml:space="preserve"> - h</w:t>
            </w:r>
            <w:r w:rsidRPr="00733536">
              <w:rPr>
                <w:rFonts w:asciiTheme="minorHAnsi" w:hAnsiTheme="minorHAnsi"/>
                <w:b w:val="0"/>
                <w:bCs w:val="0"/>
                <w:color w:val="000000"/>
                <w:sz w:val="16"/>
                <w:szCs w:val="16"/>
              </w:rPr>
              <w:t>igher service quality</w:t>
            </w:r>
          </w:p>
        </w:tc>
        <w:tc>
          <w:tcPr>
            <w:tcW w:w="1295" w:type="dxa"/>
            <w:gridSpan w:val="2"/>
            <w:shd w:val="clear" w:color="auto" w:fill="auto"/>
            <w:noWrap/>
            <w:hideMark/>
          </w:tcPr>
          <w:p w14:paraId="51761694" w14:textId="56E5E206" w:rsidR="00C44FFB" w:rsidRPr="00733536" w:rsidRDefault="00C44FFB" w:rsidP="00104B9D">
            <w:pPr>
              <w:framePr w:w="4961" w:vSpace="284" w:wrap="notBeside" w:hAnchor="margin" w:xAlign="right" w:yAlign="bottom"/>
              <w:ind w:left="113" w:right="421"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17.1</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45434A6E" w14:textId="77777777" w:rsidTr="00C44FFB">
        <w:trPr>
          <w:gridAfter w:val="1"/>
          <w:cnfStyle w:val="000000100000" w:firstRow="0" w:lastRow="0" w:firstColumn="0" w:lastColumn="0" w:oddVBand="0" w:evenVBand="0" w:oddHBand="1" w:evenHBand="0" w:firstRowFirstColumn="0" w:firstRowLastColumn="0" w:lastRowFirstColumn="0" w:lastRowLastColumn="0"/>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3B1E777A" w14:textId="77777777"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Logistics costs (including freight costs)</w:t>
            </w:r>
          </w:p>
        </w:tc>
        <w:tc>
          <w:tcPr>
            <w:tcW w:w="1295" w:type="dxa"/>
            <w:gridSpan w:val="2"/>
            <w:shd w:val="clear" w:color="auto" w:fill="auto"/>
            <w:noWrap/>
            <w:hideMark/>
          </w:tcPr>
          <w:p w14:paraId="1ADA56DE" w14:textId="4C1CD78C" w:rsidR="00C44FFB" w:rsidRPr="00733536" w:rsidRDefault="00C44FFB" w:rsidP="00104B9D">
            <w:pPr>
              <w:framePr w:w="4961" w:vSpace="284" w:wrap="notBeside" w:hAnchor="margin" w:xAlign="right" w:yAlign="bottom"/>
              <w:ind w:left="113" w:right="421"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16.3</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4CEF312D" w14:textId="77777777" w:rsidTr="00C44FFB">
        <w:trPr>
          <w:gridAfter w:val="1"/>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418B3840" w14:textId="77777777"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Off-shored poor product quality</w:t>
            </w:r>
          </w:p>
        </w:tc>
        <w:tc>
          <w:tcPr>
            <w:tcW w:w="1295" w:type="dxa"/>
            <w:gridSpan w:val="2"/>
            <w:shd w:val="clear" w:color="auto" w:fill="auto"/>
            <w:noWrap/>
            <w:hideMark/>
          </w:tcPr>
          <w:p w14:paraId="14F9C45F" w14:textId="0985E7C2" w:rsidR="00C44FFB" w:rsidRPr="00733536" w:rsidRDefault="00C44FFB" w:rsidP="00104B9D">
            <w:pPr>
              <w:framePr w:w="4961" w:vSpace="284" w:wrap="notBeside" w:hAnchor="margin" w:xAlign="right" w:yAlign="bottom"/>
              <w:ind w:left="113" w:right="421"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16.1</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6BBF8C31" w14:textId="77777777" w:rsidTr="00C44FFB">
        <w:trPr>
          <w:gridAfter w:val="1"/>
          <w:cnfStyle w:val="000000100000" w:firstRow="0" w:lastRow="0" w:firstColumn="0" w:lastColumn="0" w:oddVBand="0" w:evenVBand="0" w:oddHBand="1" w:evenHBand="0" w:firstRowFirstColumn="0" w:firstRowLastColumn="0" w:lastRowFirstColumn="0" w:lastRowLastColumn="0"/>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0F3E5BD3" w14:textId="77777777"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Adoption of automation and/or other innovative product/process technologies (excluding 3D printing/additive manufacturing)</w:t>
            </w:r>
          </w:p>
        </w:tc>
        <w:tc>
          <w:tcPr>
            <w:tcW w:w="1295" w:type="dxa"/>
            <w:gridSpan w:val="2"/>
            <w:shd w:val="clear" w:color="auto" w:fill="auto"/>
            <w:noWrap/>
            <w:hideMark/>
          </w:tcPr>
          <w:p w14:paraId="74F4BB3A" w14:textId="7118C568" w:rsidR="00C44FFB" w:rsidRPr="00733536" w:rsidRDefault="00C44FFB" w:rsidP="00104B9D">
            <w:pPr>
              <w:framePr w:w="4961" w:vSpace="284" w:wrap="notBeside" w:hAnchor="margin" w:xAlign="right" w:yAlign="bottom"/>
              <w:ind w:left="113" w:right="421"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13.1</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02396064" w14:textId="77777777" w:rsidTr="00C44FFB">
        <w:trPr>
          <w:gridAfter w:val="1"/>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2E7211D6" w14:textId="77777777"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 xml:space="preserve">Total cost of ownership </w:t>
            </w:r>
          </w:p>
        </w:tc>
        <w:tc>
          <w:tcPr>
            <w:tcW w:w="1295" w:type="dxa"/>
            <w:gridSpan w:val="2"/>
            <w:shd w:val="clear" w:color="auto" w:fill="auto"/>
            <w:noWrap/>
            <w:hideMark/>
          </w:tcPr>
          <w:p w14:paraId="69231715" w14:textId="5E5A0F01" w:rsidR="00C44FFB" w:rsidRPr="00733536" w:rsidRDefault="00C44FFB" w:rsidP="00104B9D">
            <w:pPr>
              <w:framePr w:w="4961" w:vSpace="284" w:wrap="notBeside" w:hAnchor="margin" w:xAlign="right" w:yAlign="bottom"/>
              <w:ind w:left="113" w:right="421"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11.8</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656E970A" w14:textId="77777777" w:rsidTr="00C44FFB">
        <w:trPr>
          <w:gridAfter w:val="1"/>
          <w:cnfStyle w:val="000000100000" w:firstRow="0" w:lastRow="0" w:firstColumn="0" w:lastColumn="0" w:oddVBand="0" w:evenVBand="0" w:oddHBand="1" w:evenHBand="0" w:firstRowFirstColumn="0" w:firstRowLastColumn="0" w:lastRowFirstColumn="0" w:lastRowLastColumn="0"/>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6E33950C" w14:textId="525E99F4"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 xml:space="preserve">Vicinity to </w:t>
            </w:r>
            <w:r w:rsidR="003100F8">
              <w:rPr>
                <w:rFonts w:asciiTheme="minorHAnsi" w:hAnsiTheme="minorHAnsi"/>
                <w:b w:val="0"/>
                <w:bCs w:val="0"/>
                <w:color w:val="000000"/>
                <w:sz w:val="16"/>
                <w:szCs w:val="16"/>
              </w:rPr>
              <w:t>e</w:t>
            </w:r>
            <w:r w:rsidRPr="00733536">
              <w:rPr>
                <w:rFonts w:asciiTheme="minorHAnsi" w:hAnsiTheme="minorHAnsi"/>
                <w:b w:val="0"/>
                <w:bCs w:val="0"/>
                <w:color w:val="000000"/>
                <w:sz w:val="16"/>
                <w:szCs w:val="16"/>
              </w:rPr>
              <w:t xml:space="preserve">ngineering &amp; production + </w:t>
            </w:r>
            <w:r w:rsidR="003100F8">
              <w:rPr>
                <w:rFonts w:asciiTheme="minorHAnsi" w:hAnsiTheme="minorHAnsi"/>
                <w:b w:val="0"/>
                <w:bCs w:val="0"/>
                <w:color w:val="000000"/>
                <w:sz w:val="16"/>
                <w:szCs w:val="16"/>
              </w:rPr>
              <w:t>company</w:t>
            </w:r>
            <w:r w:rsidRPr="00733536">
              <w:rPr>
                <w:rFonts w:asciiTheme="minorHAnsi" w:hAnsiTheme="minorHAnsi"/>
                <w:b w:val="0"/>
                <w:bCs w:val="0"/>
                <w:color w:val="000000"/>
                <w:sz w:val="16"/>
                <w:szCs w:val="16"/>
              </w:rPr>
              <w:t xml:space="preserve"> strategies focused on </w:t>
            </w:r>
            <w:r w:rsidR="003100F8">
              <w:rPr>
                <w:rFonts w:asciiTheme="minorHAnsi" w:hAnsiTheme="minorHAnsi"/>
                <w:b w:val="0"/>
                <w:bCs w:val="0"/>
                <w:color w:val="000000"/>
                <w:sz w:val="16"/>
                <w:szCs w:val="16"/>
              </w:rPr>
              <w:t>p</w:t>
            </w:r>
            <w:r w:rsidRPr="00733536">
              <w:rPr>
                <w:rFonts w:asciiTheme="minorHAnsi" w:hAnsiTheme="minorHAnsi"/>
                <w:b w:val="0"/>
                <w:bCs w:val="0"/>
                <w:color w:val="000000"/>
                <w:sz w:val="16"/>
                <w:szCs w:val="16"/>
              </w:rPr>
              <w:t>roduct and process innovations</w:t>
            </w:r>
          </w:p>
        </w:tc>
        <w:tc>
          <w:tcPr>
            <w:tcW w:w="1295" w:type="dxa"/>
            <w:gridSpan w:val="2"/>
            <w:shd w:val="clear" w:color="auto" w:fill="auto"/>
            <w:noWrap/>
            <w:hideMark/>
          </w:tcPr>
          <w:p w14:paraId="4BE9DA75" w14:textId="3FFE8CAE" w:rsidR="00C44FFB" w:rsidRPr="00733536" w:rsidRDefault="00C44FFB" w:rsidP="00104B9D">
            <w:pPr>
              <w:framePr w:w="4961" w:vSpace="284" w:wrap="notBeside" w:hAnchor="margin" w:xAlign="right" w:yAlign="bottom"/>
              <w:ind w:left="113" w:right="421"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7.9</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107E289F" w14:textId="77777777" w:rsidTr="00C44FFB">
        <w:trPr>
          <w:gridAfter w:val="1"/>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5EA540FC" w14:textId="77777777"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Increasing labour cost in the host country (including higher productivity in the home country)</w:t>
            </w:r>
          </w:p>
        </w:tc>
        <w:tc>
          <w:tcPr>
            <w:tcW w:w="1295" w:type="dxa"/>
            <w:gridSpan w:val="2"/>
            <w:shd w:val="clear" w:color="auto" w:fill="auto"/>
            <w:noWrap/>
            <w:hideMark/>
          </w:tcPr>
          <w:p w14:paraId="04BAE209" w14:textId="2367B798" w:rsidR="00C44FFB" w:rsidRPr="00733536" w:rsidRDefault="00C44FFB" w:rsidP="00104B9D">
            <w:pPr>
              <w:framePr w:w="4961" w:vSpace="284" w:wrap="notBeside" w:hAnchor="margin" w:xAlign="right" w:yAlign="bottom"/>
              <w:ind w:left="113" w:right="421"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7.6</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6CCA0A66" w14:textId="77777777" w:rsidTr="00C44FFB">
        <w:trPr>
          <w:gridAfter w:val="1"/>
          <w:cnfStyle w:val="000000100000" w:firstRow="0" w:lastRow="0" w:firstColumn="0" w:lastColumn="0" w:oddVBand="0" w:evenVBand="0" w:oddHBand="1" w:evenHBand="0" w:firstRowFirstColumn="0" w:firstRowLastColumn="0" w:lastRowFirstColumn="0" w:lastRowLastColumn="0"/>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52E91BD3" w14:textId="1244FA9D"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Organi</w:t>
            </w:r>
            <w:r w:rsidR="003100F8">
              <w:rPr>
                <w:rFonts w:asciiTheme="minorHAnsi" w:hAnsiTheme="minorHAnsi"/>
                <w:b w:val="0"/>
                <w:bCs w:val="0"/>
                <w:color w:val="000000"/>
                <w:sz w:val="16"/>
                <w:szCs w:val="16"/>
              </w:rPr>
              <w:t>s</w:t>
            </w:r>
            <w:r w:rsidRPr="00733536">
              <w:rPr>
                <w:rFonts w:asciiTheme="minorHAnsi" w:hAnsiTheme="minorHAnsi"/>
                <w:b w:val="0"/>
                <w:bCs w:val="0"/>
                <w:color w:val="000000"/>
                <w:sz w:val="16"/>
                <w:szCs w:val="16"/>
              </w:rPr>
              <w:t>ational flexibility</w:t>
            </w:r>
          </w:p>
        </w:tc>
        <w:tc>
          <w:tcPr>
            <w:tcW w:w="1295" w:type="dxa"/>
            <w:gridSpan w:val="2"/>
            <w:shd w:val="clear" w:color="auto" w:fill="auto"/>
            <w:noWrap/>
            <w:hideMark/>
          </w:tcPr>
          <w:p w14:paraId="53DD531B" w14:textId="5CFB0787" w:rsidR="00C44FFB" w:rsidRPr="00733536" w:rsidRDefault="00C44FFB" w:rsidP="00104B9D">
            <w:pPr>
              <w:framePr w:w="4961" w:vSpace="284" w:wrap="notBeside" w:hAnchor="margin" w:xAlign="right" w:yAlign="bottom"/>
              <w:ind w:left="113" w:right="421"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7.4</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21E1C4C3" w14:textId="77777777" w:rsidTr="00C44FFB">
        <w:trPr>
          <w:gridAfter w:val="1"/>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1DFDD1DC" w14:textId="7B4F0BC2"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Cost and difficulties in controlling the host country activities</w:t>
            </w:r>
          </w:p>
        </w:tc>
        <w:tc>
          <w:tcPr>
            <w:tcW w:w="1295" w:type="dxa"/>
            <w:gridSpan w:val="2"/>
            <w:shd w:val="clear" w:color="auto" w:fill="auto"/>
            <w:noWrap/>
            <w:hideMark/>
          </w:tcPr>
          <w:p w14:paraId="2D68A07E" w14:textId="255CA08F" w:rsidR="00C44FFB" w:rsidRPr="00733536" w:rsidRDefault="00C44FFB" w:rsidP="00104B9D">
            <w:pPr>
              <w:framePr w:w="4961" w:vSpace="284" w:wrap="notBeside" w:hAnchor="margin" w:xAlign="right" w:yAlign="bottom"/>
              <w:ind w:left="113" w:right="421"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6.8</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63A49FD2" w14:textId="77777777" w:rsidTr="00C44FFB">
        <w:trPr>
          <w:gridAfter w:val="1"/>
          <w:cnfStyle w:val="000000100000" w:firstRow="0" w:lastRow="0" w:firstColumn="0" w:lastColumn="0" w:oddVBand="0" w:evenVBand="0" w:oddHBand="1" w:evenHBand="0" w:firstRowFirstColumn="0" w:firstRowLastColumn="0" w:lastRowFirstColumn="0" w:lastRowLastColumn="0"/>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6D462F26" w14:textId="2283108F"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Government incentives (</w:t>
            </w:r>
            <w:r w:rsidR="003100F8">
              <w:rPr>
                <w:rFonts w:asciiTheme="minorHAnsi" w:hAnsiTheme="minorHAnsi"/>
                <w:b w:val="0"/>
                <w:bCs w:val="0"/>
                <w:color w:val="000000"/>
                <w:sz w:val="16"/>
                <w:szCs w:val="16"/>
              </w:rPr>
              <w:t>in</w:t>
            </w:r>
            <w:r w:rsidRPr="00733536">
              <w:rPr>
                <w:rFonts w:asciiTheme="minorHAnsi" w:hAnsiTheme="minorHAnsi"/>
                <w:b w:val="0"/>
                <w:bCs w:val="0"/>
                <w:color w:val="000000"/>
                <w:sz w:val="16"/>
                <w:szCs w:val="16"/>
              </w:rPr>
              <w:t xml:space="preserve"> the home country)</w:t>
            </w:r>
          </w:p>
        </w:tc>
        <w:tc>
          <w:tcPr>
            <w:tcW w:w="1295" w:type="dxa"/>
            <w:gridSpan w:val="2"/>
            <w:shd w:val="clear" w:color="auto" w:fill="auto"/>
            <w:noWrap/>
            <w:hideMark/>
          </w:tcPr>
          <w:p w14:paraId="388BBB7E" w14:textId="6D88519B" w:rsidR="00C44FFB" w:rsidRPr="00733536" w:rsidRDefault="00C44FFB" w:rsidP="00104B9D">
            <w:pPr>
              <w:framePr w:w="4961" w:vSpace="284" w:wrap="notBeside" w:hAnchor="margin" w:xAlign="right" w:yAlign="bottom"/>
              <w:ind w:left="113" w:right="421"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5.8</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0E291B79" w14:textId="77777777" w:rsidTr="00C44FFB">
        <w:trPr>
          <w:gridAfter w:val="1"/>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3D942D55" w14:textId="191EF3D3"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 xml:space="preserve">Poor </w:t>
            </w:r>
            <w:r w:rsidR="003100F8">
              <w:rPr>
                <w:rFonts w:asciiTheme="minorHAnsi" w:hAnsiTheme="minorHAnsi"/>
                <w:b w:val="0"/>
                <w:bCs w:val="0"/>
                <w:color w:val="000000"/>
                <w:sz w:val="16"/>
                <w:szCs w:val="16"/>
              </w:rPr>
              <w:t>company</w:t>
            </w:r>
            <w:r w:rsidRPr="00733536">
              <w:rPr>
                <w:rFonts w:asciiTheme="minorHAnsi" w:hAnsiTheme="minorHAnsi"/>
                <w:b w:val="0"/>
                <w:bCs w:val="0"/>
                <w:color w:val="000000"/>
                <w:sz w:val="16"/>
                <w:szCs w:val="16"/>
              </w:rPr>
              <w:t xml:space="preserve"> performance and global financial and economic crisis</w:t>
            </w:r>
          </w:p>
        </w:tc>
        <w:tc>
          <w:tcPr>
            <w:tcW w:w="1295" w:type="dxa"/>
            <w:gridSpan w:val="2"/>
            <w:shd w:val="clear" w:color="auto" w:fill="auto"/>
            <w:noWrap/>
            <w:hideMark/>
          </w:tcPr>
          <w:p w14:paraId="789BDAE2" w14:textId="21AFA856" w:rsidR="00C44FFB" w:rsidRPr="00733536" w:rsidRDefault="00C44FFB" w:rsidP="00104B9D">
            <w:pPr>
              <w:framePr w:w="4961" w:vSpace="284" w:wrap="notBeside" w:hAnchor="margin" w:xAlign="right" w:yAlign="bottom"/>
              <w:ind w:left="113" w:right="421"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5.8</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356C2B56" w14:textId="77777777" w:rsidTr="00C44FFB">
        <w:trPr>
          <w:gridAfter w:val="1"/>
          <w:cnfStyle w:val="000000100000" w:firstRow="0" w:lastRow="0" w:firstColumn="0" w:lastColumn="0" w:oddVBand="0" w:evenVBand="0" w:oddHBand="1" w:evenHBand="0" w:firstRowFirstColumn="0" w:firstRowLastColumn="0" w:lastRowFirstColumn="0" w:lastRowLastColumn="0"/>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5A0F9EBD" w14:textId="537CB021"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 xml:space="preserve">Availability of research centres and </w:t>
            </w:r>
            <w:r w:rsidR="003100F8">
              <w:rPr>
                <w:rFonts w:asciiTheme="minorHAnsi" w:hAnsiTheme="minorHAnsi"/>
                <w:b w:val="0"/>
                <w:bCs w:val="0"/>
                <w:color w:val="000000"/>
                <w:sz w:val="16"/>
                <w:szCs w:val="16"/>
              </w:rPr>
              <w:t>u</w:t>
            </w:r>
            <w:r w:rsidRPr="00733536">
              <w:rPr>
                <w:rFonts w:asciiTheme="minorHAnsi" w:hAnsiTheme="minorHAnsi"/>
                <w:b w:val="0"/>
                <w:bCs w:val="0"/>
                <w:color w:val="000000"/>
                <w:sz w:val="16"/>
                <w:szCs w:val="16"/>
              </w:rPr>
              <w:t>niversities in the home country</w:t>
            </w:r>
          </w:p>
        </w:tc>
        <w:tc>
          <w:tcPr>
            <w:tcW w:w="1295" w:type="dxa"/>
            <w:gridSpan w:val="2"/>
            <w:shd w:val="clear" w:color="auto" w:fill="auto"/>
            <w:noWrap/>
            <w:hideMark/>
          </w:tcPr>
          <w:p w14:paraId="244991D4" w14:textId="6AD9BCFD" w:rsidR="00C44FFB" w:rsidRPr="00733536" w:rsidRDefault="00C44FFB" w:rsidP="00104B9D">
            <w:pPr>
              <w:framePr w:w="4961" w:vSpace="284" w:wrap="notBeside" w:hAnchor="margin" w:xAlign="right" w:yAlign="bottom"/>
              <w:ind w:left="113" w:right="421"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4.8</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2EAED6E1" w14:textId="77777777" w:rsidTr="00C44FFB">
        <w:trPr>
          <w:gridAfter w:val="1"/>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11C75A5C" w14:textId="77777777"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Availability of production capacity in the home country</w:t>
            </w:r>
          </w:p>
        </w:tc>
        <w:tc>
          <w:tcPr>
            <w:tcW w:w="1295" w:type="dxa"/>
            <w:gridSpan w:val="2"/>
            <w:shd w:val="clear" w:color="auto" w:fill="auto"/>
            <w:noWrap/>
            <w:hideMark/>
          </w:tcPr>
          <w:p w14:paraId="27E24647" w14:textId="3E341645" w:rsidR="00C44FFB" w:rsidRPr="00733536" w:rsidRDefault="00C44FFB" w:rsidP="00104B9D">
            <w:pPr>
              <w:framePr w:w="4961" w:vSpace="284" w:wrap="notBeside" w:hAnchor="margin" w:xAlign="right" w:yAlign="bottom"/>
              <w:ind w:left="113" w:right="421"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4.5</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24A19D9A" w14:textId="77777777" w:rsidTr="00C44FFB">
        <w:trPr>
          <w:gridAfter w:val="1"/>
          <w:cnfStyle w:val="000000100000" w:firstRow="0" w:lastRow="0" w:firstColumn="0" w:lastColumn="0" w:oddVBand="0" w:evenVBand="0" w:oddHBand="1" w:evenHBand="0" w:firstRowFirstColumn="0" w:firstRowLastColumn="0" w:lastRowFirstColumn="0" w:lastRowLastColumn="0"/>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04763B5A" w14:textId="02C62139"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 xml:space="preserve">Host country employees’ low skills and </w:t>
            </w:r>
            <w:r w:rsidR="003100F8">
              <w:rPr>
                <w:rFonts w:asciiTheme="minorHAnsi" w:hAnsiTheme="minorHAnsi"/>
                <w:b w:val="0"/>
                <w:bCs w:val="0"/>
                <w:color w:val="000000"/>
                <w:sz w:val="16"/>
                <w:szCs w:val="16"/>
              </w:rPr>
              <w:t>‘</w:t>
            </w:r>
            <w:r w:rsidRPr="00733536">
              <w:rPr>
                <w:rFonts w:asciiTheme="minorHAnsi" w:hAnsiTheme="minorHAnsi"/>
                <w:b w:val="0"/>
                <w:bCs w:val="0"/>
                <w:color w:val="000000"/>
                <w:sz w:val="16"/>
                <w:szCs w:val="16"/>
              </w:rPr>
              <w:t>work attitude</w:t>
            </w:r>
            <w:r w:rsidR="003100F8">
              <w:rPr>
                <w:rFonts w:asciiTheme="minorHAnsi" w:hAnsiTheme="minorHAnsi"/>
                <w:b w:val="0"/>
                <w:bCs w:val="0"/>
                <w:color w:val="000000"/>
                <w:sz w:val="16"/>
                <w:szCs w:val="16"/>
              </w:rPr>
              <w:t>’</w:t>
            </w:r>
          </w:p>
        </w:tc>
        <w:tc>
          <w:tcPr>
            <w:tcW w:w="1295" w:type="dxa"/>
            <w:gridSpan w:val="2"/>
            <w:shd w:val="clear" w:color="auto" w:fill="auto"/>
            <w:noWrap/>
            <w:hideMark/>
          </w:tcPr>
          <w:p w14:paraId="46CF955B" w14:textId="6F471F51" w:rsidR="00C44FFB" w:rsidRPr="00733536" w:rsidRDefault="00C44FFB" w:rsidP="00104B9D">
            <w:pPr>
              <w:framePr w:w="4961" w:vSpace="284" w:wrap="notBeside" w:hAnchor="margin" w:xAlign="right" w:yAlign="bottom"/>
              <w:ind w:left="113" w:right="421"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4.4</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3011C048" w14:textId="77777777" w:rsidTr="00C44FFB">
        <w:trPr>
          <w:gridAfter w:val="1"/>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6727D2BE" w14:textId="77777777"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 xml:space="preserve">Minimum order quantity (including difficulties in forecasting sales volumes) </w:t>
            </w:r>
          </w:p>
        </w:tc>
        <w:tc>
          <w:tcPr>
            <w:tcW w:w="1295" w:type="dxa"/>
            <w:gridSpan w:val="2"/>
            <w:shd w:val="clear" w:color="auto" w:fill="auto"/>
            <w:noWrap/>
            <w:hideMark/>
          </w:tcPr>
          <w:p w14:paraId="7DCCACE5" w14:textId="168966DB" w:rsidR="00C44FFB" w:rsidRPr="00733536" w:rsidRDefault="00C44FFB" w:rsidP="00104B9D">
            <w:pPr>
              <w:framePr w:w="4961" w:vSpace="284" w:wrap="notBeside" w:hAnchor="margin" w:xAlign="right" w:yAlign="bottom"/>
              <w:ind w:left="113" w:right="421"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4.3</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74115316" w14:textId="77777777" w:rsidTr="00C44FFB">
        <w:trPr>
          <w:gridAfter w:val="1"/>
          <w:cnfStyle w:val="000000100000" w:firstRow="0" w:lastRow="0" w:firstColumn="0" w:lastColumn="0" w:oddVBand="0" w:evenVBand="0" w:oddHBand="1" w:evenHBand="0" w:firstRowFirstColumn="0" w:firstRowLastColumn="0" w:lastRowFirstColumn="0" w:lastRowLastColumn="0"/>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340A63FF" w14:textId="77777777"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Intellectual property issues (including counterfeiting)</w:t>
            </w:r>
          </w:p>
        </w:tc>
        <w:tc>
          <w:tcPr>
            <w:tcW w:w="1295" w:type="dxa"/>
            <w:gridSpan w:val="2"/>
            <w:shd w:val="clear" w:color="auto" w:fill="auto"/>
            <w:noWrap/>
            <w:hideMark/>
          </w:tcPr>
          <w:p w14:paraId="0DAAFF50" w14:textId="303B9FEC" w:rsidR="00C44FFB" w:rsidRPr="00733536" w:rsidRDefault="00C44FFB" w:rsidP="00104B9D">
            <w:pPr>
              <w:framePr w:w="4961" w:vSpace="284" w:wrap="notBeside" w:hAnchor="margin" w:xAlign="right" w:yAlign="bottom"/>
              <w:ind w:left="113" w:right="421"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3.4</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62BBCC14" w14:textId="77777777" w:rsidTr="00C44FFB">
        <w:trPr>
          <w:gridAfter w:val="1"/>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57AD6794" w14:textId="77777777"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Entrepreneurs’ emotional attachment to the home country</w:t>
            </w:r>
          </w:p>
        </w:tc>
        <w:tc>
          <w:tcPr>
            <w:tcW w:w="1295" w:type="dxa"/>
            <w:gridSpan w:val="2"/>
            <w:shd w:val="clear" w:color="auto" w:fill="auto"/>
            <w:noWrap/>
            <w:hideMark/>
          </w:tcPr>
          <w:p w14:paraId="326B8AE2" w14:textId="7A72FBB2" w:rsidR="00C44FFB" w:rsidRPr="00733536" w:rsidRDefault="00C44FFB" w:rsidP="00104B9D">
            <w:pPr>
              <w:framePr w:w="4961" w:vSpace="284" w:wrap="notBeside" w:hAnchor="margin" w:xAlign="right" w:yAlign="bottom"/>
              <w:ind w:left="113" w:right="421"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2.5</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1199CFCC" w14:textId="77777777" w:rsidTr="00C44FFB">
        <w:trPr>
          <w:gridAfter w:val="1"/>
          <w:cnfStyle w:val="000000100000" w:firstRow="0" w:lastRow="0" w:firstColumn="0" w:lastColumn="0" w:oddVBand="0" w:evenVBand="0" w:oddHBand="1" w:evenHBand="0" w:firstRowFirstColumn="0" w:firstRowLastColumn="0" w:lastRowFirstColumn="0" w:lastRowLastColumn="0"/>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5990FC26" w14:textId="77777777"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Supply chain risks (different from exchange rate fluctuations)</w:t>
            </w:r>
          </w:p>
        </w:tc>
        <w:tc>
          <w:tcPr>
            <w:tcW w:w="1295" w:type="dxa"/>
            <w:gridSpan w:val="2"/>
            <w:shd w:val="clear" w:color="auto" w:fill="auto"/>
            <w:noWrap/>
            <w:hideMark/>
          </w:tcPr>
          <w:p w14:paraId="2A261253" w14:textId="282EC923" w:rsidR="00C44FFB" w:rsidRPr="00733536" w:rsidRDefault="00C44FFB" w:rsidP="00104B9D">
            <w:pPr>
              <w:framePr w:w="4961" w:vSpace="284" w:wrap="notBeside" w:hAnchor="margin" w:xAlign="right" w:yAlign="bottom"/>
              <w:ind w:left="113" w:right="421"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2.2</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45754435" w14:textId="77777777" w:rsidTr="00C44FFB">
        <w:trPr>
          <w:gridAfter w:val="1"/>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54C59030" w14:textId="77777777"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Poor attractiveness of host country</w:t>
            </w:r>
          </w:p>
        </w:tc>
        <w:tc>
          <w:tcPr>
            <w:tcW w:w="1295" w:type="dxa"/>
            <w:gridSpan w:val="2"/>
            <w:shd w:val="clear" w:color="auto" w:fill="auto"/>
            <w:noWrap/>
            <w:hideMark/>
          </w:tcPr>
          <w:p w14:paraId="3A395B6D" w14:textId="25E705BB" w:rsidR="00C44FFB" w:rsidRPr="00733536" w:rsidRDefault="00C44FFB" w:rsidP="00104B9D">
            <w:pPr>
              <w:framePr w:w="4961" w:vSpace="284" w:wrap="notBeside" w:hAnchor="margin" w:xAlign="right" w:yAlign="bottom"/>
              <w:ind w:left="113" w:right="421"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2.2</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7E831366" w14:textId="77777777" w:rsidTr="00C44FFB">
        <w:trPr>
          <w:gridAfter w:val="1"/>
          <w:cnfStyle w:val="000000100000" w:firstRow="0" w:lastRow="0" w:firstColumn="0" w:lastColumn="0" w:oddVBand="0" w:evenVBand="0" w:oddHBand="1" w:evenHBand="0" w:firstRowFirstColumn="0" w:firstRowLastColumn="0" w:lastRowFirstColumn="0" w:lastRowLastColumn="0"/>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3EC67667" w14:textId="77777777"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Social pressure in the home country (e.g. trade unions)</w:t>
            </w:r>
          </w:p>
        </w:tc>
        <w:tc>
          <w:tcPr>
            <w:tcW w:w="1295" w:type="dxa"/>
            <w:gridSpan w:val="2"/>
            <w:shd w:val="clear" w:color="auto" w:fill="auto"/>
            <w:noWrap/>
            <w:hideMark/>
          </w:tcPr>
          <w:p w14:paraId="5EB91C64" w14:textId="2AD38B63" w:rsidR="00C44FFB" w:rsidRPr="00733536" w:rsidRDefault="00C44FFB" w:rsidP="00104B9D">
            <w:pPr>
              <w:framePr w:w="4961" w:vSpace="284" w:wrap="notBeside" w:hAnchor="margin" w:xAlign="right" w:yAlign="bottom"/>
              <w:ind w:left="113" w:right="421"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2.2</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6C6EED13" w14:textId="77777777" w:rsidTr="00C44FFB">
        <w:trPr>
          <w:gridAfter w:val="1"/>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058C1F8D" w14:textId="77777777"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Duties and tariffs</w:t>
            </w:r>
          </w:p>
        </w:tc>
        <w:tc>
          <w:tcPr>
            <w:tcW w:w="1295" w:type="dxa"/>
            <w:gridSpan w:val="2"/>
            <w:shd w:val="clear" w:color="auto" w:fill="auto"/>
            <w:noWrap/>
            <w:hideMark/>
          </w:tcPr>
          <w:p w14:paraId="6BA3227C" w14:textId="10970E23" w:rsidR="00C44FFB" w:rsidRPr="00733536" w:rsidRDefault="00C44FFB" w:rsidP="00104B9D">
            <w:pPr>
              <w:framePr w:w="4961" w:vSpace="284" w:wrap="notBeside" w:hAnchor="margin" w:xAlign="right" w:yAlign="bottom"/>
              <w:ind w:left="113" w:right="421"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1.8</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4DEC85B2" w14:textId="77777777" w:rsidTr="00C44FFB">
        <w:trPr>
          <w:gridAfter w:val="1"/>
          <w:cnfStyle w:val="000000100000" w:firstRow="0" w:lastRow="0" w:firstColumn="0" w:lastColumn="0" w:oddVBand="0" w:evenVBand="0" w:oddHBand="1" w:evenHBand="0" w:firstRowFirstColumn="0" w:firstRowLastColumn="0" w:lastRowFirstColumn="0" w:lastRowLastColumn="0"/>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7689DFD2" w14:textId="77777777"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Physical distance</w:t>
            </w:r>
          </w:p>
        </w:tc>
        <w:tc>
          <w:tcPr>
            <w:tcW w:w="1295" w:type="dxa"/>
            <w:gridSpan w:val="2"/>
            <w:shd w:val="clear" w:color="auto" w:fill="auto"/>
            <w:noWrap/>
            <w:hideMark/>
          </w:tcPr>
          <w:p w14:paraId="225C671D" w14:textId="0E061EE6" w:rsidR="00C44FFB" w:rsidRPr="00733536" w:rsidRDefault="00C44FFB" w:rsidP="00104B9D">
            <w:pPr>
              <w:framePr w:w="4961" w:vSpace="284" w:wrap="notBeside" w:hAnchor="margin" w:xAlign="right" w:yAlign="bottom"/>
              <w:ind w:left="113" w:right="421"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1.6</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5AAC4E66" w14:textId="77777777" w:rsidTr="00C44FFB">
        <w:trPr>
          <w:gridAfter w:val="1"/>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05D1E66B" w14:textId="77777777"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Availability of suppliers in the home country</w:t>
            </w:r>
          </w:p>
        </w:tc>
        <w:tc>
          <w:tcPr>
            <w:tcW w:w="1295" w:type="dxa"/>
            <w:gridSpan w:val="2"/>
            <w:shd w:val="clear" w:color="auto" w:fill="auto"/>
            <w:noWrap/>
            <w:hideMark/>
          </w:tcPr>
          <w:p w14:paraId="608147CC" w14:textId="1BDC0A4A" w:rsidR="00C44FFB" w:rsidRPr="00733536" w:rsidRDefault="00C44FFB" w:rsidP="00104B9D">
            <w:pPr>
              <w:framePr w:w="4961" w:vSpace="284" w:wrap="notBeside" w:hAnchor="margin" w:xAlign="right" w:yAlign="bottom"/>
              <w:ind w:left="113" w:right="421"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1.2</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5D0F35D0" w14:textId="77777777" w:rsidTr="00C44FFB">
        <w:trPr>
          <w:gridAfter w:val="1"/>
          <w:cnfStyle w:val="000000100000" w:firstRow="0" w:lastRow="0" w:firstColumn="0" w:lastColumn="0" w:oddVBand="0" w:evenVBand="0" w:oddHBand="1" w:evenHBand="0" w:firstRowFirstColumn="0" w:firstRowLastColumn="0" w:lastRowFirstColumn="0" w:lastRowLastColumn="0"/>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1F489179" w14:textId="05F52F7F"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 xml:space="preserve">Carbon </w:t>
            </w:r>
            <w:r w:rsidR="003100F8">
              <w:rPr>
                <w:rFonts w:asciiTheme="minorHAnsi" w:hAnsiTheme="minorHAnsi"/>
                <w:b w:val="0"/>
                <w:bCs w:val="0"/>
                <w:color w:val="000000"/>
                <w:sz w:val="16"/>
                <w:szCs w:val="16"/>
              </w:rPr>
              <w:t>f</w:t>
            </w:r>
            <w:r w:rsidRPr="00733536">
              <w:rPr>
                <w:rFonts w:asciiTheme="minorHAnsi" w:hAnsiTheme="minorHAnsi"/>
                <w:b w:val="0"/>
                <w:bCs w:val="0"/>
                <w:color w:val="000000"/>
                <w:sz w:val="16"/>
                <w:szCs w:val="16"/>
              </w:rPr>
              <w:t xml:space="preserve">ootprint and other environmental issues </w:t>
            </w:r>
          </w:p>
        </w:tc>
        <w:tc>
          <w:tcPr>
            <w:tcW w:w="1295" w:type="dxa"/>
            <w:gridSpan w:val="2"/>
            <w:shd w:val="clear" w:color="auto" w:fill="auto"/>
            <w:noWrap/>
            <w:hideMark/>
          </w:tcPr>
          <w:p w14:paraId="3E019072" w14:textId="63837D37" w:rsidR="00C44FFB" w:rsidRPr="00733536" w:rsidRDefault="00C44FFB" w:rsidP="00104B9D">
            <w:pPr>
              <w:framePr w:w="4961" w:vSpace="284" w:wrap="notBeside" w:hAnchor="margin" w:xAlign="right" w:yAlign="bottom"/>
              <w:ind w:left="113" w:right="421"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1.0</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1FE7C653" w14:textId="77777777" w:rsidTr="00C44FFB">
        <w:trPr>
          <w:gridAfter w:val="1"/>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2B904295" w14:textId="77777777"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Exchange rate risk</w:t>
            </w:r>
          </w:p>
        </w:tc>
        <w:tc>
          <w:tcPr>
            <w:tcW w:w="1295" w:type="dxa"/>
            <w:gridSpan w:val="2"/>
            <w:shd w:val="clear" w:color="auto" w:fill="auto"/>
            <w:noWrap/>
            <w:hideMark/>
          </w:tcPr>
          <w:p w14:paraId="585715AF" w14:textId="466799FF" w:rsidR="00C44FFB" w:rsidRPr="00733536" w:rsidRDefault="00C44FFB" w:rsidP="00104B9D">
            <w:pPr>
              <w:framePr w:w="4961" w:vSpace="284" w:wrap="notBeside" w:hAnchor="margin" w:xAlign="right" w:yAlign="bottom"/>
              <w:ind w:left="113" w:right="421"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1.0</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3A437222" w14:textId="77777777" w:rsidTr="00C44FFB">
        <w:trPr>
          <w:gridAfter w:val="1"/>
          <w:cnfStyle w:val="000000100000" w:firstRow="0" w:lastRow="0" w:firstColumn="0" w:lastColumn="0" w:oddVBand="0" w:evenVBand="0" w:oddHBand="1" w:evenHBand="0" w:firstRowFirstColumn="0" w:firstRowLastColumn="0" w:lastRowFirstColumn="0" w:lastRowLastColumn="0"/>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19B01946" w14:textId="2A2BDFED"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 xml:space="preserve">Corporate </w:t>
            </w:r>
            <w:r w:rsidR="003100F8">
              <w:rPr>
                <w:rFonts w:asciiTheme="minorHAnsi" w:hAnsiTheme="minorHAnsi"/>
                <w:b w:val="0"/>
                <w:bCs w:val="0"/>
                <w:color w:val="000000"/>
                <w:sz w:val="16"/>
                <w:szCs w:val="16"/>
              </w:rPr>
              <w:t>s</w:t>
            </w:r>
            <w:r w:rsidRPr="00733536">
              <w:rPr>
                <w:rFonts w:asciiTheme="minorHAnsi" w:hAnsiTheme="minorHAnsi"/>
                <w:b w:val="0"/>
                <w:bCs w:val="0"/>
                <w:color w:val="000000"/>
                <w:sz w:val="16"/>
                <w:szCs w:val="16"/>
              </w:rPr>
              <w:t xml:space="preserve">ocial </w:t>
            </w:r>
            <w:r w:rsidR="003100F8">
              <w:rPr>
                <w:rFonts w:asciiTheme="minorHAnsi" w:hAnsiTheme="minorHAnsi"/>
                <w:b w:val="0"/>
                <w:bCs w:val="0"/>
                <w:color w:val="000000"/>
                <w:sz w:val="16"/>
                <w:szCs w:val="16"/>
              </w:rPr>
              <w:t>r</w:t>
            </w:r>
            <w:r w:rsidRPr="00733536">
              <w:rPr>
                <w:rFonts w:asciiTheme="minorHAnsi" w:hAnsiTheme="minorHAnsi"/>
                <w:b w:val="0"/>
                <w:bCs w:val="0"/>
                <w:color w:val="000000"/>
                <w:sz w:val="16"/>
                <w:szCs w:val="16"/>
              </w:rPr>
              <w:t>esponsibility (e.g. with respect to work conditions in the host country) (this does not include environmental issues)</w:t>
            </w:r>
          </w:p>
        </w:tc>
        <w:tc>
          <w:tcPr>
            <w:tcW w:w="1295" w:type="dxa"/>
            <w:gridSpan w:val="2"/>
            <w:shd w:val="clear" w:color="auto" w:fill="auto"/>
            <w:noWrap/>
            <w:hideMark/>
          </w:tcPr>
          <w:p w14:paraId="13C651F9" w14:textId="0F8B9E83" w:rsidR="00C44FFB" w:rsidRPr="00733536" w:rsidRDefault="00C44FFB" w:rsidP="00104B9D">
            <w:pPr>
              <w:framePr w:w="4961" w:vSpace="284" w:wrap="notBeside" w:hAnchor="margin" w:xAlign="right" w:yAlign="bottom"/>
              <w:ind w:left="113" w:right="421"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0.7</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277B2B84" w14:textId="77777777" w:rsidTr="00C44FFB">
        <w:trPr>
          <w:gridAfter w:val="1"/>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shd w:val="clear" w:color="auto" w:fill="auto"/>
            <w:hideMark/>
          </w:tcPr>
          <w:p w14:paraId="487E506D" w14:textId="77777777"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Adoption of 3D printing/additive manufacturing</w:t>
            </w:r>
          </w:p>
        </w:tc>
        <w:tc>
          <w:tcPr>
            <w:tcW w:w="1295" w:type="dxa"/>
            <w:gridSpan w:val="2"/>
            <w:shd w:val="clear" w:color="auto" w:fill="auto"/>
            <w:noWrap/>
            <w:hideMark/>
          </w:tcPr>
          <w:p w14:paraId="30E049C7" w14:textId="7A4CB704" w:rsidR="00C44FFB" w:rsidRPr="00733536" w:rsidRDefault="00C44FFB" w:rsidP="00104B9D">
            <w:pPr>
              <w:framePr w:w="4961" w:vSpace="284" w:wrap="notBeside" w:hAnchor="margin" w:xAlign="right" w:yAlign="bottom"/>
              <w:ind w:left="113" w:right="421"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0.5</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C44FFB" w:rsidRPr="00733536" w14:paraId="79A2420E" w14:textId="77777777" w:rsidTr="00C44FFB">
        <w:trPr>
          <w:gridAfter w:val="1"/>
          <w:cnfStyle w:val="000000100000" w:firstRow="0" w:lastRow="0" w:firstColumn="0" w:lastColumn="0" w:oddVBand="0" w:evenVBand="0" w:oddHBand="1" w:evenHBand="0" w:firstRowFirstColumn="0" w:firstRowLastColumn="0" w:lastRowFirstColumn="0" w:lastRowLastColumn="0"/>
          <w:wAfter w:w="105" w:type="dxa"/>
          <w:trHeight w:val="255"/>
        </w:trPr>
        <w:tc>
          <w:tcPr>
            <w:cnfStyle w:val="001000000000" w:firstRow="0" w:lastRow="0" w:firstColumn="1" w:lastColumn="0" w:oddVBand="0" w:evenVBand="0" w:oddHBand="0" w:evenHBand="0" w:firstRowFirstColumn="0" w:firstRowLastColumn="0" w:lastRowFirstColumn="0" w:lastRowLastColumn="0"/>
            <w:tcW w:w="3525" w:type="dxa"/>
            <w:gridSpan w:val="2"/>
            <w:tcBorders>
              <w:bottom w:val="single" w:sz="4" w:space="0" w:color="auto"/>
            </w:tcBorders>
            <w:shd w:val="clear" w:color="auto" w:fill="auto"/>
            <w:hideMark/>
          </w:tcPr>
          <w:p w14:paraId="3B4120B9" w14:textId="77777777" w:rsidR="00C44FFB" w:rsidRPr="00733536" w:rsidRDefault="00C44FFB" w:rsidP="00C44FFB">
            <w:pPr>
              <w:framePr w:w="4961" w:vSpace="284" w:wrap="notBeside" w:hAnchor="margin" w:xAlign="right" w:yAlign="bottom"/>
              <w:ind w:left="113" w:firstLine="0"/>
              <w:rPr>
                <w:rFonts w:asciiTheme="minorHAnsi" w:hAnsiTheme="minorHAnsi"/>
                <w:b w:val="0"/>
                <w:bCs w:val="0"/>
                <w:color w:val="000000"/>
                <w:sz w:val="16"/>
                <w:szCs w:val="16"/>
              </w:rPr>
            </w:pPr>
            <w:r w:rsidRPr="00733536">
              <w:rPr>
                <w:rFonts w:asciiTheme="minorHAnsi" w:hAnsiTheme="minorHAnsi"/>
                <w:b w:val="0"/>
                <w:bCs w:val="0"/>
                <w:color w:val="000000"/>
                <w:sz w:val="16"/>
                <w:szCs w:val="16"/>
              </w:rPr>
              <w:t>Energy Costs</w:t>
            </w:r>
          </w:p>
        </w:tc>
        <w:tc>
          <w:tcPr>
            <w:tcW w:w="1295" w:type="dxa"/>
            <w:gridSpan w:val="2"/>
            <w:tcBorders>
              <w:bottom w:val="single" w:sz="4" w:space="0" w:color="auto"/>
            </w:tcBorders>
            <w:shd w:val="clear" w:color="auto" w:fill="auto"/>
            <w:noWrap/>
            <w:hideMark/>
          </w:tcPr>
          <w:p w14:paraId="4C9134C5" w14:textId="6C1613D4" w:rsidR="00C44FFB" w:rsidRPr="00733536" w:rsidRDefault="00C44FFB" w:rsidP="00104B9D">
            <w:pPr>
              <w:framePr w:w="4961" w:vSpace="284" w:wrap="notBeside" w:hAnchor="margin" w:xAlign="right" w:yAlign="bottom"/>
              <w:ind w:left="113" w:right="421"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0.1</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bl>
    <w:p w14:paraId="47F819A0" w14:textId="5720D023" w:rsidR="00274781" w:rsidRPr="00733536" w:rsidRDefault="00274781" w:rsidP="00F038BA">
      <w:r w:rsidRPr="00733536">
        <w:t>When considering the back-shoring drivers (</w:t>
      </w:r>
      <w:r w:rsidR="00542406" w:rsidRPr="00733536">
        <w:fldChar w:fldCharType="begin"/>
      </w:r>
      <w:r w:rsidR="00542406" w:rsidRPr="00733536">
        <w:instrText xml:space="preserve"> REF _Ref55216706 \h </w:instrText>
      </w:r>
      <w:r w:rsidR="00542406" w:rsidRPr="00733536">
        <w:fldChar w:fldCharType="separate"/>
      </w:r>
      <w:r w:rsidR="008F7C96" w:rsidRPr="00733536">
        <w:rPr>
          <w:szCs w:val="20"/>
          <w:lang w:eastAsia="ko-KR"/>
        </w:rPr>
        <w:t xml:space="preserve">Table </w:t>
      </w:r>
      <w:r w:rsidR="008F7C96" w:rsidRPr="00733536">
        <w:rPr>
          <w:noProof/>
        </w:rPr>
        <w:t>5</w:t>
      </w:r>
      <w:r w:rsidR="00542406" w:rsidRPr="00733536">
        <w:fldChar w:fldCharType="end"/>
      </w:r>
      <w:r w:rsidRPr="00733536">
        <w:t xml:space="preserve">), three out of the four most cited belong to the </w:t>
      </w:r>
      <w:r w:rsidR="004D1B59">
        <w:t>‘</w:t>
      </w:r>
      <w:r w:rsidRPr="00733536">
        <w:t>Customer perceived values</w:t>
      </w:r>
      <w:r w:rsidR="004D1B59">
        <w:t>’</w:t>
      </w:r>
      <w:r w:rsidRPr="00733536">
        <w:t xml:space="preserve"> quadrants of the </w:t>
      </w:r>
      <w:r w:rsidR="008F7C96" w:rsidRPr="00733536">
        <w:fldChar w:fldCharType="begin"/>
      </w:r>
      <w:r w:rsidR="008F7C96" w:rsidRPr="00733536">
        <w:instrText xml:space="preserve"> REF _Ref55223212 \r \h </w:instrText>
      </w:r>
      <w:r w:rsidR="008F7C96" w:rsidRPr="00733536">
        <w:fldChar w:fldCharType="separate"/>
      </w:r>
      <w:r w:rsidR="008F7C96" w:rsidRPr="00733536">
        <w:t>[27]</w:t>
      </w:r>
      <w:r w:rsidR="008F7C96" w:rsidRPr="00733536">
        <w:fldChar w:fldCharType="end"/>
      </w:r>
      <w:r w:rsidRPr="00733536">
        <w:t xml:space="preserve"> framework: </w:t>
      </w:r>
      <w:r w:rsidR="004D1B59">
        <w:t>‘</w:t>
      </w:r>
      <w:r w:rsidRPr="00733536">
        <w:t>Customer responsiveness improvement</w:t>
      </w:r>
      <w:r w:rsidR="004D1B59">
        <w:t>’</w:t>
      </w:r>
      <w:r w:rsidRPr="00733536">
        <w:t xml:space="preserve"> (17.1</w:t>
      </w:r>
      <w:r w:rsidR="009D56E3" w:rsidRPr="00733536">
        <w:t> </w:t>
      </w:r>
      <w:r w:rsidRPr="00733536">
        <w:t xml:space="preserve">%), </w:t>
      </w:r>
      <w:r w:rsidR="004D1B59">
        <w:t>‘</w:t>
      </w:r>
      <w:r w:rsidRPr="00733536">
        <w:t>Made in effect</w:t>
      </w:r>
      <w:r w:rsidR="004D1B59">
        <w:t>’</w:t>
      </w:r>
      <w:r w:rsidRPr="00733536">
        <w:t xml:space="preserve"> (19.5</w:t>
      </w:r>
      <w:r w:rsidR="00903C55" w:rsidRPr="00733536">
        <w:t> </w:t>
      </w:r>
      <w:r w:rsidRPr="00733536">
        <w:t>% of total sample)</w:t>
      </w:r>
      <w:r w:rsidR="003108E2">
        <w:t xml:space="preserve"> and</w:t>
      </w:r>
      <w:r w:rsidRPr="00733536">
        <w:t xml:space="preserve"> </w:t>
      </w:r>
      <w:r w:rsidR="004D1B59">
        <w:t>‘</w:t>
      </w:r>
      <w:r w:rsidRPr="00733536">
        <w:t>Delivery time</w:t>
      </w:r>
      <w:r w:rsidR="004D1B59">
        <w:t>’</w:t>
      </w:r>
      <w:r w:rsidRPr="00733536">
        <w:t xml:space="preserve"> (17.3</w:t>
      </w:r>
      <w:r w:rsidR="009D56E3" w:rsidRPr="00733536">
        <w:t> </w:t>
      </w:r>
      <w:r w:rsidRPr="00733536">
        <w:t>%)</w:t>
      </w:r>
      <w:r w:rsidR="004D1B59">
        <w:t>.</w:t>
      </w:r>
      <w:r w:rsidR="008A3DC6">
        <w:t xml:space="preserve"> </w:t>
      </w:r>
      <w:r w:rsidR="004D1B59">
        <w:t>‘</w:t>
      </w:r>
      <w:r w:rsidRPr="00733536">
        <w:t>Logistics costs</w:t>
      </w:r>
      <w:r w:rsidR="004D1B59">
        <w:t>’</w:t>
      </w:r>
      <w:r w:rsidRPr="00733536">
        <w:t xml:space="preserve"> (16.3</w:t>
      </w:r>
      <w:r w:rsidR="009D56E3" w:rsidRPr="00733536">
        <w:t> </w:t>
      </w:r>
      <w:r w:rsidRPr="00733536">
        <w:t>%) belong to the cost quadrant. Therefore, back-shoring decisions</w:t>
      </w:r>
      <w:r w:rsidR="004D1B59">
        <w:t xml:space="preserve"> seem</w:t>
      </w:r>
      <w:r w:rsidRPr="00733536">
        <w:t xml:space="preserve"> to be </w:t>
      </w:r>
      <w:r w:rsidR="004D1B59">
        <w:t>aimed</w:t>
      </w:r>
      <w:r w:rsidRPr="00733536">
        <w:t xml:space="preserve"> more </w:t>
      </w:r>
      <w:r w:rsidR="004D1B59">
        <w:t>at</w:t>
      </w:r>
      <w:r w:rsidRPr="00733536">
        <w:t xml:space="preserve"> effective</w:t>
      </w:r>
      <w:r w:rsidR="00F50BFE" w:rsidRPr="00733536">
        <w:t>ness</w:t>
      </w:r>
      <w:r w:rsidRPr="00733536">
        <w:t xml:space="preserve"> than </w:t>
      </w:r>
      <w:r w:rsidR="004D1B59">
        <w:t>at</w:t>
      </w:r>
      <w:r w:rsidRPr="00733536">
        <w:t xml:space="preserve"> efficiency. This finding is relevant </w:t>
      </w:r>
      <w:r w:rsidR="004D1B59">
        <w:t>to</w:t>
      </w:r>
      <w:r w:rsidRPr="00733536">
        <w:t xml:space="preserve"> the theoretical positions found in the extant literature (e.g. </w:t>
      </w:r>
      <w:r w:rsidR="008F7C96" w:rsidRPr="00733536">
        <w:fldChar w:fldCharType="begin"/>
      </w:r>
      <w:r w:rsidR="008F7C96" w:rsidRPr="00733536">
        <w:instrText xml:space="preserve"> REF _Ref55223195 \r \h </w:instrText>
      </w:r>
      <w:r w:rsidR="008F7C96" w:rsidRPr="00733536">
        <w:fldChar w:fldCharType="separate"/>
      </w:r>
      <w:r w:rsidR="008F7C96" w:rsidRPr="00733536">
        <w:t>[10]</w:t>
      </w:r>
      <w:r w:rsidR="008F7C96" w:rsidRPr="00733536">
        <w:fldChar w:fldCharType="end"/>
      </w:r>
      <w:r w:rsidRPr="00733536">
        <w:t>).</w:t>
      </w:r>
    </w:p>
    <w:p w14:paraId="4B622FFC" w14:textId="20DDC388" w:rsidR="00C44FFB" w:rsidRPr="00733536" w:rsidRDefault="00C44FFB" w:rsidP="00C44FFB">
      <w:pPr>
        <w:pStyle w:val="FigureCaption"/>
        <w:framePr w:w="4961" w:vSpace="284" w:wrap="notBeside" w:vAnchor="page" w:hAnchor="page" w:x="849" w:y="1134"/>
        <w:spacing w:before="0" w:after="120"/>
      </w:pPr>
      <w:bookmarkStart w:id="20" w:name="_Ref55216721"/>
      <w:r w:rsidRPr="00733536">
        <w:rPr>
          <w:szCs w:val="20"/>
          <w:lang w:eastAsia="ko-KR"/>
        </w:rPr>
        <w:lastRenderedPageBreak/>
        <w:t xml:space="preserve">Table </w:t>
      </w:r>
      <w:r w:rsidRPr="00733536">
        <w:fldChar w:fldCharType="begin"/>
      </w:r>
      <w:r w:rsidRPr="00733536">
        <w:instrText xml:space="preserve"> SEQ Table \* ARABIC </w:instrText>
      </w:r>
      <w:r w:rsidRPr="00733536">
        <w:fldChar w:fldCharType="separate"/>
      </w:r>
      <w:r w:rsidR="008F7C96" w:rsidRPr="00733536">
        <w:rPr>
          <w:noProof/>
        </w:rPr>
        <w:t>6</w:t>
      </w:r>
      <w:r w:rsidRPr="00733536">
        <w:fldChar w:fldCharType="end"/>
      </w:r>
      <w:bookmarkEnd w:id="20"/>
      <w:r w:rsidRPr="00733536">
        <w:rPr>
          <w:szCs w:val="20"/>
          <w:lang w:eastAsia="ko-KR"/>
        </w:rPr>
        <w:t xml:space="preserve">. </w:t>
      </w:r>
      <w:r w:rsidR="003E109F" w:rsidRPr="00733536">
        <w:rPr>
          <w:rFonts w:asciiTheme="minorHAnsi" w:hAnsiTheme="minorHAnsi"/>
          <w:bCs/>
          <w:szCs w:val="21"/>
        </w:rPr>
        <w:t>Back-shoring motivations cited jointly with production automation</w:t>
      </w:r>
      <w:r w:rsidRPr="00733536">
        <w:rPr>
          <w:rFonts w:asciiTheme="minorHAnsi" w:hAnsiTheme="minorHAnsi"/>
          <w:szCs w:val="21"/>
        </w:rPr>
        <w:t>.</w:t>
      </w:r>
      <w:r w:rsidRPr="00733536">
        <w:rPr>
          <w:rFonts w:asciiTheme="minorHAnsi" w:hAnsiTheme="minorHAnsi"/>
          <w:bCs/>
          <w:szCs w:val="21"/>
        </w:rPr>
        <w:t xml:space="preserve"> </w:t>
      </w:r>
      <w:r w:rsidR="003E109F" w:rsidRPr="00733536">
        <w:rPr>
          <w:rFonts w:asciiTheme="minorHAnsi" w:hAnsiTheme="minorHAnsi"/>
          <w:szCs w:val="21"/>
        </w:rPr>
        <w:t xml:space="preserve">Only 10 most cited motivations. </w:t>
      </w:r>
      <w:r w:rsidRPr="00733536">
        <w:rPr>
          <w:rFonts w:asciiTheme="minorHAnsi" w:hAnsiTheme="minorHAnsi"/>
          <w:szCs w:val="21"/>
        </w:rPr>
        <w:t>Source: UMRD</w:t>
      </w:r>
      <w:r w:rsidRPr="00733536">
        <w:t>.</w:t>
      </w:r>
    </w:p>
    <w:tbl>
      <w:tblPr>
        <w:tblStyle w:val="Tabellasemplice41"/>
        <w:tblW w:w="5000" w:type="pct"/>
        <w:tblLayout w:type="fixed"/>
        <w:tblCellMar>
          <w:left w:w="0" w:type="dxa"/>
          <w:right w:w="0" w:type="dxa"/>
        </w:tblCellMar>
        <w:tblLook w:val="04A0" w:firstRow="1" w:lastRow="0" w:firstColumn="1" w:lastColumn="0" w:noHBand="0" w:noVBand="1"/>
      </w:tblPr>
      <w:tblGrid>
        <w:gridCol w:w="4084"/>
        <w:gridCol w:w="877"/>
      </w:tblGrid>
      <w:tr w:rsidR="003E109F" w:rsidRPr="00733536" w14:paraId="195009FC" w14:textId="77777777" w:rsidTr="00104B9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bottom w:val="single" w:sz="4" w:space="0" w:color="auto"/>
            </w:tcBorders>
            <w:shd w:val="clear" w:color="auto" w:fill="auto"/>
            <w:noWrap/>
            <w:vAlign w:val="center"/>
            <w:hideMark/>
          </w:tcPr>
          <w:p w14:paraId="3A874E79" w14:textId="77777777" w:rsidR="003E109F" w:rsidRPr="00733536" w:rsidRDefault="003E109F" w:rsidP="003E109F">
            <w:pPr>
              <w:framePr w:w="4961" w:vSpace="284" w:wrap="notBeside" w:vAnchor="page" w:hAnchor="page" w:x="849" w:y="1134"/>
              <w:ind w:firstLine="0"/>
              <w:jc w:val="center"/>
              <w:rPr>
                <w:rFonts w:asciiTheme="minorHAnsi" w:hAnsiTheme="minorHAnsi"/>
                <w:color w:val="000000"/>
                <w:sz w:val="16"/>
                <w:szCs w:val="16"/>
              </w:rPr>
            </w:pPr>
            <w:r w:rsidRPr="00733536">
              <w:rPr>
                <w:rFonts w:asciiTheme="minorHAnsi" w:hAnsiTheme="minorHAnsi"/>
                <w:color w:val="000000"/>
                <w:sz w:val="16"/>
                <w:szCs w:val="16"/>
              </w:rPr>
              <w:t>Motivations</w:t>
            </w:r>
          </w:p>
        </w:tc>
        <w:tc>
          <w:tcPr>
            <w:tcW w:w="0" w:type="pct"/>
            <w:tcBorders>
              <w:top w:val="single" w:sz="4" w:space="0" w:color="auto"/>
              <w:bottom w:val="single" w:sz="4" w:space="0" w:color="auto"/>
            </w:tcBorders>
            <w:shd w:val="clear" w:color="auto" w:fill="auto"/>
            <w:noWrap/>
            <w:vAlign w:val="center"/>
            <w:hideMark/>
          </w:tcPr>
          <w:p w14:paraId="73DA5086" w14:textId="77777777" w:rsidR="003E109F" w:rsidRPr="00733536" w:rsidRDefault="003E109F" w:rsidP="003E109F">
            <w:pPr>
              <w:framePr w:w="4961" w:vSpace="284" w:wrap="notBeside" w:vAnchor="page" w:hAnchor="page" w:x="849" w:y="1134"/>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Decisions</w:t>
            </w:r>
          </w:p>
        </w:tc>
      </w:tr>
      <w:tr w:rsidR="003E109F" w:rsidRPr="00733536" w14:paraId="4FD00B38" w14:textId="77777777" w:rsidTr="00104B9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16" w:type="pct"/>
            <w:tcBorders>
              <w:top w:val="single" w:sz="4" w:space="0" w:color="auto"/>
            </w:tcBorders>
            <w:shd w:val="clear" w:color="auto" w:fill="auto"/>
            <w:vAlign w:val="center"/>
            <w:hideMark/>
          </w:tcPr>
          <w:p w14:paraId="2E9BD234" w14:textId="77777777" w:rsidR="003E109F" w:rsidRPr="00733536" w:rsidRDefault="003E109F" w:rsidP="003E109F">
            <w:pPr>
              <w:framePr w:w="4961" w:vSpace="284" w:wrap="notBeside" w:vAnchor="page" w:hAnchor="page" w:x="849" w:y="1134"/>
              <w:ind w:firstLine="0"/>
              <w:jc w:val="left"/>
              <w:rPr>
                <w:rFonts w:asciiTheme="minorHAnsi" w:hAnsiTheme="minorHAnsi"/>
                <w:b w:val="0"/>
                <w:bCs w:val="0"/>
                <w:color w:val="000000"/>
                <w:sz w:val="16"/>
                <w:szCs w:val="16"/>
              </w:rPr>
            </w:pPr>
            <w:r w:rsidRPr="00733536">
              <w:rPr>
                <w:rFonts w:asciiTheme="minorHAnsi" w:hAnsiTheme="minorHAnsi"/>
                <w:b w:val="0"/>
                <w:bCs w:val="0"/>
                <w:color w:val="000000"/>
                <w:sz w:val="16"/>
                <w:szCs w:val="16"/>
              </w:rPr>
              <w:t>Cost and difficulties in controlling the host country activities</w:t>
            </w:r>
          </w:p>
        </w:tc>
        <w:tc>
          <w:tcPr>
            <w:tcW w:w="884" w:type="pct"/>
            <w:tcBorders>
              <w:top w:val="single" w:sz="4" w:space="0" w:color="auto"/>
            </w:tcBorders>
            <w:shd w:val="clear" w:color="auto" w:fill="auto"/>
            <w:vAlign w:val="center"/>
            <w:hideMark/>
          </w:tcPr>
          <w:p w14:paraId="2ADBDD93" w14:textId="75936E5D" w:rsidR="003E109F" w:rsidRPr="00733536" w:rsidRDefault="003E109F" w:rsidP="00104B9D">
            <w:pPr>
              <w:framePr w:w="4961" w:vSpace="284" w:wrap="notBeside" w:vAnchor="page" w:hAnchor="page" w:x="849" w:y="1134"/>
              <w:ind w:right="227"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21.8</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3E109F" w:rsidRPr="00733536" w14:paraId="69EECAF0" w14:textId="77777777" w:rsidTr="00104B9D">
        <w:trPr>
          <w:trHeight w:val="255"/>
        </w:trPr>
        <w:tc>
          <w:tcPr>
            <w:cnfStyle w:val="001000000000" w:firstRow="0" w:lastRow="0" w:firstColumn="1" w:lastColumn="0" w:oddVBand="0" w:evenVBand="0" w:oddHBand="0" w:evenHBand="0" w:firstRowFirstColumn="0" w:firstRowLastColumn="0" w:lastRowFirstColumn="0" w:lastRowLastColumn="0"/>
            <w:tcW w:w="4116" w:type="pct"/>
            <w:shd w:val="clear" w:color="auto" w:fill="auto"/>
            <w:vAlign w:val="center"/>
            <w:hideMark/>
          </w:tcPr>
          <w:p w14:paraId="7B4B53BC" w14:textId="77777777" w:rsidR="003E109F" w:rsidRPr="00733536" w:rsidRDefault="003E109F" w:rsidP="003E109F">
            <w:pPr>
              <w:framePr w:w="4961" w:vSpace="284" w:wrap="notBeside" w:vAnchor="page" w:hAnchor="page" w:x="849" w:y="1134"/>
              <w:ind w:firstLine="0"/>
              <w:jc w:val="left"/>
              <w:rPr>
                <w:rFonts w:asciiTheme="minorHAnsi" w:hAnsiTheme="minorHAnsi"/>
                <w:b w:val="0"/>
                <w:bCs w:val="0"/>
                <w:color w:val="000000"/>
                <w:sz w:val="16"/>
                <w:szCs w:val="16"/>
              </w:rPr>
            </w:pPr>
            <w:r w:rsidRPr="00733536">
              <w:rPr>
                <w:rFonts w:asciiTheme="minorHAnsi" w:hAnsiTheme="minorHAnsi"/>
                <w:b w:val="0"/>
                <w:bCs w:val="0"/>
                <w:color w:val="000000"/>
                <w:sz w:val="16"/>
                <w:szCs w:val="16"/>
              </w:rPr>
              <w:t>Made in effect (home country)</w:t>
            </w:r>
          </w:p>
        </w:tc>
        <w:tc>
          <w:tcPr>
            <w:tcW w:w="884" w:type="pct"/>
            <w:shd w:val="clear" w:color="auto" w:fill="auto"/>
            <w:vAlign w:val="center"/>
            <w:hideMark/>
          </w:tcPr>
          <w:p w14:paraId="13D83ED2" w14:textId="514E1B97" w:rsidR="003E109F" w:rsidRPr="00733536" w:rsidRDefault="003E109F" w:rsidP="00104B9D">
            <w:pPr>
              <w:framePr w:w="4961" w:vSpace="284" w:wrap="notBeside" w:vAnchor="page" w:hAnchor="page" w:x="849" w:y="1134"/>
              <w:ind w:right="227"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18.9</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3E109F" w:rsidRPr="00733536" w14:paraId="6B6D188E" w14:textId="77777777" w:rsidTr="00104B9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16" w:type="pct"/>
            <w:shd w:val="clear" w:color="auto" w:fill="auto"/>
            <w:vAlign w:val="center"/>
            <w:hideMark/>
          </w:tcPr>
          <w:p w14:paraId="08EC526D" w14:textId="77777777" w:rsidR="003E109F" w:rsidRPr="00733536" w:rsidRDefault="003E109F" w:rsidP="003E109F">
            <w:pPr>
              <w:framePr w:w="4961" w:vSpace="284" w:wrap="notBeside" w:vAnchor="page" w:hAnchor="page" w:x="849" w:y="1134"/>
              <w:ind w:firstLine="0"/>
              <w:jc w:val="left"/>
              <w:rPr>
                <w:rFonts w:asciiTheme="minorHAnsi" w:hAnsiTheme="minorHAnsi"/>
                <w:b w:val="0"/>
                <w:bCs w:val="0"/>
                <w:color w:val="000000"/>
                <w:sz w:val="16"/>
                <w:szCs w:val="16"/>
              </w:rPr>
            </w:pPr>
            <w:r w:rsidRPr="00733536">
              <w:rPr>
                <w:rFonts w:asciiTheme="minorHAnsi" w:hAnsiTheme="minorHAnsi"/>
                <w:b w:val="0"/>
                <w:bCs w:val="0"/>
                <w:color w:val="000000"/>
                <w:sz w:val="16"/>
                <w:szCs w:val="16"/>
              </w:rPr>
              <w:t>Delivery time (including delays)</w:t>
            </w:r>
          </w:p>
        </w:tc>
        <w:tc>
          <w:tcPr>
            <w:tcW w:w="884" w:type="pct"/>
            <w:shd w:val="clear" w:color="auto" w:fill="auto"/>
            <w:vAlign w:val="center"/>
            <w:hideMark/>
          </w:tcPr>
          <w:p w14:paraId="6D22CF06" w14:textId="3C8553BC" w:rsidR="003E109F" w:rsidRPr="00733536" w:rsidRDefault="003E109F" w:rsidP="00104B9D">
            <w:pPr>
              <w:framePr w:w="4961" w:vSpace="284" w:wrap="notBeside" w:vAnchor="page" w:hAnchor="page" w:x="849" w:y="1134"/>
              <w:ind w:right="227"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18.4</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3E109F" w:rsidRPr="00733536" w14:paraId="0AA4B828" w14:textId="77777777" w:rsidTr="00104B9D">
        <w:trPr>
          <w:trHeight w:val="255"/>
        </w:trPr>
        <w:tc>
          <w:tcPr>
            <w:cnfStyle w:val="001000000000" w:firstRow="0" w:lastRow="0" w:firstColumn="1" w:lastColumn="0" w:oddVBand="0" w:evenVBand="0" w:oddHBand="0" w:evenHBand="0" w:firstRowFirstColumn="0" w:firstRowLastColumn="0" w:lastRowFirstColumn="0" w:lastRowLastColumn="0"/>
            <w:tcW w:w="4116" w:type="pct"/>
            <w:shd w:val="clear" w:color="auto" w:fill="auto"/>
            <w:vAlign w:val="center"/>
            <w:hideMark/>
          </w:tcPr>
          <w:p w14:paraId="5353F7B2" w14:textId="6445A301" w:rsidR="003E109F" w:rsidRPr="00733536" w:rsidRDefault="003E109F" w:rsidP="003E109F">
            <w:pPr>
              <w:framePr w:w="4961" w:vSpace="284" w:wrap="notBeside" w:vAnchor="page" w:hAnchor="page" w:x="849" w:y="1134"/>
              <w:ind w:firstLine="0"/>
              <w:jc w:val="left"/>
              <w:rPr>
                <w:rFonts w:asciiTheme="minorHAnsi" w:hAnsiTheme="minorHAnsi"/>
                <w:b w:val="0"/>
                <w:bCs w:val="0"/>
                <w:color w:val="000000"/>
                <w:sz w:val="16"/>
                <w:szCs w:val="16"/>
              </w:rPr>
            </w:pPr>
            <w:r w:rsidRPr="00733536">
              <w:rPr>
                <w:rFonts w:asciiTheme="minorHAnsi" w:hAnsiTheme="minorHAnsi"/>
                <w:b w:val="0"/>
                <w:bCs w:val="0"/>
                <w:color w:val="000000"/>
                <w:sz w:val="16"/>
                <w:szCs w:val="16"/>
              </w:rPr>
              <w:t xml:space="preserve">Vicinity of engineering &amp; production + </w:t>
            </w:r>
            <w:r w:rsidR="003100F8">
              <w:rPr>
                <w:rFonts w:asciiTheme="minorHAnsi" w:hAnsiTheme="minorHAnsi"/>
                <w:b w:val="0"/>
                <w:bCs w:val="0"/>
                <w:color w:val="000000"/>
                <w:sz w:val="16"/>
                <w:szCs w:val="16"/>
              </w:rPr>
              <w:t>company</w:t>
            </w:r>
            <w:r w:rsidRPr="00733536">
              <w:rPr>
                <w:rFonts w:asciiTheme="minorHAnsi" w:hAnsiTheme="minorHAnsi"/>
                <w:b w:val="0"/>
                <w:bCs w:val="0"/>
                <w:color w:val="000000"/>
                <w:sz w:val="16"/>
                <w:szCs w:val="16"/>
              </w:rPr>
              <w:t xml:space="preserve"> strategies focused on </w:t>
            </w:r>
            <w:r w:rsidR="003100F8">
              <w:rPr>
                <w:rFonts w:asciiTheme="minorHAnsi" w:hAnsiTheme="minorHAnsi"/>
                <w:b w:val="0"/>
                <w:bCs w:val="0"/>
                <w:color w:val="000000"/>
                <w:sz w:val="16"/>
                <w:szCs w:val="16"/>
              </w:rPr>
              <w:t>p</w:t>
            </w:r>
            <w:r w:rsidRPr="00733536">
              <w:rPr>
                <w:rFonts w:asciiTheme="minorHAnsi" w:hAnsiTheme="minorHAnsi"/>
                <w:b w:val="0"/>
                <w:bCs w:val="0"/>
                <w:color w:val="000000"/>
                <w:sz w:val="16"/>
                <w:szCs w:val="16"/>
              </w:rPr>
              <w:t>roduct and process innovations</w:t>
            </w:r>
          </w:p>
        </w:tc>
        <w:tc>
          <w:tcPr>
            <w:tcW w:w="884" w:type="pct"/>
            <w:shd w:val="clear" w:color="auto" w:fill="auto"/>
            <w:vAlign w:val="center"/>
            <w:hideMark/>
          </w:tcPr>
          <w:p w14:paraId="57524818" w14:textId="61EA3201" w:rsidR="003E109F" w:rsidRPr="00733536" w:rsidRDefault="003E109F" w:rsidP="00104B9D">
            <w:pPr>
              <w:framePr w:w="4961" w:vSpace="284" w:wrap="notBeside" w:vAnchor="page" w:hAnchor="page" w:x="849" w:y="1134"/>
              <w:ind w:right="227"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17.2</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3E109F" w:rsidRPr="00733536" w14:paraId="52C0B87C" w14:textId="77777777" w:rsidTr="00104B9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16" w:type="pct"/>
            <w:shd w:val="clear" w:color="auto" w:fill="auto"/>
            <w:vAlign w:val="center"/>
            <w:hideMark/>
          </w:tcPr>
          <w:p w14:paraId="6C399E89" w14:textId="77777777" w:rsidR="003E109F" w:rsidRPr="00733536" w:rsidRDefault="003E109F" w:rsidP="003E109F">
            <w:pPr>
              <w:framePr w:w="4961" w:vSpace="284" w:wrap="notBeside" w:vAnchor="page" w:hAnchor="page" w:x="849" w:y="1134"/>
              <w:ind w:firstLine="0"/>
              <w:jc w:val="left"/>
              <w:rPr>
                <w:rFonts w:asciiTheme="minorHAnsi" w:hAnsiTheme="minorHAnsi"/>
                <w:b w:val="0"/>
                <w:bCs w:val="0"/>
                <w:color w:val="000000"/>
                <w:sz w:val="16"/>
                <w:szCs w:val="16"/>
              </w:rPr>
            </w:pPr>
            <w:r w:rsidRPr="00733536">
              <w:rPr>
                <w:rFonts w:asciiTheme="minorHAnsi" w:hAnsiTheme="minorHAnsi"/>
                <w:b w:val="0"/>
                <w:bCs w:val="0"/>
                <w:color w:val="000000"/>
                <w:sz w:val="16"/>
                <w:szCs w:val="16"/>
              </w:rPr>
              <w:t>Off-shored poor product quality</w:t>
            </w:r>
          </w:p>
        </w:tc>
        <w:tc>
          <w:tcPr>
            <w:tcW w:w="884" w:type="pct"/>
            <w:shd w:val="clear" w:color="auto" w:fill="auto"/>
            <w:vAlign w:val="center"/>
            <w:hideMark/>
          </w:tcPr>
          <w:p w14:paraId="7983DCF6" w14:textId="708D40FA" w:rsidR="003E109F" w:rsidRPr="00733536" w:rsidRDefault="003E109F" w:rsidP="00104B9D">
            <w:pPr>
              <w:framePr w:w="4961" w:vSpace="284" w:wrap="notBeside" w:vAnchor="page" w:hAnchor="page" w:x="849" w:y="1134"/>
              <w:ind w:right="227"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13.7</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3E109F" w:rsidRPr="00733536" w14:paraId="0B10371D" w14:textId="77777777" w:rsidTr="00104B9D">
        <w:trPr>
          <w:trHeight w:val="255"/>
        </w:trPr>
        <w:tc>
          <w:tcPr>
            <w:cnfStyle w:val="001000000000" w:firstRow="0" w:lastRow="0" w:firstColumn="1" w:lastColumn="0" w:oddVBand="0" w:evenVBand="0" w:oddHBand="0" w:evenHBand="0" w:firstRowFirstColumn="0" w:firstRowLastColumn="0" w:lastRowFirstColumn="0" w:lastRowLastColumn="0"/>
            <w:tcW w:w="4116" w:type="pct"/>
            <w:shd w:val="clear" w:color="auto" w:fill="auto"/>
            <w:vAlign w:val="center"/>
            <w:hideMark/>
          </w:tcPr>
          <w:p w14:paraId="46725546" w14:textId="5E8B3F71" w:rsidR="003E109F" w:rsidRPr="00733536" w:rsidRDefault="003E109F" w:rsidP="003E109F">
            <w:pPr>
              <w:framePr w:w="4961" w:vSpace="284" w:wrap="notBeside" w:vAnchor="page" w:hAnchor="page" w:x="849" w:y="1134"/>
              <w:ind w:firstLine="0"/>
              <w:jc w:val="left"/>
              <w:rPr>
                <w:rFonts w:asciiTheme="minorHAnsi" w:hAnsiTheme="minorHAnsi"/>
                <w:b w:val="0"/>
                <w:bCs w:val="0"/>
                <w:color w:val="000000"/>
                <w:sz w:val="16"/>
                <w:szCs w:val="16"/>
              </w:rPr>
            </w:pPr>
            <w:r w:rsidRPr="00733536">
              <w:rPr>
                <w:rFonts w:asciiTheme="minorHAnsi" w:hAnsiTheme="minorHAnsi"/>
                <w:b w:val="0"/>
                <w:bCs w:val="0"/>
                <w:color w:val="000000"/>
                <w:sz w:val="16"/>
                <w:szCs w:val="16"/>
              </w:rPr>
              <w:t>Customer responsiveness/vicinity</w:t>
            </w:r>
            <w:r w:rsidR="003100F8">
              <w:rPr>
                <w:rFonts w:asciiTheme="minorHAnsi" w:hAnsiTheme="minorHAnsi"/>
                <w:b w:val="0"/>
                <w:bCs w:val="0"/>
                <w:color w:val="000000"/>
                <w:sz w:val="16"/>
                <w:szCs w:val="16"/>
              </w:rPr>
              <w:t xml:space="preserve"> - h</w:t>
            </w:r>
            <w:r w:rsidRPr="00733536">
              <w:rPr>
                <w:rFonts w:asciiTheme="minorHAnsi" w:hAnsiTheme="minorHAnsi"/>
                <w:b w:val="0"/>
                <w:bCs w:val="0"/>
                <w:color w:val="000000"/>
                <w:sz w:val="16"/>
                <w:szCs w:val="16"/>
              </w:rPr>
              <w:t>igher service quality</w:t>
            </w:r>
          </w:p>
        </w:tc>
        <w:tc>
          <w:tcPr>
            <w:tcW w:w="884" w:type="pct"/>
            <w:shd w:val="clear" w:color="auto" w:fill="auto"/>
            <w:vAlign w:val="center"/>
            <w:hideMark/>
          </w:tcPr>
          <w:p w14:paraId="2B3E2B4F" w14:textId="7602B73F" w:rsidR="003E109F" w:rsidRPr="00733536" w:rsidRDefault="003E109F" w:rsidP="00104B9D">
            <w:pPr>
              <w:framePr w:w="4961" w:vSpace="284" w:wrap="notBeside" w:vAnchor="page" w:hAnchor="page" w:x="849" w:y="1134"/>
              <w:ind w:right="227"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12.9</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3E109F" w:rsidRPr="00733536" w14:paraId="1F327732" w14:textId="77777777" w:rsidTr="00104B9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16" w:type="pct"/>
            <w:shd w:val="clear" w:color="auto" w:fill="auto"/>
            <w:vAlign w:val="center"/>
            <w:hideMark/>
          </w:tcPr>
          <w:p w14:paraId="081F1CF8" w14:textId="77777777" w:rsidR="003E109F" w:rsidRPr="00733536" w:rsidRDefault="003E109F" w:rsidP="003E109F">
            <w:pPr>
              <w:framePr w:w="4961" w:vSpace="284" w:wrap="notBeside" w:vAnchor="page" w:hAnchor="page" w:x="849" w:y="1134"/>
              <w:ind w:firstLine="0"/>
              <w:jc w:val="left"/>
              <w:rPr>
                <w:rFonts w:asciiTheme="minorHAnsi" w:hAnsiTheme="minorHAnsi"/>
                <w:b w:val="0"/>
                <w:bCs w:val="0"/>
                <w:color w:val="000000"/>
                <w:sz w:val="16"/>
                <w:szCs w:val="16"/>
              </w:rPr>
            </w:pPr>
            <w:r w:rsidRPr="00733536">
              <w:rPr>
                <w:rFonts w:asciiTheme="minorHAnsi" w:hAnsiTheme="minorHAnsi"/>
                <w:b w:val="0"/>
                <w:bCs w:val="0"/>
                <w:color w:val="000000"/>
                <w:sz w:val="16"/>
                <w:szCs w:val="16"/>
              </w:rPr>
              <w:t>Increasing labour cost in the host country (including higher productivity in the home country)</w:t>
            </w:r>
          </w:p>
        </w:tc>
        <w:tc>
          <w:tcPr>
            <w:tcW w:w="884" w:type="pct"/>
            <w:shd w:val="clear" w:color="auto" w:fill="auto"/>
            <w:vAlign w:val="center"/>
            <w:hideMark/>
          </w:tcPr>
          <w:p w14:paraId="2CA709DF" w14:textId="613CD29D" w:rsidR="003E109F" w:rsidRPr="00733536" w:rsidRDefault="003E109F" w:rsidP="00104B9D">
            <w:pPr>
              <w:framePr w:w="4961" w:vSpace="284" w:wrap="notBeside" w:vAnchor="page" w:hAnchor="page" w:x="849" w:y="1134"/>
              <w:ind w:right="227"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12.9</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3E109F" w:rsidRPr="00733536" w14:paraId="0F503A5F" w14:textId="77777777" w:rsidTr="00104B9D">
        <w:trPr>
          <w:trHeight w:val="255"/>
        </w:trPr>
        <w:tc>
          <w:tcPr>
            <w:cnfStyle w:val="001000000000" w:firstRow="0" w:lastRow="0" w:firstColumn="1" w:lastColumn="0" w:oddVBand="0" w:evenVBand="0" w:oddHBand="0" w:evenHBand="0" w:firstRowFirstColumn="0" w:firstRowLastColumn="0" w:lastRowFirstColumn="0" w:lastRowLastColumn="0"/>
            <w:tcW w:w="4116" w:type="pct"/>
            <w:shd w:val="clear" w:color="auto" w:fill="auto"/>
            <w:vAlign w:val="center"/>
            <w:hideMark/>
          </w:tcPr>
          <w:p w14:paraId="6E138211" w14:textId="77777777" w:rsidR="003E109F" w:rsidRPr="00733536" w:rsidRDefault="003E109F" w:rsidP="003E109F">
            <w:pPr>
              <w:framePr w:w="4961" w:vSpace="284" w:wrap="notBeside" w:vAnchor="page" w:hAnchor="page" w:x="849" w:y="1134"/>
              <w:ind w:firstLine="0"/>
              <w:jc w:val="left"/>
              <w:rPr>
                <w:rFonts w:asciiTheme="minorHAnsi" w:hAnsiTheme="minorHAnsi"/>
                <w:b w:val="0"/>
                <w:bCs w:val="0"/>
                <w:color w:val="000000"/>
                <w:sz w:val="16"/>
                <w:szCs w:val="16"/>
              </w:rPr>
            </w:pPr>
            <w:r w:rsidRPr="00733536">
              <w:rPr>
                <w:rFonts w:asciiTheme="minorHAnsi" w:hAnsiTheme="minorHAnsi"/>
                <w:b w:val="0"/>
                <w:bCs w:val="0"/>
                <w:color w:val="000000"/>
                <w:sz w:val="16"/>
                <w:szCs w:val="16"/>
              </w:rPr>
              <w:t>Total cost of ownership</w:t>
            </w:r>
          </w:p>
        </w:tc>
        <w:tc>
          <w:tcPr>
            <w:tcW w:w="884" w:type="pct"/>
            <w:shd w:val="clear" w:color="auto" w:fill="auto"/>
            <w:vAlign w:val="center"/>
            <w:hideMark/>
          </w:tcPr>
          <w:p w14:paraId="7D71BC42" w14:textId="7568AC12" w:rsidR="003E109F" w:rsidRPr="00733536" w:rsidRDefault="003E109F" w:rsidP="00104B9D">
            <w:pPr>
              <w:framePr w:w="4961" w:vSpace="284" w:wrap="notBeside" w:vAnchor="page" w:hAnchor="page" w:x="849" w:y="1134"/>
              <w:ind w:right="227"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12.5</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3E109F" w:rsidRPr="00733536" w14:paraId="551D21F7" w14:textId="77777777" w:rsidTr="00104B9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16" w:type="pct"/>
            <w:shd w:val="clear" w:color="auto" w:fill="auto"/>
            <w:vAlign w:val="center"/>
            <w:hideMark/>
          </w:tcPr>
          <w:p w14:paraId="13DC14DF" w14:textId="1F0DC957" w:rsidR="003E109F" w:rsidRPr="00733536" w:rsidRDefault="003100F8" w:rsidP="003E109F">
            <w:pPr>
              <w:framePr w:w="4961" w:vSpace="284" w:wrap="notBeside" w:vAnchor="page" w:hAnchor="page" w:x="849" w:y="1134"/>
              <w:ind w:firstLine="0"/>
              <w:jc w:val="left"/>
              <w:rPr>
                <w:rFonts w:asciiTheme="minorHAnsi" w:hAnsiTheme="minorHAnsi"/>
                <w:b w:val="0"/>
                <w:bCs w:val="0"/>
                <w:color w:val="000000"/>
                <w:sz w:val="16"/>
                <w:szCs w:val="16"/>
              </w:rPr>
            </w:pPr>
            <w:r>
              <w:rPr>
                <w:rFonts w:asciiTheme="minorHAnsi" w:hAnsiTheme="minorHAnsi"/>
                <w:b w:val="0"/>
                <w:bCs w:val="0"/>
                <w:color w:val="000000"/>
                <w:sz w:val="16"/>
                <w:szCs w:val="16"/>
              </w:rPr>
              <w:t>Company’s</w:t>
            </w:r>
            <w:r w:rsidR="003E109F" w:rsidRPr="00733536">
              <w:rPr>
                <w:rFonts w:asciiTheme="minorHAnsi" w:hAnsiTheme="minorHAnsi"/>
                <w:b w:val="0"/>
                <w:bCs w:val="0"/>
                <w:color w:val="000000"/>
                <w:sz w:val="16"/>
                <w:szCs w:val="16"/>
              </w:rPr>
              <w:t xml:space="preserve"> organi</w:t>
            </w:r>
            <w:r>
              <w:rPr>
                <w:rFonts w:asciiTheme="minorHAnsi" w:hAnsiTheme="minorHAnsi"/>
                <w:b w:val="0"/>
                <w:bCs w:val="0"/>
                <w:color w:val="000000"/>
                <w:sz w:val="16"/>
                <w:szCs w:val="16"/>
              </w:rPr>
              <w:t>s</w:t>
            </w:r>
            <w:r w:rsidR="003E109F" w:rsidRPr="00733536">
              <w:rPr>
                <w:rFonts w:asciiTheme="minorHAnsi" w:hAnsiTheme="minorHAnsi"/>
                <w:b w:val="0"/>
                <w:bCs w:val="0"/>
                <w:color w:val="000000"/>
                <w:sz w:val="16"/>
                <w:szCs w:val="16"/>
              </w:rPr>
              <w:t>ational restructuring</w:t>
            </w:r>
          </w:p>
        </w:tc>
        <w:tc>
          <w:tcPr>
            <w:tcW w:w="884" w:type="pct"/>
            <w:shd w:val="clear" w:color="auto" w:fill="auto"/>
            <w:vAlign w:val="center"/>
            <w:hideMark/>
          </w:tcPr>
          <w:p w14:paraId="7D1977FD" w14:textId="4B9E22FA" w:rsidR="003E109F" w:rsidRPr="00733536" w:rsidRDefault="003E109F" w:rsidP="00104B9D">
            <w:pPr>
              <w:framePr w:w="4961" w:vSpace="284" w:wrap="notBeside" w:vAnchor="page" w:hAnchor="page" w:x="849" w:y="1134"/>
              <w:ind w:right="227"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9.1</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r w:rsidR="003E109F" w:rsidRPr="00733536" w14:paraId="1B65DE8B" w14:textId="77777777" w:rsidTr="00104B9D">
        <w:trPr>
          <w:trHeight w:val="255"/>
        </w:trPr>
        <w:tc>
          <w:tcPr>
            <w:cnfStyle w:val="001000000000" w:firstRow="0" w:lastRow="0" w:firstColumn="1" w:lastColumn="0" w:oddVBand="0" w:evenVBand="0" w:oddHBand="0" w:evenHBand="0" w:firstRowFirstColumn="0" w:firstRowLastColumn="0" w:lastRowFirstColumn="0" w:lastRowLastColumn="0"/>
            <w:tcW w:w="4116" w:type="pct"/>
            <w:tcBorders>
              <w:bottom w:val="single" w:sz="4" w:space="0" w:color="auto"/>
            </w:tcBorders>
            <w:shd w:val="clear" w:color="auto" w:fill="auto"/>
            <w:vAlign w:val="center"/>
            <w:hideMark/>
          </w:tcPr>
          <w:p w14:paraId="59ACE0B6" w14:textId="77777777" w:rsidR="003E109F" w:rsidRPr="00733536" w:rsidRDefault="003E109F" w:rsidP="003E109F">
            <w:pPr>
              <w:framePr w:w="4961" w:vSpace="284" w:wrap="notBeside" w:vAnchor="page" w:hAnchor="page" w:x="849" w:y="1134"/>
              <w:ind w:firstLine="0"/>
              <w:jc w:val="left"/>
              <w:rPr>
                <w:rFonts w:asciiTheme="minorHAnsi" w:hAnsiTheme="minorHAnsi"/>
                <w:b w:val="0"/>
                <w:bCs w:val="0"/>
                <w:color w:val="000000"/>
                <w:sz w:val="16"/>
                <w:szCs w:val="16"/>
              </w:rPr>
            </w:pPr>
            <w:r w:rsidRPr="00733536">
              <w:rPr>
                <w:rFonts w:asciiTheme="minorHAnsi" w:hAnsiTheme="minorHAnsi"/>
                <w:b w:val="0"/>
                <w:bCs w:val="0"/>
                <w:color w:val="000000"/>
                <w:sz w:val="16"/>
                <w:szCs w:val="16"/>
              </w:rPr>
              <w:t>Logistic costs (including freight costs)</w:t>
            </w:r>
          </w:p>
        </w:tc>
        <w:tc>
          <w:tcPr>
            <w:tcW w:w="884" w:type="pct"/>
            <w:tcBorders>
              <w:bottom w:val="single" w:sz="4" w:space="0" w:color="auto"/>
            </w:tcBorders>
            <w:shd w:val="clear" w:color="auto" w:fill="auto"/>
            <w:vAlign w:val="center"/>
            <w:hideMark/>
          </w:tcPr>
          <w:p w14:paraId="58359A1B" w14:textId="0CB0B527" w:rsidR="003E109F" w:rsidRPr="00733536" w:rsidRDefault="003E109F" w:rsidP="00104B9D">
            <w:pPr>
              <w:framePr w:w="4961" w:vSpace="284" w:wrap="notBeside" w:vAnchor="page" w:hAnchor="page" w:x="849" w:y="1134"/>
              <w:ind w:right="227"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rPr>
            </w:pPr>
            <w:r w:rsidRPr="00733536">
              <w:rPr>
                <w:rFonts w:asciiTheme="minorHAnsi" w:hAnsiTheme="minorHAnsi"/>
                <w:color w:val="000000"/>
                <w:sz w:val="16"/>
                <w:szCs w:val="16"/>
              </w:rPr>
              <w:t>8.3</w:t>
            </w:r>
            <w:r w:rsidR="00104B9D" w:rsidRPr="00733536">
              <w:rPr>
                <w:rFonts w:asciiTheme="minorHAnsi" w:hAnsiTheme="minorHAnsi"/>
                <w:color w:val="000000"/>
                <w:sz w:val="16"/>
                <w:szCs w:val="16"/>
              </w:rPr>
              <w:t xml:space="preserve"> </w:t>
            </w:r>
            <w:r w:rsidRPr="00733536">
              <w:rPr>
                <w:rFonts w:asciiTheme="minorHAnsi" w:hAnsiTheme="minorHAnsi"/>
                <w:color w:val="000000"/>
                <w:sz w:val="16"/>
                <w:szCs w:val="16"/>
              </w:rPr>
              <w:t>%</w:t>
            </w:r>
          </w:p>
        </w:tc>
      </w:tr>
    </w:tbl>
    <w:p w14:paraId="259A503E" w14:textId="429FF511" w:rsidR="00B5710F" w:rsidRPr="00733536" w:rsidRDefault="009A0C4B" w:rsidP="00F038BA">
      <w:r w:rsidRPr="00733536">
        <w:t>It is worth noting that</w:t>
      </w:r>
      <w:r w:rsidR="003108E2">
        <w:t xml:space="preserve"> </w:t>
      </w:r>
      <w:r w:rsidR="003100F8">
        <w:t>researchers have</w:t>
      </w:r>
      <w:r w:rsidRPr="00733536">
        <w:t xml:space="preserve"> not </w:t>
      </w:r>
      <w:r w:rsidR="003108E2">
        <w:t xml:space="preserve">yet </w:t>
      </w:r>
      <w:r w:rsidR="003100F8">
        <w:t>conducted an</w:t>
      </w:r>
      <w:r w:rsidRPr="00733536">
        <w:t xml:space="preserve"> analysis aimed </w:t>
      </w:r>
      <w:r w:rsidR="003100F8">
        <w:t>at</w:t>
      </w:r>
      <w:r w:rsidRPr="00733536">
        <w:t xml:space="preserve"> investigat</w:t>
      </w:r>
      <w:r w:rsidR="003100F8">
        <w:t>ing</w:t>
      </w:r>
      <w:r w:rsidRPr="00733536">
        <w:t xml:space="preserve"> the most relevant contingency factors (e.g. company size, geographic location, motivations) </w:t>
      </w:r>
      <w:r w:rsidR="003100F8">
        <w:t xml:space="preserve">that </w:t>
      </w:r>
      <w:r w:rsidRPr="00733536">
        <w:t>characteri</w:t>
      </w:r>
      <w:r w:rsidR="003100F8">
        <w:t>se</w:t>
      </w:r>
      <w:r w:rsidRPr="00733536">
        <w:t xml:space="preserve"> the back-shoring companies. Future research should investigate this issue</w:t>
      </w:r>
      <w:r w:rsidR="003100F8">
        <w:t>,</w:t>
      </w:r>
      <w:r w:rsidRPr="00733536">
        <w:t xml:space="preserve"> which could offer useful insights.</w:t>
      </w:r>
    </w:p>
    <w:p w14:paraId="3BB8BDC8" w14:textId="5D426C69" w:rsidR="00F50BFE" w:rsidRPr="00733536" w:rsidRDefault="002502B8" w:rsidP="00F038BA">
      <w:r w:rsidRPr="00733536">
        <w:t xml:space="preserve">Focusing attention on </w:t>
      </w:r>
      <w:r w:rsidR="00621696">
        <w:t>individual</w:t>
      </w:r>
      <w:r w:rsidR="00F3540E" w:rsidRPr="00733536">
        <w:t xml:space="preserve"> </w:t>
      </w:r>
      <w:r w:rsidRPr="00733536">
        <w:t xml:space="preserve">Industry 4.0 technologies, it </w:t>
      </w:r>
      <w:r w:rsidR="003100F8">
        <w:t>is clear</w:t>
      </w:r>
      <w:r w:rsidRPr="00733536">
        <w:t xml:space="preserve"> that production automation and additive manufacturing are the only two </w:t>
      </w:r>
      <w:r w:rsidR="003100F8">
        <w:t>factors</w:t>
      </w:r>
      <w:r w:rsidR="00F3540E" w:rsidRPr="00733536">
        <w:t xml:space="preserve"> </w:t>
      </w:r>
      <w:r w:rsidRPr="00733536">
        <w:t>specifically cited by back-shoring companies</w:t>
      </w:r>
      <w:r w:rsidR="00F3540E" w:rsidRPr="00733536">
        <w:t xml:space="preserve">. This finding is consistent with </w:t>
      </w:r>
      <w:r w:rsidR="003100F8">
        <w:t xml:space="preserve">the </w:t>
      </w:r>
      <w:r w:rsidRPr="00733536">
        <w:t xml:space="preserve">previous </w:t>
      </w:r>
      <w:r w:rsidR="00F3540E" w:rsidRPr="00733536">
        <w:t xml:space="preserve">statement </w:t>
      </w:r>
      <w:r w:rsidRPr="00733536">
        <w:t xml:space="preserve">by </w:t>
      </w:r>
      <w:r w:rsidR="008F7C96" w:rsidRPr="00733536">
        <w:fldChar w:fldCharType="begin"/>
      </w:r>
      <w:r w:rsidR="008F7C96" w:rsidRPr="00733536">
        <w:instrText xml:space="preserve"> REF _Ref55223196 \r \h </w:instrText>
      </w:r>
      <w:r w:rsidR="008F7C96" w:rsidRPr="00733536">
        <w:fldChar w:fldCharType="separate"/>
      </w:r>
      <w:r w:rsidR="008F7C96" w:rsidRPr="00733536">
        <w:t>[11]</w:t>
      </w:r>
      <w:r w:rsidR="008F7C96" w:rsidRPr="00733536">
        <w:fldChar w:fldCharType="end"/>
      </w:r>
      <w:r w:rsidR="00F50BFE" w:rsidRPr="00733536">
        <w:t xml:space="preserve"> and </w:t>
      </w:r>
      <w:r w:rsidR="003100F8">
        <w:t xml:space="preserve">the </w:t>
      </w:r>
      <w:r w:rsidR="00F50BFE" w:rsidRPr="00733536">
        <w:t xml:space="preserve">results obtained </w:t>
      </w:r>
      <w:r w:rsidR="003100F8">
        <w:t xml:space="preserve">by </w:t>
      </w:r>
      <w:r w:rsidR="00F50BFE" w:rsidRPr="00733536">
        <w:t>analysing the extant literature</w:t>
      </w:r>
      <w:r w:rsidRPr="00733536">
        <w:t>. However, while automation has been declared a</w:t>
      </w:r>
      <w:r w:rsidR="00F3540E" w:rsidRPr="00733536">
        <w:t>s</w:t>
      </w:r>
      <w:r w:rsidRPr="00733536">
        <w:t xml:space="preserve"> </w:t>
      </w:r>
      <w:r w:rsidR="00F3540E" w:rsidRPr="00733536">
        <w:t xml:space="preserve">a </w:t>
      </w:r>
      <w:r w:rsidRPr="00733536">
        <w:t>back-shoring driver in 13.1</w:t>
      </w:r>
      <w:r w:rsidR="009D56E3" w:rsidRPr="00733536">
        <w:t> </w:t>
      </w:r>
      <w:r w:rsidRPr="00733536">
        <w:t>% of the sampled decisions, the adoption of additive manufacturing technologies has been considered as a reshoring motivation in only 0.5</w:t>
      </w:r>
      <w:r w:rsidR="009D56E3" w:rsidRPr="00733536">
        <w:t> </w:t>
      </w:r>
      <w:r w:rsidRPr="00733536">
        <w:t xml:space="preserve">% of the sampled relocation decisions. </w:t>
      </w:r>
    </w:p>
    <w:p w14:paraId="720EE942" w14:textId="04FC15FB" w:rsidR="00857774" w:rsidRPr="00733536" w:rsidRDefault="00C737D7" w:rsidP="00F038BA">
      <w:r w:rsidRPr="00733536">
        <w:t xml:space="preserve">It </w:t>
      </w:r>
      <w:r w:rsidR="00F50BFE" w:rsidRPr="00733536">
        <w:t xml:space="preserve">is </w:t>
      </w:r>
      <w:r w:rsidR="003108E2">
        <w:t>important to note</w:t>
      </w:r>
      <w:r w:rsidR="00F50BFE" w:rsidRPr="00733536">
        <w:t xml:space="preserve"> that, while </w:t>
      </w:r>
      <w:r w:rsidR="008F7C96" w:rsidRPr="00733536">
        <w:fldChar w:fldCharType="begin"/>
      </w:r>
      <w:r w:rsidR="008F7C96" w:rsidRPr="00733536">
        <w:instrText xml:space="preserve"> REF _Ref55223195 \r \h </w:instrText>
      </w:r>
      <w:r w:rsidR="008F7C96" w:rsidRPr="00733536">
        <w:fldChar w:fldCharType="separate"/>
      </w:r>
      <w:r w:rsidR="008F7C96" w:rsidRPr="00733536">
        <w:t>[10]</w:t>
      </w:r>
      <w:r w:rsidR="008F7C96" w:rsidRPr="00733536">
        <w:fldChar w:fldCharType="end"/>
      </w:r>
      <w:r w:rsidR="002502B8" w:rsidRPr="00733536">
        <w:t xml:space="preserve"> and </w:t>
      </w:r>
      <w:r w:rsidR="008F7C96" w:rsidRPr="00733536">
        <w:fldChar w:fldCharType="begin"/>
      </w:r>
      <w:r w:rsidR="008F7C96" w:rsidRPr="00733536">
        <w:instrText xml:space="preserve"> REF _Ref55223196 \r \h </w:instrText>
      </w:r>
      <w:r w:rsidR="008F7C96" w:rsidRPr="00733536">
        <w:fldChar w:fldCharType="separate"/>
      </w:r>
      <w:r w:rsidR="008F7C96" w:rsidRPr="00733536">
        <w:t>[11]</w:t>
      </w:r>
      <w:r w:rsidR="008F7C96" w:rsidRPr="00733536">
        <w:fldChar w:fldCharType="end"/>
      </w:r>
      <w:r w:rsidR="00F20489" w:rsidRPr="00733536">
        <w:t xml:space="preserve"> </w:t>
      </w:r>
      <w:r w:rsidR="00F50BFE" w:rsidRPr="00733536">
        <w:t>suggested</w:t>
      </w:r>
      <w:r w:rsidR="003100F8">
        <w:t xml:space="preserve"> that</w:t>
      </w:r>
      <w:r w:rsidR="00F50BFE" w:rsidRPr="00733536">
        <w:t xml:space="preserve"> the adoption </w:t>
      </w:r>
      <w:r w:rsidR="003100F8">
        <w:t xml:space="preserve">of </w:t>
      </w:r>
      <w:r w:rsidRPr="00733536">
        <w:t>production automation</w:t>
      </w:r>
      <w:r w:rsidR="002502B8" w:rsidRPr="00733536">
        <w:t xml:space="preserve"> is more consistent with </w:t>
      </w:r>
      <w:r w:rsidR="003100F8">
        <w:t>‘</w:t>
      </w:r>
      <w:r w:rsidR="002502B8" w:rsidRPr="00733536">
        <w:t>cost-oriented</w:t>
      </w:r>
      <w:r w:rsidR="003100F8">
        <w:t>’</w:t>
      </w:r>
      <w:r w:rsidR="002502B8" w:rsidRPr="00733536">
        <w:t xml:space="preserve"> and </w:t>
      </w:r>
      <w:r w:rsidR="003100F8">
        <w:t>‘</w:t>
      </w:r>
      <w:r w:rsidR="002502B8" w:rsidRPr="00733536">
        <w:t>flexibility-oriented</w:t>
      </w:r>
      <w:r w:rsidR="003100F8">
        <w:t>’</w:t>
      </w:r>
      <w:r w:rsidR="002502B8" w:rsidRPr="00733536">
        <w:t xml:space="preserve"> back-shoring decisions</w:t>
      </w:r>
      <w:r w:rsidRPr="00733536">
        <w:t>,</w:t>
      </w:r>
      <w:r w:rsidR="008D0391" w:rsidRPr="00733536">
        <w:t xml:space="preserve"> </w:t>
      </w:r>
      <w:r w:rsidR="002502B8" w:rsidRPr="00733536">
        <w:t>our data show</w:t>
      </w:r>
      <w:r w:rsidR="003100F8">
        <w:t>s</w:t>
      </w:r>
      <w:r w:rsidR="002502B8" w:rsidRPr="00733536">
        <w:t xml:space="preserve"> that </w:t>
      </w:r>
      <w:r w:rsidRPr="00733536">
        <w:t>such technology</w:t>
      </w:r>
      <w:r w:rsidR="002502B8" w:rsidRPr="00733536">
        <w:t xml:space="preserve"> has been cited </w:t>
      </w:r>
      <w:r w:rsidR="003100F8" w:rsidRPr="00733536">
        <w:t xml:space="preserve">jointly </w:t>
      </w:r>
      <w:r w:rsidR="002502B8" w:rsidRPr="00733536">
        <w:t xml:space="preserve">with </w:t>
      </w:r>
      <w:r w:rsidR="008D0391" w:rsidRPr="00733536">
        <w:t xml:space="preserve">drivers belonging to </w:t>
      </w:r>
      <w:r w:rsidR="002502B8" w:rsidRPr="00733536">
        <w:t>quality oriented relocation decisions</w:t>
      </w:r>
      <w:r w:rsidR="008D0391" w:rsidRPr="00733536">
        <w:t>. More specifically, the adoption of the investigated technology was coupled with</w:t>
      </w:r>
      <w:r w:rsidR="007D7D52">
        <w:t xml:space="preserve"> the</w:t>
      </w:r>
      <w:r w:rsidR="008D0391" w:rsidRPr="00733536">
        <w:t xml:space="preserve"> </w:t>
      </w:r>
      <w:r w:rsidR="003100F8">
        <w:t>‘</w:t>
      </w:r>
      <w:r w:rsidR="002502B8" w:rsidRPr="00733536">
        <w:t>Cost and difficulties in controlling the host country activities</w:t>
      </w:r>
      <w:r w:rsidR="003100F8">
        <w:t>’</w:t>
      </w:r>
      <w:r w:rsidR="002502B8" w:rsidRPr="00733536">
        <w:t xml:space="preserve">, </w:t>
      </w:r>
      <w:r w:rsidR="007D7D52">
        <w:t xml:space="preserve">the </w:t>
      </w:r>
      <w:r w:rsidR="003100F8">
        <w:t>‘</w:t>
      </w:r>
      <w:r w:rsidR="002502B8" w:rsidRPr="00733536">
        <w:t>Made in effect</w:t>
      </w:r>
      <w:r w:rsidR="003100F8">
        <w:t>’</w:t>
      </w:r>
      <w:r w:rsidR="002502B8" w:rsidRPr="00733536">
        <w:t xml:space="preserve"> and </w:t>
      </w:r>
      <w:r w:rsidR="007D7D52">
        <w:t xml:space="preserve">the </w:t>
      </w:r>
      <w:r w:rsidR="003100F8">
        <w:t>‘</w:t>
      </w:r>
      <w:r w:rsidR="002502B8" w:rsidRPr="00733536">
        <w:t>Delivery time</w:t>
      </w:r>
      <w:r w:rsidR="003100F8">
        <w:t>’</w:t>
      </w:r>
      <w:r w:rsidR="002502B8" w:rsidRPr="00733536">
        <w:t xml:space="preserve"> (</w:t>
      </w:r>
      <w:r w:rsidR="00542406" w:rsidRPr="00733536">
        <w:fldChar w:fldCharType="begin"/>
      </w:r>
      <w:r w:rsidR="00542406" w:rsidRPr="00733536">
        <w:instrText xml:space="preserve"> REF _Ref55216721 \h </w:instrText>
      </w:r>
      <w:r w:rsidR="00542406" w:rsidRPr="00733536">
        <w:fldChar w:fldCharType="separate"/>
      </w:r>
      <w:r w:rsidR="008F7C96" w:rsidRPr="00733536">
        <w:rPr>
          <w:szCs w:val="20"/>
          <w:lang w:eastAsia="ko-KR"/>
        </w:rPr>
        <w:t xml:space="preserve">Table </w:t>
      </w:r>
      <w:r w:rsidR="008F7C96" w:rsidRPr="00733536">
        <w:rPr>
          <w:noProof/>
        </w:rPr>
        <w:t>6</w:t>
      </w:r>
      <w:r w:rsidR="00542406" w:rsidRPr="00733536">
        <w:fldChar w:fldCharType="end"/>
      </w:r>
      <w:r w:rsidR="002502B8" w:rsidRPr="00733536">
        <w:t>).</w:t>
      </w:r>
    </w:p>
    <w:p w14:paraId="35B2F7F2" w14:textId="55E3E884" w:rsidR="003E109F" w:rsidRPr="00733536" w:rsidRDefault="003E109F" w:rsidP="003E109F">
      <w:pPr>
        <w:pStyle w:val="FigureCaption"/>
        <w:framePr w:w="4961" w:vSpace="284" w:wrap="notBeside" w:hAnchor="margin" w:yAlign="bottom"/>
        <w:spacing w:before="0" w:after="120"/>
      </w:pPr>
      <w:bookmarkStart w:id="21" w:name="_Ref55216733"/>
      <w:r w:rsidRPr="00733536">
        <w:rPr>
          <w:szCs w:val="20"/>
          <w:lang w:eastAsia="ko-KR"/>
        </w:rPr>
        <w:t xml:space="preserve">Table </w:t>
      </w:r>
      <w:r w:rsidRPr="00733536">
        <w:fldChar w:fldCharType="begin"/>
      </w:r>
      <w:r w:rsidRPr="00733536">
        <w:instrText xml:space="preserve"> SEQ Table \* ARABIC </w:instrText>
      </w:r>
      <w:r w:rsidRPr="00733536">
        <w:fldChar w:fldCharType="separate"/>
      </w:r>
      <w:r w:rsidR="008F7C96" w:rsidRPr="00733536">
        <w:rPr>
          <w:noProof/>
        </w:rPr>
        <w:t>7</w:t>
      </w:r>
      <w:r w:rsidRPr="00733536">
        <w:fldChar w:fldCharType="end"/>
      </w:r>
      <w:bookmarkEnd w:id="21"/>
      <w:r w:rsidRPr="00733536">
        <w:rPr>
          <w:szCs w:val="20"/>
          <w:lang w:eastAsia="ko-KR"/>
        </w:rPr>
        <w:t xml:space="preserve">. </w:t>
      </w:r>
      <w:r w:rsidRPr="00733536">
        <w:rPr>
          <w:rFonts w:eastAsia="Malgun Gothic"/>
          <w:bCs/>
          <w:szCs w:val="16"/>
          <w:lang w:eastAsia="ko-KR"/>
        </w:rPr>
        <w:t xml:space="preserve">Back-shoring evidence citing production automation: breakdown by </w:t>
      </w:r>
      <w:r w:rsidR="0053491F">
        <w:rPr>
          <w:rFonts w:eastAsia="Malgun Gothic"/>
          <w:bCs/>
          <w:szCs w:val="16"/>
          <w:lang w:eastAsia="ko-KR"/>
        </w:rPr>
        <w:t>company</w:t>
      </w:r>
      <w:r w:rsidRPr="00733536">
        <w:rPr>
          <w:rFonts w:eastAsia="Malgun Gothic"/>
          <w:bCs/>
          <w:szCs w:val="16"/>
          <w:lang w:eastAsia="ko-KR"/>
        </w:rPr>
        <w:t xml:space="preserve"> size. </w:t>
      </w:r>
      <w:r w:rsidRPr="00733536">
        <w:rPr>
          <w:rFonts w:eastAsia="Malgun Gothic"/>
          <w:szCs w:val="16"/>
          <w:lang w:eastAsia="ko-KR"/>
        </w:rPr>
        <w:t xml:space="preserve">Source: </w:t>
      </w:r>
      <w:r w:rsidRPr="00733536">
        <w:rPr>
          <w:rFonts w:asciiTheme="minorHAnsi" w:hAnsiTheme="minorHAnsi"/>
          <w:szCs w:val="21"/>
        </w:rPr>
        <w:t>UMRD</w:t>
      </w:r>
    </w:p>
    <w:tbl>
      <w:tblPr>
        <w:tblStyle w:val="Tabellasemplice41"/>
        <w:tblW w:w="4820" w:type="dxa"/>
        <w:tblLayout w:type="fixed"/>
        <w:tblCellMar>
          <w:left w:w="0" w:type="dxa"/>
          <w:right w:w="0" w:type="dxa"/>
        </w:tblCellMar>
        <w:tblLook w:val="04A0" w:firstRow="1" w:lastRow="0" w:firstColumn="1" w:lastColumn="0" w:noHBand="0" w:noVBand="1"/>
      </w:tblPr>
      <w:tblGrid>
        <w:gridCol w:w="2750"/>
        <w:gridCol w:w="2070"/>
      </w:tblGrid>
      <w:tr w:rsidR="003E109F" w:rsidRPr="00733536" w14:paraId="475F920E" w14:textId="77777777" w:rsidTr="003E109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3" w:type="pct"/>
            <w:tcBorders>
              <w:top w:val="single" w:sz="4" w:space="0" w:color="auto"/>
              <w:bottom w:val="single" w:sz="4" w:space="0" w:color="auto"/>
            </w:tcBorders>
            <w:shd w:val="clear" w:color="auto" w:fill="auto"/>
            <w:noWrap/>
            <w:vAlign w:val="center"/>
            <w:hideMark/>
          </w:tcPr>
          <w:p w14:paraId="64FD4DBA" w14:textId="235C01D9" w:rsidR="003E109F" w:rsidRPr="00733536" w:rsidRDefault="0053491F" w:rsidP="003E109F">
            <w:pPr>
              <w:framePr w:w="4961" w:vSpace="284" w:wrap="notBeside" w:hAnchor="margin" w:yAlign="bottom"/>
              <w:ind w:firstLine="0"/>
              <w:jc w:val="center"/>
              <w:rPr>
                <w:rFonts w:ascii="Calibri" w:hAnsi="Calibri"/>
                <w:color w:val="000000"/>
                <w:sz w:val="16"/>
                <w:szCs w:val="16"/>
                <w:lang w:eastAsia="ko-KR"/>
              </w:rPr>
            </w:pPr>
            <w:r>
              <w:rPr>
                <w:rFonts w:ascii="Calibri" w:hAnsi="Calibri"/>
                <w:color w:val="000000"/>
                <w:sz w:val="16"/>
                <w:szCs w:val="16"/>
                <w:lang w:eastAsia="ko-KR"/>
              </w:rPr>
              <w:t>Company</w:t>
            </w:r>
            <w:r w:rsidR="003E109F" w:rsidRPr="00733536">
              <w:rPr>
                <w:rFonts w:ascii="Calibri" w:hAnsi="Calibri"/>
                <w:color w:val="000000"/>
                <w:sz w:val="16"/>
                <w:szCs w:val="16"/>
                <w:lang w:eastAsia="ko-KR"/>
              </w:rPr>
              <w:t xml:space="preserve"> size</w:t>
            </w:r>
          </w:p>
        </w:tc>
        <w:tc>
          <w:tcPr>
            <w:tcW w:w="2147" w:type="pct"/>
            <w:tcBorders>
              <w:top w:val="single" w:sz="4" w:space="0" w:color="auto"/>
              <w:bottom w:val="single" w:sz="4" w:space="0" w:color="auto"/>
            </w:tcBorders>
            <w:shd w:val="clear" w:color="auto" w:fill="auto"/>
            <w:noWrap/>
            <w:vAlign w:val="center"/>
            <w:hideMark/>
          </w:tcPr>
          <w:p w14:paraId="649BC849" w14:textId="77777777" w:rsidR="003E109F" w:rsidRPr="00733536" w:rsidRDefault="003E109F" w:rsidP="003E109F">
            <w:pPr>
              <w:framePr w:w="4961" w:vSpace="284" w:wrap="notBeside" w:hAnchor="margin" w:yAlign="bottom"/>
              <w:ind w:firstLine="0"/>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Decisions</w:t>
            </w:r>
          </w:p>
        </w:tc>
      </w:tr>
      <w:tr w:rsidR="003E109F" w:rsidRPr="00733536" w14:paraId="514EDD2B" w14:textId="77777777" w:rsidTr="003E109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53" w:type="pct"/>
            <w:tcBorders>
              <w:top w:val="single" w:sz="4" w:space="0" w:color="auto"/>
            </w:tcBorders>
            <w:shd w:val="clear" w:color="auto" w:fill="auto"/>
            <w:noWrap/>
            <w:vAlign w:val="center"/>
            <w:hideMark/>
          </w:tcPr>
          <w:p w14:paraId="3872EE64" w14:textId="77777777" w:rsidR="003E109F" w:rsidRPr="00733536" w:rsidRDefault="003E109F" w:rsidP="003E109F">
            <w:pPr>
              <w:framePr w:w="4961" w:vSpace="284" w:wrap="notBeside" w:hAnchor="margin" w:yAlign="bottom"/>
              <w:ind w:firstLine="0"/>
              <w:jc w:val="left"/>
              <w:rPr>
                <w:rFonts w:ascii="Calibri" w:hAnsi="Calibri"/>
                <w:b w:val="0"/>
                <w:bCs w:val="0"/>
                <w:color w:val="000000"/>
                <w:sz w:val="16"/>
                <w:szCs w:val="16"/>
                <w:lang w:eastAsia="ko-KR"/>
              </w:rPr>
            </w:pPr>
            <w:r w:rsidRPr="00733536">
              <w:rPr>
                <w:rFonts w:ascii="Calibri" w:hAnsi="Calibri"/>
                <w:b w:val="0"/>
                <w:bCs w:val="0"/>
                <w:color w:val="000000"/>
                <w:sz w:val="16"/>
                <w:szCs w:val="16"/>
                <w:lang w:eastAsia="ko-KR"/>
              </w:rPr>
              <w:t>Large</w:t>
            </w:r>
          </w:p>
        </w:tc>
        <w:tc>
          <w:tcPr>
            <w:tcW w:w="2147" w:type="pct"/>
            <w:tcBorders>
              <w:top w:val="single" w:sz="4" w:space="0" w:color="auto"/>
            </w:tcBorders>
            <w:shd w:val="clear" w:color="auto" w:fill="auto"/>
            <w:noWrap/>
            <w:vAlign w:val="center"/>
            <w:hideMark/>
          </w:tcPr>
          <w:p w14:paraId="2C303ADC" w14:textId="61CBBCDF" w:rsidR="003E109F" w:rsidRPr="00733536" w:rsidRDefault="003E109F" w:rsidP="00104B9D">
            <w:pPr>
              <w:framePr w:w="4961" w:vSpace="284" w:wrap="notBeside" w:hAnchor="margin" w:yAlign="bottom"/>
              <w:ind w:right="847"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11.5</w:t>
            </w:r>
            <w:r w:rsidR="00104B9D" w:rsidRPr="00733536">
              <w:rPr>
                <w:rFonts w:ascii="Calibri" w:hAnsi="Calibri"/>
                <w:color w:val="000000"/>
                <w:sz w:val="16"/>
                <w:szCs w:val="16"/>
                <w:lang w:eastAsia="ko-KR"/>
              </w:rPr>
              <w:t xml:space="preserve"> </w:t>
            </w:r>
            <w:r w:rsidRPr="00733536">
              <w:rPr>
                <w:rFonts w:ascii="Calibri" w:hAnsi="Calibri"/>
                <w:color w:val="000000"/>
                <w:sz w:val="16"/>
                <w:szCs w:val="16"/>
                <w:lang w:eastAsia="ko-KR"/>
              </w:rPr>
              <w:t>%</w:t>
            </w:r>
          </w:p>
        </w:tc>
      </w:tr>
      <w:tr w:rsidR="003E109F" w:rsidRPr="00733536" w14:paraId="4A257491" w14:textId="77777777" w:rsidTr="003E109F">
        <w:trPr>
          <w:trHeight w:val="255"/>
        </w:trPr>
        <w:tc>
          <w:tcPr>
            <w:cnfStyle w:val="001000000000" w:firstRow="0" w:lastRow="0" w:firstColumn="1" w:lastColumn="0" w:oddVBand="0" w:evenVBand="0" w:oddHBand="0" w:evenHBand="0" w:firstRowFirstColumn="0" w:firstRowLastColumn="0" w:lastRowFirstColumn="0" w:lastRowLastColumn="0"/>
            <w:tcW w:w="2853" w:type="pct"/>
            <w:shd w:val="clear" w:color="auto" w:fill="auto"/>
            <w:noWrap/>
            <w:vAlign w:val="center"/>
            <w:hideMark/>
          </w:tcPr>
          <w:p w14:paraId="59878CE4" w14:textId="77777777" w:rsidR="003E109F" w:rsidRPr="00733536" w:rsidRDefault="003E109F" w:rsidP="003E109F">
            <w:pPr>
              <w:framePr w:w="4961" w:vSpace="284" w:wrap="notBeside" w:hAnchor="margin" w:yAlign="bottom"/>
              <w:ind w:firstLine="0"/>
              <w:jc w:val="left"/>
              <w:rPr>
                <w:rFonts w:ascii="Calibri" w:hAnsi="Calibri"/>
                <w:b w:val="0"/>
                <w:bCs w:val="0"/>
                <w:color w:val="000000"/>
                <w:sz w:val="16"/>
                <w:szCs w:val="16"/>
                <w:lang w:eastAsia="ko-KR"/>
              </w:rPr>
            </w:pPr>
            <w:r w:rsidRPr="00733536">
              <w:rPr>
                <w:rFonts w:ascii="Calibri" w:hAnsi="Calibri"/>
                <w:b w:val="0"/>
                <w:bCs w:val="0"/>
                <w:color w:val="000000"/>
                <w:sz w:val="16"/>
                <w:szCs w:val="16"/>
                <w:lang w:eastAsia="ko-KR"/>
              </w:rPr>
              <w:t>Medium</w:t>
            </w:r>
          </w:p>
        </w:tc>
        <w:tc>
          <w:tcPr>
            <w:tcW w:w="2147" w:type="pct"/>
            <w:shd w:val="clear" w:color="auto" w:fill="auto"/>
            <w:noWrap/>
            <w:vAlign w:val="center"/>
            <w:hideMark/>
          </w:tcPr>
          <w:p w14:paraId="4034F19A" w14:textId="60199F4F" w:rsidR="003E109F" w:rsidRPr="00733536" w:rsidRDefault="003E109F" w:rsidP="00104B9D">
            <w:pPr>
              <w:framePr w:w="4961" w:vSpace="284" w:wrap="notBeside" w:hAnchor="margin" w:yAlign="bottom"/>
              <w:ind w:right="847" w:firstLine="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18.2</w:t>
            </w:r>
            <w:r w:rsidR="00104B9D" w:rsidRPr="00733536">
              <w:rPr>
                <w:rFonts w:ascii="Calibri" w:hAnsi="Calibri"/>
                <w:color w:val="000000"/>
                <w:sz w:val="16"/>
                <w:szCs w:val="16"/>
                <w:lang w:eastAsia="ko-KR"/>
              </w:rPr>
              <w:t xml:space="preserve"> </w:t>
            </w:r>
            <w:r w:rsidRPr="00733536">
              <w:rPr>
                <w:rFonts w:ascii="Calibri" w:hAnsi="Calibri"/>
                <w:color w:val="000000"/>
                <w:sz w:val="16"/>
                <w:szCs w:val="16"/>
                <w:lang w:eastAsia="ko-KR"/>
              </w:rPr>
              <w:t>%</w:t>
            </w:r>
          </w:p>
        </w:tc>
      </w:tr>
      <w:tr w:rsidR="003E109F" w:rsidRPr="00733536" w14:paraId="1EC2A8B3" w14:textId="77777777" w:rsidTr="003E109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53" w:type="pct"/>
            <w:shd w:val="clear" w:color="auto" w:fill="auto"/>
            <w:noWrap/>
            <w:vAlign w:val="center"/>
            <w:hideMark/>
          </w:tcPr>
          <w:p w14:paraId="19F5AD6E" w14:textId="77777777" w:rsidR="003E109F" w:rsidRPr="00733536" w:rsidRDefault="003E109F" w:rsidP="003E109F">
            <w:pPr>
              <w:framePr w:w="4961" w:vSpace="284" w:wrap="notBeside" w:hAnchor="margin" w:yAlign="bottom"/>
              <w:ind w:firstLine="0"/>
              <w:jc w:val="left"/>
              <w:rPr>
                <w:rFonts w:ascii="Calibri" w:hAnsi="Calibri"/>
                <w:b w:val="0"/>
                <w:bCs w:val="0"/>
                <w:color w:val="000000"/>
                <w:sz w:val="16"/>
                <w:szCs w:val="16"/>
                <w:lang w:eastAsia="ko-KR"/>
              </w:rPr>
            </w:pPr>
            <w:r w:rsidRPr="00733536">
              <w:rPr>
                <w:rFonts w:ascii="Calibri" w:hAnsi="Calibri"/>
                <w:b w:val="0"/>
                <w:bCs w:val="0"/>
                <w:color w:val="000000"/>
                <w:sz w:val="16"/>
                <w:szCs w:val="16"/>
                <w:lang w:eastAsia="ko-KR"/>
              </w:rPr>
              <w:t>Small &amp; micro</w:t>
            </w:r>
          </w:p>
        </w:tc>
        <w:tc>
          <w:tcPr>
            <w:tcW w:w="2147" w:type="pct"/>
            <w:shd w:val="clear" w:color="auto" w:fill="auto"/>
            <w:noWrap/>
            <w:vAlign w:val="center"/>
            <w:hideMark/>
          </w:tcPr>
          <w:p w14:paraId="010B04C5" w14:textId="520193E8" w:rsidR="003E109F" w:rsidRPr="00733536" w:rsidRDefault="003E109F" w:rsidP="00104B9D">
            <w:pPr>
              <w:framePr w:w="4961" w:vSpace="284" w:wrap="notBeside" w:hAnchor="margin" w:yAlign="bottom"/>
              <w:ind w:right="847"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12.2</w:t>
            </w:r>
            <w:r w:rsidR="00104B9D" w:rsidRPr="00733536">
              <w:rPr>
                <w:rFonts w:ascii="Calibri" w:hAnsi="Calibri"/>
                <w:color w:val="000000"/>
                <w:sz w:val="16"/>
                <w:szCs w:val="16"/>
                <w:lang w:eastAsia="ko-KR"/>
              </w:rPr>
              <w:t xml:space="preserve"> </w:t>
            </w:r>
            <w:r w:rsidRPr="00733536">
              <w:rPr>
                <w:rFonts w:ascii="Calibri" w:hAnsi="Calibri"/>
                <w:color w:val="000000"/>
                <w:sz w:val="16"/>
                <w:szCs w:val="16"/>
                <w:lang w:eastAsia="ko-KR"/>
              </w:rPr>
              <w:t>%</w:t>
            </w:r>
          </w:p>
        </w:tc>
      </w:tr>
      <w:tr w:rsidR="003E109F" w:rsidRPr="00733536" w14:paraId="6DAB4533" w14:textId="77777777" w:rsidTr="003E109F">
        <w:trPr>
          <w:trHeight w:val="255"/>
        </w:trPr>
        <w:tc>
          <w:tcPr>
            <w:cnfStyle w:val="001000000000" w:firstRow="0" w:lastRow="0" w:firstColumn="1" w:lastColumn="0" w:oddVBand="0" w:evenVBand="0" w:oddHBand="0" w:evenHBand="0" w:firstRowFirstColumn="0" w:firstRowLastColumn="0" w:lastRowFirstColumn="0" w:lastRowLastColumn="0"/>
            <w:tcW w:w="2853" w:type="pct"/>
            <w:shd w:val="clear" w:color="auto" w:fill="auto"/>
            <w:noWrap/>
            <w:vAlign w:val="center"/>
            <w:hideMark/>
          </w:tcPr>
          <w:p w14:paraId="2CCE982C" w14:textId="1BBF98E8" w:rsidR="003E109F" w:rsidRPr="00733536" w:rsidRDefault="0053491F" w:rsidP="003E109F">
            <w:pPr>
              <w:framePr w:w="4961" w:vSpace="284" w:wrap="notBeside" w:hAnchor="margin" w:yAlign="bottom"/>
              <w:ind w:firstLine="0"/>
              <w:jc w:val="left"/>
              <w:rPr>
                <w:rFonts w:ascii="Calibri" w:hAnsi="Calibri"/>
                <w:b w:val="0"/>
                <w:bCs w:val="0"/>
                <w:color w:val="000000"/>
                <w:sz w:val="16"/>
                <w:szCs w:val="16"/>
                <w:lang w:eastAsia="ko-KR"/>
              </w:rPr>
            </w:pPr>
            <w:r>
              <w:rPr>
                <w:rFonts w:ascii="Calibri" w:hAnsi="Calibri"/>
                <w:b w:val="0"/>
                <w:bCs w:val="0"/>
                <w:color w:val="000000"/>
                <w:sz w:val="16"/>
                <w:szCs w:val="16"/>
                <w:lang w:eastAsia="ko-KR"/>
              </w:rPr>
              <w:t>Not available</w:t>
            </w:r>
          </w:p>
        </w:tc>
        <w:tc>
          <w:tcPr>
            <w:tcW w:w="2147" w:type="pct"/>
            <w:shd w:val="clear" w:color="auto" w:fill="auto"/>
            <w:noWrap/>
            <w:vAlign w:val="center"/>
            <w:hideMark/>
          </w:tcPr>
          <w:p w14:paraId="0CB0975B" w14:textId="77777777" w:rsidR="003E109F" w:rsidRPr="00733536" w:rsidRDefault="003E109F" w:rsidP="00104B9D">
            <w:pPr>
              <w:framePr w:w="4961" w:vSpace="284" w:wrap="notBeside" w:hAnchor="margin" w:yAlign="bottom"/>
              <w:ind w:right="847" w:firstLine="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w:t>
            </w:r>
          </w:p>
        </w:tc>
      </w:tr>
      <w:tr w:rsidR="003E109F" w:rsidRPr="00733536" w14:paraId="1AE7C850" w14:textId="77777777" w:rsidTr="003E109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53" w:type="pct"/>
            <w:tcBorders>
              <w:bottom w:val="single" w:sz="4" w:space="0" w:color="auto"/>
            </w:tcBorders>
            <w:shd w:val="clear" w:color="auto" w:fill="auto"/>
            <w:noWrap/>
            <w:vAlign w:val="center"/>
            <w:hideMark/>
          </w:tcPr>
          <w:p w14:paraId="5E8AB47E" w14:textId="77777777" w:rsidR="003E109F" w:rsidRPr="00733536" w:rsidRDefault="003E109F" w:rsidP="003E109F">
            <w:pPr>
              <w:framePr w:w="4961" w:vSpace="284" w:wrap="notBeside" w:hAnchor="margin" w:yAlign="bottom"/>
              <w:ind w:firstLine="0"/>
              <w:jc w:val="left"/>
              <w:rPr>
                <w:rFonts w:ascii="Calibri" w:hAnsi="Calibri"/>
                <w:b w:val="0"/>
                <w:bCs w:val="0"/>
                <w:color w:val="000000"/>
                <w:sz w:val="16"/>
                <w:szCs w:val="16"/>
                <w:lang w:eastAsia="ko-KR"/>
              </w:rPr>
            </w:pPr>
            <w:r w:rsidRPr="00733536">
              <w:rPr>
                <w:rFonts w:ascii="Calibri" w:hAnsi="Calibri"/>
                <w:b w:val="0"/>
                <w:bCs w:val="0"/>
                <w:color w:val="000000"/>
                <w:sz w:val="16"/>
                <w:szCs w:val="16"/>
                <w:lang w:eastAsia="ko-KR"/>
              </w:rPr>
              <w:t>Total</w:t>
            </w:r>
          </w:p>
        </w:tc>
        <w:tc>
          <w:tcPr>
            <w:tcW w:w="2147" w:type="pct"/>
            <w:tcBorders>
              <w:bottom w:val="single" w:sz="4" w:space="0" w:color="auto"/>
            </w:tcBorders>
            <w:shd w:val="clear" w:color="auto" w:fill="auto"/>
            <w:noWrap/>
            <w:vAlign w:val="center"/>
            <w:hideMark/>
          </w:tcPr>
          <w:p w14:paraId="0A3B2ADB" w14:textId="21940EF0" w:rsidR="003E109F" w:rsidRPr="00733536" w:rsidRDefault="003E109F" w:rsidP="00104B9D">
            <w:pPr>
              <w:framePr w:w="4961" w:vSpace="284" w:wrap="notBeside" w:hAnchor="margin" w:yAlign="bottom"/>
              <w:ind w:right="847"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lang w:eastAsia="ko-KR"/>
              </w:rPr>
            </w:pPr>
            <w:r w:rsidRPr="00733536">
              <w:rPr>
                <w:rFonts w:ascii="Calibri" w:hAnsi="Calibri"/>
                <w:color w:val="000000"/>
                <w:sz w:val="16"/>
                <w:szCs w:val="16"/>
                <w:lang w:eastAsia="ko-KR"/>
              </w:rPr>
              <w:t>13.1</w:t>
            </w:r>
            <w:r w:rsidR="00104B9D" w:rsidRPr="00733536">
              <w:rPr>
                <w:rFonts w:ascii="Calibri" w:hAnsi="Calibri"/>
                <w:color w:val="000000"/>
                <w:sz w:val="16"/>
                <w:szCs w:val="16"/>
                <w:lang w:eastAsia="ko-KR"/>
              </w:rPr>
              <w:t xml:space="preserve"> </w:t>
            </w:r>
            <w:r w:rsidRPr="00733536">
              <w:rPr>
                <w:rFonts w:ascii="Calibri" w:hAnsi="Calibri"/>
                <w:color w:val="000000"/>
                <w:sz w:val="16"/>
                <w:szCs w:val="16"/>
                <w:lang w:eastAsia="ko-KR"/>
              </w:rPr>
              <w:t>%</w:t>
            </w:r>
          </w:p>
        </w:tc>
      </w:tr>
    </w:tbl>
    <w:p w14:paraId="483FFCCB" w14:textId="24CAB43F" w:rsidR="008D0391" w:rsidRPr="00733536" w:rsidRDefault="008D0391" w:rsidP="00F038BA">
      <w:r w:rsidRPr="00733536">
        <w:t>Further insights regarding the role of pro</w:t>
      </w:r>
      <w:r w:rsidR="00C737D7" w:rsidRPr="00733536">
        <w:t xml:space="preserve">duction automaton emerge when considering contingency factors. Among them, the breakdown by </w:t>
      </w:r>
      <w:r w:rsidR="003100F8">
        <w:t xml:space="preserve">company </w:t>
      </w:r>
      <w:r w:rsidR="00C737D7" w:rsidRPr="00733536">
        <w:t>size unexpectedly shows this technology</w:t>
      </w:r>
      <w:r w:rsidR="003100F8">
        <w:t>,</w:t>
      </w:r>
      <w:r w:rsidR="00C737D7" w:rsidRPr="00733536">
        <w:t xml:space="preserve"> which generally requires high levels of investment</w:t>
      </w:r>
      <w:r w:rsidR="0053491F">
        <w:t>,</w:t>
      </w:r>
      <w:r w:rsidR="00C737D7" w:rsidRPr="00733536">
        <w:t xml:space="preserve"> is adopted</w:t>
      </w:r>
      <w:r w:rsidR="0053491F">
        <w:t xml:space="preserve"> primarily</w:t>
      </w:r>
      <w:r w:rsidR="00C737D7" w:rsidRPr="00733536">
        <w:t xml:space="preserve"> by medium-sized companies (18.2</w:t>
      </w:r>
      <w:r w:rsidR="009D56E3" w:rsidRPr="00733536">
        <w:t> </w:t>
      </w:r>
      <w:r w:rsidR="00C737D7" w:rsidRPr="00733536">
        <w:t xml:space="preserve">% of total </w:t>
      </w:r>
      <w:r w:rsidR="0053491F">
        <w:t>companies</w:t>
      </w:r>
      <w:r w:rsidR="00C737D7" w:rsidRPr="00733536">
        <w:t xml:space="preserve"> in the size range) and small/micro </w:t>
      </w:r>
      <w:r w:rsidR="0053491F">
        <w:t>companies</w:t>
      </w:r>
      <w:r w:rsidR="00C737D7" w:rsidRPr="00733536">
        <w:t xml:space="preserve"> (12</w:t>
      </w:r>
      <w:r w:rsidR="00903C55" w:rsidRPr="00733536">
        <w:t>.</w:t>
      </w:r>
      <w:r w:rsidR="00C737D7" w:rsidRPr="00733536">
        <w:t>2</w:t>
      </w:r>
      <w:r w:rsidR="009D56E3" w:rsidRPr="00733536">
        <w:t> </w:t>
      </w:r>
      <w:r w:rsidR="00C737D7" w:rsidRPr="00733536">
        <w:t>%) rather than large ones (11.5</w:t>
      </w:r>
      <w:r w:rsidR="009D56E3" w:rsidRPr="00733536">
        <w:t> </w:t>
      </w:r>
      <w:r w:rsidR="00C737D7" w:rsidRPr="00733536">
        <w:t>%) (</w:t>
      </w:r>
      <w:r w:rsidR="00542406" w:rsidRPr="00733536">
        <w:fldChar w:fldCharType="begin"/>
      </w:r>
      <w:r w:rsidR="00542406" w:rsidRPr="00733536">
        <w:instrText xml:space="preserve"> REF _Ref55216733 \h </w:instrText>
      </w:r>
      <w:r w:rsidR="00542406" w:rsidRPr="00733536">
        <w:fldChar w:fldCharType="separate"/>
      </w:r>
      <w:r w:rsidR="008F7C96" w:rsidRPr="00733536">
        <w:rPr>
          <w:szCs w:val="20"/>
          <w:lang w:eastAsia="ko-KR"/>
        </w:rPr>
        <w:t xml:space="preserve">Table </w:t>
      </w:r>
      <w:r w:rsidR="008F7C96" w:rsidRPr="00733536">
        <w:rPr>
          <w:noProof/>
        </w:rPr>
        <w:t>7</w:t>
      </w:r>
      <w:r w:rsidR="00542406" w:rsidRPr="00733536">
        <w:fldChar w:fldCharType="end"/>
      </w:r>
      <w:r w:rsidR="00C737D7" w:rsidRPr="00733536">
        <w:t>).</w:t>
      </w:r>
    </w:p>
    <w:p w14:paraId="5259EA11" w14:textId="1816DD45" w:rsidR="003E109F" w:rsidRPr="00733536" w:rsidRDefault="003E109F" w:rsidP="003E109F">
      <w:pPr>
        <w:pStyle w:val="FigureCaption"/>
        <w:framePr w:w="4961" w:vSpace="284" w:wrap="notBeside" w:hAnchor="margin" w:xAlign="right" w:yAlign="top"/>
        <w:spacing w:before="0" w:after="120"/>
      </w:pPr>
      <w:bookmarkStart w:id="22" w:name="_Ref55216742"/>
      <w:r w:rsidRPr="00733536">
        <w:rPr>
          <w:szCs w:val="20"/>
          <w:lang w:eastAsia="ko-KR"/>
        </w:rPr>
        <w:t xml:space="preserve">Table </w:t>
      </w:r>
      <w:r w:rsidRPr="00733536">
        <w:fldChar w:fldCharType="begin"/>
      </w:r>
      <w:r w:rsidRPr="00733536">
        <w:instrText xml:space="preserve"> SEQ Table \* ARABIC </w:instrText>
      </w:r>
      <w:r w:rsidRPr="00733536">
        <w:fldChar w:fldCharType="separate"/>
      </w:r>
      <w:r w:rsidR="008F7C96" w:rsidRPr="00733536">
        <w:rPr>
          <w:noProof/>
        </w:rPr>
        <w:t>8</w:t>
      </w:r>
      <w:r w:rsidRPr="00733536">
        <w:fldChar w:fldCharType="end"/>
      </w:r>
      <w:bookmarkEnd w:id="22"/>
      <w:r w:rsidRPr="00733536">
        <w:rPr>
          <w:szCs w:val="20"/>
          <w:lang w:eastAsia="ko-KR"/>
        </w:rPr>
        <w:t xml:space="preserve">. </w:t>
      </w:r>
      <w:r w:rsidRPr="00733536">
        <w:rPr>
          <w:rFonts w:eastAsia="Malgun Gothic"/>
          <w:bCs/>
          <w:szCs w:val="16"/>
          <w:lang w:eastAsia="ko-KR"/>
        </w:rPr>
        <w:t>Back-shoring evidence citing production automation: breakdown by host region</w:t>
      </w:r>
      <w:r w:rsidRPr="00733536">
        <w:t xml:space="preserve">. </w:t>
      </w:r>
      <w:r w:rsidRPr="00733536">
        <w:rPr>
          <w:rFonts w:eastAsia="Malgun Gothic"/>
          <w:bCs/>
          <w:szCs w:val="16"/>
          <w:lang w:eastAsia="ko-KR"/>
        </w:rPr>
        <w:t xml:space="preserve">Source: </w:t>
      </w:r>
      <w:r w:rsidRPr="00733536">
        <w:rPr>
          <w:rFonts w:asciiTheme="minorHAnsi" w:hAnsiTheme="minorHAnsi"/>
          <w:szCs w:val="21"/>
        </w:rPr>
        <w:t>UMRD</w:t>
      </w:r>
    </w:p>
    <w:tbl>
      <w:tblPr>
        <w:tblW w:w="4820" w:type="dxa"/>
        <w:tblCellMar>
          <w:left w:w="70" w:type="dxa"/>
          <w:right w:w="70" w:type="dxa"/>
        </w:tblCellMar>
        <w:tblLook w:val="04A0" w:firstRow="1" w:lastRow="0" w:firstColumn="1" w:lastColumn="0" w:noHBand="0" w:noVBand="1"/>
      </w:tblPr>
      <w:tblGrid>
        <w:gridCol w:w="2625"/>
        <w:gridCol w:w="2195"/>
      </w:tblGrid>
      <w:tr w:rsidR="003E109F" w:rsidRPr="00733536" w14:paraId="656EB1C5" w14:textId="77777777" w:rsidTr="003E109F">
        <w:trPr>
          <w:trHeight w:val="299"/>
        </w:trPr>
        <w:tc>
          <w:tcPr>
            <w:tcW w:w="2723" w:type="pct"/>
            <w:tcBorders>
              <w:top w:val="single" w:sz="4" w:space="0" w:color="auto"/>
              <w:bottom w:val="single" w:sz="4" w:space="0" w:color="auto"/>
            </w:tcBorders>
            <w:shd w:val="clear" w:color="auto" w:fill="auto"/>
            <w:vAlign w:val="center"/>
            <w:hideMark/>
          </w:tcPr>
          <w:p w14:paraId="4A11AB4F" w14:textId="77777777" w:rsidR="003E109F" w:rsidRPr="00733536" w:rsidRDefault="003E109F" w:rsidP="003E109F">
            <w:pPr>
              <w:framePr w:w="4961" w:vSpace="284" w:wrap="notBeside" w:hAnchor="margin" w:xAlign="right" w:yAlign="top"/>
              <w:ind w:firstLine="0"/>
              <w:jc w:val="center"/>
              <w:rPr>
                <w:rFonts w:ascii="Calibri" w:hAnsi="Calibri"/>
                <w:b/>
                <w:color w:val="000000"/>
                <w:sz w:val="16"/>
                <w:szCs w:val="16"/>
                <w:lang w:eastAsia="ko-KR"/>
              </w:rPr>
            </w:pPr>
            <w:r w:rsidRPr="00733536">
              <w:rPr>
                <w:rFonts w:ascii="Calibri" w:hAnsi="Calibri"/>
                <w:b/>
                <w:color w:val="000000"/>
                <w:sz w:val="16"/>
                <w:szCs w:val="16"/>
                <w:lang w:eastAsia="ko-KR"/>
              </w:rPr>
              <w:t>Host region</w:t>
            </w:r>
          </w:p>
        </w:tc>
        <w:tc>
          <w:tcPr>
            <w:tcW w:w="2277" w:type="pct"/>
            <w:tcBorders>
              <w:top w:val="single" w:sz="4" w:space="0" w:color="auto"/>
              <w:bottom w:val="single" w:sz="4" w:space="0" w:color="auto"/>
            </w:tcBorders>
            <w:shd w:val="clear" w:color="auto" w:fill="auto"/>
            <w:vAlign w:val="center"/>
            <w:hideMark/>
          </w:tcPr>
          <w:p w14:paraId="22E5D024" w14:textId="77777777" w:rsidR="003E109F" w:rsidRPr="00733536" w:rsidRDefault="003E109F" w:rsidP="003E109F">
            <w:pPr>
              <w:framePr w:w="4961" w:vSpace="284" w:wrap="notBeside" w:hAnchor="margin" w:xAlign="right" w:yAlign="top"/>
              <w:ind w:firstLine="0"/>
              <w:jc w:val="center"/>
              <w:rPr>
                <w:rFonts w:ascii="Calibri" w:hAnsi="Calibri"/>
                <w:b/>
                <w:color w:val="000000"/>
                <w:sz w:val="16"/>
                <w:szCs w:val="16"/>
                <w:lang w:eastAsia="ko-KR"/>
              </w:rPr>
            </w:pPr>
            <w:r w:rsidRPr="00733536">
              <w:rPr>
                <w:rFonts w:ascii="Calibri" w:hAnsi="Calibri"/>
                <w:b/>
                <w:color w:val="000000"/>
                <w:sz w:val="16"/>
                <w:szCs w:val="16"/>
                <w:lang w:eastAsia="ko-KR"/>
              </w:rPr>
              <w:t>Decisions</w:t>
            </w:r>
          </w:p>
        </w:tc>
      </w:tr>
      <w:tr w:rsidR="003E109F" w:rsidRPr="00733536" w14:paraId="6FB9FF50" w14:textId="77777777" w:rsidTr="003E109F">
        <w:trPr>
          <w:trHeight w:val="255"/>
        </w:trPr>
        <w:tc>
          <w:tcPr>
            <w:tcW w:w="2723" w:type="pct"/>
            <w:tcBorders>
              <w:top w:val="single" w:sz="4" w:space="0" w:color="auto"/>
            </w:tcBorders>
            <w:shd w:val="clear" w:color="auto" w:fill="auto"/>
            <w:vAlign w:val="center"/>
            <w:hideMark/>
          </w:tcPr>
          <w:p w14:paraId="62A6B159" w14:textId="77777777" w:rsidR="003E109F" w:rsidRPr="00733536" w:rsidRDefault="003E109F" w:rsidP="003E109F">
            <w:pPr>
              <w:framePr w:w="4961" w:vSpace="284" w:wrap="notBeside" w:hAnchor="margin" w:xAlign="right" w:yAlign="top"/>
              <w:ind w:left="284" w:firstLine="0"/>
              <w:jc w:val="left"/>
              <w:rPr>
                <w:rFonts w:ascii="Calibri" w:hAnsi="Calibri"/>
                <w:bCs/>
                <w:color w:val="000000"/>
                <w:sz w:val="16"/>
                <w:szCs w:val="16"/>
                <w:lang w:eastAsia="ko-KR"/>
              </w:rPr>
            </w:pPr>
            <w:r w:rsidRPr="00733536">
              <w:rPr>
                <w:rFonts w:ascii="Calibri" w:hAnsi="Calibri"/>
                <w:bCs/>
                <w:color w:val="000000"/>
                <w:sz w:val="16"/>
                <w:szCs w:val="16"/>
                <w:lang w:eastAsia="ko-KR"/>
              </w:rPr>
              <w:t>Asia</w:t>
            </w:r>
          </w:p>
        </w:tc>
        <w:tc>
          <w:tcPr>
            <w:tcW w:w="2277" w:type="pct"/>
            <w:tcBorders>
              <w:top w:val="single" w:sz="4" w:space="0" w:color="auto"/>
            </w:tcBorders>
            <w:shd w:val="clear" w:color="auto" w:fill="auto"/>
            <w:vAlign w:val="center"/>
            <w:hideMark/>
          </w:tcPr>
          <w:p w14:paraId="2FEE9AEB" w14:textId="722254F5" w:rsidR="003E109F" w:rsidRPr="00733536" w:rsidRDefault="003E109F" w:rsidP="00104B9D">
            <w:pPr>
              <w:framePr w:w="4961" w:vSpace="284" w:wrap="notBeside" w:hAnchor="margin" w:xAlign="right" w:yAlign="top"/>
              <w:ind w:right="782" w:firstLine="0"/>
              <w:jc w:val="right"/>
              <w:rPr>
                <w:rFonts w:ascii="Calibri" w:hAnsi="Calibri"/>
                <w:bCs/>
                <w:color w:val="000000"/>
                <w:sz w:val="16"/>
                <w:szCs w:val="16"/>
                <w:lang w:eastAsia="ko-KR"/>
              </w:rPr>
            </w:pPr>
            <w:r w:rsidRPr="00733536">
              <w:rPr>
                <w:rFonts w:ascii="Calibri" w:hAnsi="Calibri"/>
                <w:bCs/>
                <w:color w:val="000000"/>
                <w:sz w:val="16"/>
                <w:szCs w:val="16"/>
                <w:lang w:eastAsia="ko-KR"/>
              </w:rPr>
              <w:t>13.6</w:t>
            </w:r>
            <w:r w:rsidR="00104B9D" w:rsidRPr="00733536">
              <w:rPr>
                <w:rFonts w:ascii="Calibri" w:hAnsi="Calibri"/>
                <w:bCs/>
                <w:color w:val="000000"/>
                <w:sz w:val="16"/>
                <w:szCs w:val="16"/>
                <w:lang w:eastAsia="ko-KR"/>
              </w:rPr>
              <w:t xml:space="preserve"> </w:t>
            </w:r>
            <w:r w:rsidRPr="00733536">
              <w:rPr>
                <w:rFonts w:ascii="Calibri" w:hAnsi="Calibri"/>
                <w:bCs/>
                <w:color w:val="000000"/>
                <w:sz w:val="16"/>
                <w:szCs w:val="16"/>
                <w:lang w:eastAsia="ko-KR"/>
              </w:rPr>
              <w:t>%</w:t>
            </w:r>
          </w:p>
        </w:tc>
      </w:tr>
      <w:tr w:rsidR="003E109F" w:rsidRPr="00733536" w14:paraId="5958F0DA" w14:textId="77777777" w:rsidTr="003E109F">
        <w:trPr>
          <w:trHeight w:val="255"/>
        </w:trPr>
        <w:tc>
          <w:tcPr>
            <w:tcW w:w="2723" w:type="pct"/>
            <w:shd w:val="clear" w:color="auto" w:fill="auto"/>
            <w:vAlign w:val="center"/>
            <w:hideMark/>
          </w:tcPr>
          <w:p w14:paraId="4D848703" w14:textId="77777777" w:rsidR="003E109F" w:rsidRPr="00733536" w:rsidRDefault="003E109F" w:rsidP="003E109F">
            <w:pPr>
              <w:framePr w:w="4961" w:vSpace="284" w:wrap="notBeside" w:hAnchor="margin" w:xAlign="right" w:yAlign="top"/>
              <w:ind w:left="284" w:firstLine="0"/>
              <w:jc w:val="left"/>
              <w:rPr>
                <w:rFonts w:ascii="Calibri" w:hAnsi="Calibri"/>
                <w:bCs/>
                <w:color w:val="000000"/>
                <w:sz w:val="16"/>
                <w:szCs w:val="16"/>
                <w:lang w:eastAsia="ko-KR"/>
              </w:rPr>
            </w:pPr>
            <w:r w:rsidRPr="00733536">
              <w:rPr>
                <w:rFonts w:ascii="Calibri" w:hAnsi="Calibri"/>
                <w:bCs/>
                <w:color w:val="000000"/>
                <w:sz w:val="16"/>
                <w:szCs w:val="16"/>
                <w:lang w:eastAsia="ko-KR"/>
              </w:rPr>
              <w:t>Europe &amp; former USSR</w:t>
            </w:r>
          </w:p>
        </w:tc>
        <w:tc>
          <w:tcPr>
            <w:tcW w:w="2277" w:type="pct"/>
            <w:shd w:val="clear" w:color="auto" w:fill="auto"/>
            <w:vAlign w:val="center"/>
            <w:hideMark/>
          </w:tcPr>
          <w:p w14:paraId="703C6E1B" w14:textId="2A223942" w:rsidR="003E109F" w:rsidRPr="00733536" w:rsidRDefault="003E109F" w:rsidP="00104B9D">
            <w:pPr>
              <w:framePr w:w="4961" w:vSpace="284" w:wrap="notBeside" w:hAnchor="margin" w:xAlign="right" w:yAlign="top"/>
              <w:ind w:right="782" w:firstLine="0"/>
              <w:jc w:val="right"/>
              <w:rPr>
                <w:rFonts w:ascii="Calibri" w:hAnsi="Calibri"/>
                <w:bCs/>
                <w:color w:val="000000"/>
                <w:sz w:val="16"/>
                <w:szCs w:val="16"/>
                <w:lang w:eastAsia="ko-KR"/>
              </w:rPr>
            </w:pPr>
            <w:r w:rsidRPr="00733536">
              <w:rPr>
                <w:rFonts w:ascii="Calibri" w:hAnsi="Calibri"/>
                <w:bCs/>
                <w:color w:val="000000"/>
                <w:sz w:val="16"/>
                <w:szCs w:val="16"/>
                <w:lang w:eastAsia="ko-KR"/>
              </w:rPr>
              <w:t>12.8</w:t>
            </w:r>
            <w:r w:rsidR="00104B9D" w:rsidRPr="00733536">
              <w:rPr>
                <w:rFonts w:ascii="Calibri" w:hAnsi="Calibri"/>
                <w:bCs/>
                <w:color w:val="000000"/>
                <w:sz w:val="16"/>
                <w:szCs w:val="16"/>
                <w:lang w:eastAsia="ko-KR"/>
              </w:rPr>
              <w:t xml:space="preserve"> </w:t>
            </w:r>
            <w:r w:rsidRPr="00733536">
              <w:rPr>
                <w:rFonts w:ascii="Calibri" w:hAnsi="Calibri"/>
                <w:bCs/>
                <w:color w:val="000000"/>
                <w:sz w:val="16"/>
                <w:szCs w:val="16"/>
                <w:lang w:eastAsia="ko-KR"/>
              </w:rPr>
              <w:t>%</w:t>
            </w:r>
          </w:p>
        </w:tc>
      </w:tr>
      <w:tr w:rsidR="003E109F" w:rsidRPr="00733536" w14:paraId="543EB301" w14:textId="77777777" w:rsidTr="003E109F">
        <w:trPr>
          <w:trHeight w:val="255"/>
        </w:trPr>
        <w:tc>
          <w:tcPr>
            <w:tcW w:w="2723" w:type="pct"/>
            <w:shd w:val="clear" w:color="auto" w:fill="auto"/>
            <w:vAlign w:val="center"/>
            <w:hideMark/>
          </w:tcPr>
          <w:p w14:paraId="441CBC87" w14:textId="77777777" w:rsidR="003E109F" w:rsidRPr="00733536" w:rsidRDefault="003E109F" w:rsidP="003E109F">
            <w:pPr>
              <w:framePr w:w="4961" w:vSpace="284" w:wrap="notBeside" w:hAnchor="margin" w:xAlign="right" w:yAlign="top"/>
              <w:ind w:left="284" w:firstLine="0"/>
              <w:jc w:val="left"/>
              <w:rPr>
                <w:rFonts w:ascii="Calibri" w:hAnsi="Calibri"/>
                <w:bCs/>
                <w:color w:val="000000"/>
                <w:sz w:val="16"/>
                <w:szCs w:val="16"/>
                <w:lang w:eastAsia="ko-KR"/>
              </w:rPr>
            </w:pPr>
            <w:r w:rsidRPr="00733536">
              <w:rPr>
                <w:rFonts w:ascii="Calibri" w:hAnsi="Calibri"/>
                <w:bCs/>
                <w:color w:val="000000"/>
                <w:sz w:val="16"/>
                <w:szCs w:val="16"/>
                <w:lang w:eastAsia="ko-KR"/>
              </w:rPr>
              <w:t>Africa</w:t>
            </w:r>
          </w:p>
        </w:tc>
        <w:tc>
          <w:tcPr>
            <w:tcW w:w="2277" w:type="pct"/>
            <w:shd w:val="clear" w:color="auto" w:fill="auto"/>
            <w:vAlign w:val="center"/>
            <w:hideMark/>
          </w:tcPr>
          <w:p w14:paraId="1D795F03" w14:textId="7DFB755C" w:rsidR="003E109F" w:rsidRPr="00733536" w:rsidRDefault="003E109F" w:rsidP="00104B9D">
            <w:pPr>
              <w:framePr w:w="4961" w:vSpace="284" w:wrap="notBeside" w:hAnchor="margin" w:xAlign="right" w:yAlign="top"/>
              <w:ind w:right="782" w:firstLine="0"/>
              <w:jc w:val="right"/>
              <w:rPr>
                <w:rFonts w:ascii="Calibri" w:hAnsi="Calibri"/>
                <w:bCs/>
                <w:color w:val="000000"/>
                <w:sz w:val="16"/>
                <w:szCs w:val="16"/>
                <w:lang w:eastAsia="ko-KR"/>
              </w:rPr>
            </w:pPr>
            <w:r w:rsidRPr="00733536">
              <w:rPr>
                <w:rFonts w:ascii="Calibri" w:hAnsi="Calibri"/>
                <w:bCs/>
                <w:color w:val="000000"/>
                <w:sz w:val="16"/>
                <w:szCs w:val="16"/>
                <w:lang w:eastAsia="ko-KR"/>
              </w:rPr>
              <w:t>21.2</w:t>
            </w:r>
            <w:r w:rsidR="00104B9D" w:rsidRPr="00733536">
              <w:rPr>
                <w:rFonts w:ascii="Calibri" w:hAnsi="Calibri"/>
                <w:bCs/>
                <w:color w:val="000000"/>
                <w:sz w:val="16"/>
                <w:szCs w:val="16"/>
                <w:lang w:eastAsia="ko-KR"/>
              </w:rPr>
              <w:t xml:space="preserve"> </w:t>
            </w:r>
            <w:r w:rsidRPr="00733536">
              <w:rPr>
                <w:rFonts w:ascii="Calibri" w:hAnsi="Calibri"/>
                <w:bCs/>
                <w:color w:val="000000"/>
                <w:sz w:val="16"/>
                <w:szCs w:val="16"/>
                <w:lang w:eastAsia="ko-KR"/>
              </w:rPr>
              <w:t>%</w:t>
            </w:r>
          </w:p>
        </w:tc>
      </w:tr>
      <w:tr w:rsidR="003E109F" w:rsidRPr="00733536" w14:paraId="1DF24CFC" w14:textId="77777777" w:rsidTr="003E109F">
        <w:trPr>
          <w:trHeight w:val="255"/>
        </w:trPr>
        <w:tc>
          <w:tcPr>
            <w:tcW w:w="2723" w:type="pct"/>
            <w:shd w:val="clear" w:color="auto" w:fill="auto"/>
            <w:vAlign w:val="center"/>
            <w:hideMark/>
          </w:tcPr>
          <w:p w14:paraId="0466210E" w14:textId="77777777" w:rsidR="003E109F" w:rsidRPr="00733536" w:rsidRDefault="003E109F" w:rsidP="003E109F">
            <w:pPr>
              <w:framePr w:w="4961" w:vSpace="284" w:wrap="notBeside" w:hAnchor="margin" w:xAlign="right" w:yAlign="top"/>
              <w:ind w:left="284" w:firstLine="0"/>
              <w:jc w:val="left"/>
              <w:rPr>
                <w:rFonts w:ascii="Calibri" w:hAnsi="Calibri"/>
                <w:bCs/>
                <w:color w:val="000000"/>
                <w:sz w:val="16"/>
                <w:szCs w:val="16"/>
                <w:lang w:eastAsia="ko-KR"/>
              </w:rPr>
            </w:pPr>
            <w:r w:rsidRPr="00733536">
              <w:rPr>
                <w:rFonts w:ascii="Calibri" w:hAnsi="Calibri"/>
                <w:bCs/>
                <w:color w:val="000000"/>
                <w:sz w:val="16"/>
                <w:szCs w:val="16"/>
                <w:lang w:eastAsia="ko-KR"/>
              </w:rPr>
              <w:t>Americas</w:t>
            </w:r>
          </w:p>
        </w:tc>
        <w:tc>
          <w:tcPr>
            <w:tcW w:w="2277" w:type="pct"/>
            <w:shd w:val="clear" w:color="auto" w:fill="auto"/>
            <w:vAlign w:val="center"/>
            <w:hideMark/>
          </w:tcPr>
          <w:p w14:paraId="5D0EDAF2" w14:textId="32D24934" w:rsidR="003E109F" w:rsidRPr="00733536" w:rsidRDefault="003E109F" w:rsidP="00104B9D">
            <w:pPr>
              <w:framePr w:w="4961" w:vSpace="284" w:wrap="notBeside" w:hAnchor="margin" w:xAlign="right" w:yAlign="top"/>
              <w:ind w:right="782" w:firstLine="0"/>
              <w:jc w:val="right"/>
              <w:rPr>
                <w:rFonts w:ascii="Calibri" w:hAnsi="Calibri"/>
                <w:bCs/>
                <w:color w:val="000000"/>
                <w:sz w:val="16"/>
                <w:szCs w:val="16"/>
                <w:lang w:eastAsia="ko-KR"/>
              </w:rPr>
            </w:pPr>
            <w:r w:rsidRPr="00733536">
              <w:rPr>
                <w:rFonts w:ascii="Calibri" w:hAnsi="Calibri"/>
                <w:bCs/>
                <w:color w:val="000000"/>
                <w:sz w:val="16"/>
                <w:szCs w:val="16"/>
                <w:lang w:eastAsia="ko-KR"/>
              </w:rPr>
              <w:t>3.2</w:t>
            </w:r>
            <w:r w:rsidR="00104B9D" w:rsidRPr="00733536">
              <w:rPr>
                <w:rFonts w:ascii="Calibri" w:hAnsi="Calibri"/>
                <w:bCs/>
                <w:color w:val="000000"/>
                <w:sz w:val="16"/>
                <w:szCs w:val="16"/>
                <w:lang w:eastAsia="ko-KR"/>
              </w:rPr>
              <w:t xml:space="preserve"> </w:t>
            </w:r>
            <w:r w:rsidRPr="00733536">
              <w:rPr>
                <w:rFonts w:ascii="Calibri" w:hAnsi="Calibri"/>
                <w:bCs/>
                <w:color w:val="000000"/>
                <w:sz w:val="16"/>
                <w:szCs w:val="16"/>
                <w:lang w:eastAsia="ko-KR"/>
              </w:rPr>
              <w:t>%</w:t>
            </w:r>
          </w:p>
        </w:tc>
      </w:tr>
      <w:tr w:rsidR="003E109F" w:rsidRPr="00733536" w14:paraId="0842FADF" w14:textId="77777777" w:rsidTr="003E109F">
        <w:trPr>
          <w:trHeight w:val="255"/>
        </w:trPr>
        <w:tc>
          <w:tcPr>
            <w:tcW w:w="2723" w:type="pct"/>
            <w:shd w:val="clear" w:color="auto" w:fill="auto"/>
            <w:vAlign w:val="center"/>
            <w:hideMark/>
          </w:tcPr>
          <w:p w14:paraId="73801591" w14:textId="77777777" w:rsidR="003E109F" w:rsidRPr="00733536" w:rsidRDefault="003E109F" w:rsidP="003E109F">
            <w:pPr>
              <w:framePr w:w="4961" w:vSpace="284" w:wrap="notBeside" w:hAnchor="margin" w:xAlign="right" w:yAlign="top"/>
              <w:ind w:left="284" w:firstLine="0"/>
              <w:jc w:val="left"/>
              <w:rPr>
                <w:rFonts w:ascii="Calibri" w:hAnsi="Calibri"/>
                <w:bCs/>
                <w:color w:val="000000"/>
                <w:sz w:val="16"/>
                <w:szCs w:val="16"/>
                <w:lang w:eastAsia="ko-KR"/>
              </w:rPr>
            </w:pPr>
            <w:r w:rsidRPr="00733536">
              <w:rPr>
                <w:rFonts w:ascii="Calibri" w:hAnsi="Calibri"/>
                <w:bCs/>
                <w:color w:val="000000"/>
                <w:sz w:val="16"/>
                <w:szCs w:val="16"/>
                <w:lang w:eastAsia="ko-KR"/>
              </w:rPr>
              <w:t>Oceania</w:t>
            </w:r>
          </w:p>
        </w:tc>
        <w:tc>
          <w:tcPr>
            <w:tcW w:w="2277" w:type="pct"/>
            <w:shd w:val="clear" w:color="auto" w:fill="auto"/>
            <w:vAlign w:val="center"/>
            <w:hideMark/>
          </w:tcPr>
          <w:p w14:paraId="13C85A75" w14:textId="270F4CB6" w:rsidR="003E109F" w:rsidRPr="00733536" w:rsidRDefault="003E109F" w:rsidP="00104B9D">
            <w:pPr>
              <w:framePr w:w="4961" w:vSpace="284" w:wrap="notBeside" w:hAnchor="margin" w:xAlign="right" w:yAlign="top"/>
              <w:ind w:right="782" w:firstLine="0"/>
              <w:jc w:val="right"/>
              <w:rPr>
                <w:rFonts w:ascii="Calibri" w:hAnsi="Calibri"/>
                <w:bCs/>
                <w:color w:val="000000"/>
                <w:sz w:val="16"/>
                <w:szCs w:val="16"/>
                <w:lang w:eastAsia="ko-KR"/>
              </w:rPr>
            </w:pPr>
            <w:r w:rsidRPr="00733536">
              <w:rPr>
                <w:rFonts w:ascii="Calibri" w:hAnsi="Calibri"/>
                <w:bCs/>
                <w:color w:val="000000"/>
                <w:sz w:val="16"/>
                <w:szCs w:val="16"/>
                <w:lang w:eastAsia="ko-KR"/>
              </w:rPr>
              <w:t>-</w:t>
            </w:r>
          </w:p>
        </w:tc>
      </w:tr>
      <w:tr w:rsidR="003E109F" w:rsidRPr="00733536" w14:paraId="6A8EDC60" w14:textId="77777777" w:rsidTr="003E109F">
        <w:trPr>
          <w:trHeight w:val="255"/>
        </w:trPr>
        <w:tc>
          <w:tcPr>
            <w:tcW w:w="2723" w:type="pct"/>
            <w:shd w:val="clear" w:color="auto" w:fill="auto"/>
            <w:vAlign w:val="center"/>
            <w:hideMark/>
          </w:tcPr>
          <w:p w14:paraId="0C9EF19D" w14:textId="77777777" w:rsidR="003E109F" w:rsidRPr="00733536" w:rsidRDefault="003E109F" w:rsidP="003E109F">
            <w:pPr>
              <w:framePr w:w="4961" w:vSpace="284" w:wrap="notBeside" w:hAnchor="margin" w:xAlign="right" w:yAlign="top"/>
              <w:ind w:left="284" w:firstLine="0"/>
              <w:jc w:val="left"/>
              <w:rPr>
                <w:rFonts w:ascii="Calibri" w:hAnsi="Calibri"/>
                <w:bCs/>
                <w:color w:val="000000"/>
                <w:sz w:val="16"/>
                <w:szCs w:val="16"/>
                <w:lang w:eastAsia="ko-KR"/>
              </w:rPr>
            </w:pPr>
            <w:r w:rsidRPr="00733536">
              <w:rPr>
                <w:rFonts w:ascii="Calibri" w:hAnsi="Calibri"/>
                <w:bCs/>
                <w:color w:val="000000"/>
                <w:sz w:val="16"/>
                <w:szCs w:val="16"/>
                <w:lang w:eastAsia="ko-KR"/>
              </w:rPr>
              <w:t>Not available</w:t>
            </w:r>
          </w:p>
        </w:tc>
        <w:tc>
          <w:tcPr>
            <w:tcW w:w="2277" w:type="pct"/>
            <w:shd w:val="clear" w:color="auto" w:fill="auto"/>
            <w:vAlign w:val="center"/>
            <w:hideMark/>
          </w:tcPr>
          <w:p w14:paraId="48A7DB24" w14:textId="484F1041" w:rsidR="003E109F" w:rsidRPr="00733536" w:rsidRDefault="003E109F" w:rsidP="00104B9D">
            <w:pPr>
              <w:framePr w:w="4961" w:vSpace="284" w:wrap="notBeside" w:hAnchor="margin" w:xAlign="right" w:yAlign="top"/>
              <w:ind w:right="782" w:firstLine="0"/>
              <w:jc w:val="right"/>
              <w:rPr>
                <w:rFonts w:ascii="Calibri" w:hAnsi="Calibri"/>
                <w:bCs/>
                <w:color w:val="000000"/>
                <w:sz w:val="16"/>
                <w:szCs w:val="16"/>
                <w:lang w:eastAsia="ko-KR"/>
              </w:rPr>
            </w:pPr>
            <w:r w:rsidRPr="00733536">
              <w:rPr>
                <w:rFonts w:ascii="Calibri" w:hAnsi="Calibri"/>
                <w:bCs/>
                <w:color w:val="000000"/>
                <w:sz w:val="16"/>
                <w:szCs w:val="16"/>
                <w:lang w:eastAsia="ko-KR"/>
              </w:rPr>
              <w:t>13.6</w:t>
            </w:r>
            <w:r w:rsidR="00104B9D" w:rsidRPr="00733536">
              <w:rPr>
                <w:rFonts w:ascii="Calibri" w:hAnsi="Calibri"/>
                <w:bCs/>
                <w:color w:val="000000"/>
                <w:sz w:val="16"/>
                <w:szCs w:val="16"/>
                <w:lang w:eastAsia="ko-KR"/>
              </w:rPr>
              <w:t xml:space="preserve"> </w:t>
            </w:r>
            <w:r w:rsidRPr="00733536">
              <w:rPr>
                <w:rFonts w:ascii="Calibri" w:hAnsi="Calibri"/>
                <w:bCs/>
                <w:color w:val="000000"/>
                <w:sz w:val="16"/>
                <w:szCs w:val="16"/>
                <w:lang w:eastAsia="ko-KR"/>
              </w:rPr>
              <w:t>%</w:t>
            </w:r>
          </w:p>
        </w:tc>
      </w:tr>
      <w:tr w:rsidR="003E109F" w:rsidRPr="00733536" w14:paraId="35105053" w14:textId="77777777" w:rsidTr="003E109F">
        <w:trPr>
          <w:trHeight w:val="255"/>
        </w:trPr>
        <w:tc>
          <w:tcPr>
            <w:tcW w:w="2723" w:type="pct"/>
            <w:tcBorders>
              <w:bottom w:val="single" w:sz="4" w:space="0" w:color="auto"/>
            </w:tcBorders>
            <w:shd w:val="clear" w:color="auto" w:fill="auto"/>
            <w:vAlign w:val="center"/>
            <w:hideMark/>
          </w:tcPr>
          <w:p w14:paraId="05A94916" w14:textId="77777777" w:rsidR="003E109F" w:rsidRPr="00733536" w:rsidRDefault="003E109F" w:rsidP="003E109F">
            <w:pPr>
              <w:framePr w:w="4961" w:vSpace="284" w:wrap="notBeside" w:hAnchor="margin" w:xAlign="right" w:yAlign="top"/>
              <w:ind w:left="284" w:firstLine="0"/>
              <w:jc w:val="left"/>
              <w:rPr>
                <w:rFonts w:ascii="Calibri" w:hAnsi="Calibri"/>
                <w:bCs/>
                <w:color w:val="000000"/>
                <w:sz w:val="16"/>
                <w:szCs w:val="16"/>
                <w:lang w:eastAsia="ko-KR"/>
              </w:rPr>
            </w:pPr>
            <w:r w:rsidRPr="00733536">
              <w:rPr>
                <w:rFonts w:ascii="Calibri" w:hAnsi="Calibri"/>
                <w:bCs/>
                <w:color w:val="000000"/>
                <w:sz w:val="16"/>
                <w:szCs w:val="16"/>
                <w:lang w:eastAsia="ko-KR"/>
              </w:rPr>
              <w:t>Total</w:t>
            </w:r>
          </w:p>
        </w:tc>
        <w:tc>
          <w:tcPr>
            <w:tcW w:w="2277" w:type="pct"/>
            <w:tcBorders>
              <w:bottom w:val="single" w:sz="4" w:space="0" w:color="auto"/>
            </w:tcBorders>
            <w:shd w:val="clear" w:color="auto" w:fill="auto"/>
            <w:vAlign w:val="center"/>
            <w:hideMark/>
          </w:tcPr>
          <w:p w14:paraId="4A658E49" w14:textId="1C2F6894" w:rsidR="003E109F" w:rsidRPr="00733536" w:rsidRDefault="003E109F" w:rsidP="00104B9D">
            <w:pPr>
              <w:framePr w:w="4961" w:vSpace="284" w:wrap="notBeside" w:hAnchor="margin" w:xAlign="right" w:yAlign="top"/>
              <w:ind w:right="782" w:firstLine="0"/>
              <w:jc w:val="right"/>
              <w:rPr>
                <w:rFonts w:ascii="Calibri" w:hAnsi="Calibri"/>
                <w:bCs/>
                <w:color w:val="000000"/>
                <w:sz w:val="16"/>
                <w:szCs w:val="16"/>
                <w:lang w:eastAsia="ko-KR"/>
              </w:rPr>
            </w:pPr>
            <w:r w:rsidRPr="00733536">
              <w:rPr>
                <w:rFonts w:ascii="Calibri" w:hAnsi="Calibri"/>
                <w:bCs/>
                <w:color w:val="000000"/>
                <w:sz w:val="16"/>
                <w:szCs w:val="16"/>
                <w:lang w:eastAsia="ko-KR"/>
              </w:rPr>
              <w:t>13.1</w:t>
            </w:r>
            <w:r w:rsidR="00104B9D" w:rsidRPr="00733536">
              <w:rPr>
                <w:rFonts w:ascii="Calibri" w:hAnsi="Calibri"/>
                <w:bCs/>
                <w:color w:val="000000"/>
                <w:sz w:val="16"/>
                <w:szCs w:val="16"/>
                <w:lang w:eastAsia="ko-KR"/>
              </w:rPr>
              <w:t xml:space="preserve"> </w:t>
            </w:r>
            <w:r w:rsidRPr="00733536">
              <w:rPr>
                <w:rFonts w:ascii="Calibri" w:hAnsi="Calibri"/>
                <w:bCs/>
                <w:color w:val="000000"/>
                <w:sz w:val="16"/>
                <w:szCs w:val="16"/>
                <w:lang w:eastAsia="ko-KR"/>
              </w:rPr>
              <w:t>%</w:t>
            </w:r>
          </w:p>
        </w:tc>
      </w:tr>
    </w:tbl>
    <w:p w14:paraId="4254722C" w14:textId="145F7476" w:rsidR="00901C0C" w:rsidRPr="00733536" w:rsidRDefault="00901C0C" w:rsidP="00F038BA">
      <w:r w:rsidRPr="00733536">
        <w:t xml:space="preserve">When considering the geographic </w:t>
      </w:r>
      <w:r w:rsidR="00C8602F" w:rsidRPr="00733536">
        <w:t>contingencies</w:t>
      </w:r>
      <w:r w:rsidRPr="00733536">
        <w:t xml:space="preserve"> (</w:t>
      </w:r>
      <w:r w:rsidR="00542406" w:rsidRPr="00733536">
        <w:fldChar w:fldCharType="begin"/>
      </w:r>
      <w:r w:rsidR="00542406" w:rsidRPr="00733536">
        <w:instrText xml:space="preserve"> REF _Ref55216742 \h </w:instrText>
      </w:r>
      <w:r w:rsidR="00542406" w:rsidRPr="00733536">
        <w:fldChar w:fldCharType="separate"/>
      </w:r>
      <w:r w:rsidR="008F7C96" w:rsidRPr="00733536">
        <w:rPr>
          <w:szCs w:val="20"/>
          <w:lang w:eastAsia="ko-KR"/>
        </w:rPr>
        <w:t xml:space="preserve">Table </w:t>
      </w:r>
      <w:r w:rsidR="008F7C96" w:rsidRPr="00733536">
        <w:rPr>
          <w:noProof/>
        </w:rPr>
        <w:t>8</w:t>
      </w:r>
      <w:r w:rsidR="00542406" w:rsidRPr="00733536">
        <w:fldChar w:fldCharType="end"/>
      </w:r>
      <w:r w:rsidRPr="00733536">
        <w:t>), data clearly show</w:t>
      </w:r>
      <w:r w:rsidR="0053491F">
        <w:t>s that</w:t>
      </w:r>
      <w:r w:rsidRPr="00733536">
        <w:t xml:space="preserve"> the adoption of automated production technologies is not influenced by the host region </w:t>
      </w:r>
      <w:r w:rsidR="0053491F">
        <w:t>in which</w:t>
      </w:r>
      <w:r w:rsidRPr="00733536">
        <w:t xml:space="preserve"> companies have </w:t>
      </w:r>
      <w:r w:rsidR="007D7D52">
        <w:t>previously</w:t>
      </w:r>
      <w:r w:rsidRPr="00733536">
        <w:t xml:space="preserve"> off-shored </w:t>
      </w:r>
      <w:r w:rsidR="0053491F">
        <w:t xml:space="preserve">their </w:t>
      </w:r>
      <w:r w:rsidRPr="00733536">
        <w:t xml:space="preserve">production activities. </w:t>
      </w:r>
      <w:r w:rsidR="0053491F">
        <w:t>T</w:t>
      </w:r>
      <w:r w:rsidRPr="00733536">
        <w:t>his finding is partially unexpected, since one would have expected that back-shoring decisions regarding production activities located in low-cost countries (e.g. Asia) would be largely supported by automation when compared with medium- and high-cost countries (e.g. Europe). Moreover, it is in contrast with</w:t>
      </w:r>
      <w:r w:rsidR="0053491F">
        <w:t xml:space="preserve"> the</w:t>
      </w:r>
      <w:r w:rsidRPr="00733536">
        <w:t xml:space="preserve"> finding</w:t>
      </w:r>
      <w:r w:rsidR="007D7D52">
        <w:t>s</w:t>
      </w:r>
      <w:r w:rsidRPr="00733536">
        <w:t xml:space="preserve"> of </w:t>
      </w:r>
      <w:r w:rsidR="008F7C96" w:rsidRPr="00733536">
        <w:fldChar w:fldCharType="begin"/>
      </w:r>
      <w:r w:rsidR="008F7C96" w:rsidRPr="00733536">
        <w:instrText xml:space="preserve"> REF _Ref55223208 \r \h </w:instrText>
      </w:r>
      <w:r w:rsidR="008F7C96" w:rsidRPr="00733536">
        <w:fldChar w:fldCharType="separate"/>
      </w:r>
      <w:r w:rsidR="008F7C96" w:rsidRPr="00733536">
        <w:t>[2</w:t>
      </w:r>
      <w:r w:rsidR="008F7C96" w:rsidRPr="00733536">
        <w:t>3</w:t>
      </w:r>
      <w:r w:rsidR="008F7C96" w:rsidRPr="00733536">
        <w:t>]</w:t>
      </w:r>
      <w:r w:rsidR="008F7C96" w:rsidRPr="00733536">
        <w:fldChar w:fldCharType="end"/>
      </w:r>
      <w:r w:rsidR="00C8602F" w:rsidRPr="00733536">
        <w:t xml:space="preserve"> </w:t>
      </w:r>
      <w:r w:rsidRPr="00733536">
        <w:t>in terms of</w:t>
      </w:r>
      <w:r w:rsidR="0053491F">
        <w:t xml:space="preserve"> the</w:t>
      </w:r>
      <w:r w:rsidRPr="00733536">
        <w:t xml:space="preserve"> higher </w:t>
      </w:r>
      <w:r w:rsidR="0053491F">
        <w:t>‘</w:t>
      </w:r>
      <w:r w:rsidRPr="00733536">
        <w:t>Industry 4.0 readiness</w:t>
      </w:r>
      <w:r w:rsidR="0053491F">
        <w:t>’</w:t>
      </w:r>
      <w:r w:rsidRPr="00733536">
        <w:t xml:space="preserve"> of large companies with respect to small and medium ones. A possible explanation for this unexpected result may be represented by </w:t>
      </w:r>
      <w:r w:rsidR="0053491F">
        <w:t xml:space="preserve">the </w:t>
      </w:r>
      <w:r w:rsidRPr="00733536">
        <w:t>latter-day implementation of automated production systems by medium</w:t>
      </w:r>
      <w:r w:rsidR="0053491F">
        <w:t>-sized</w:t>
      </w:r>
      <w:r w:rsidRPr="00733536">
        <w:t xml:space="preserve"> companies. </w:t>
      </w:r>
    </w:p>
    <w:p w14:paraId="631FE671" w14:textId="7BBB064E" w:rsidR="00C737D7" w:rsidRPr="00733536" w:rsidRDefault="00C737D7" w:rsidP="00F038BA">
      <w:r w:rsidRPr="00733536">
        <w:t xml:space="preserve">Given </w:t>
      </w:r>
      <w:r w:rsidR="0053491F">
        <w:t xml:space="preserve">that </w:t>
      </w:r>
      <w:r w:rsidRPr="00733536">
        <w:t>the</w:t>
      </w:r>
      <w:r w:rsidR="0053491F">
        <w:t>re is</w:t>
      </w:r>
      <w:r w:rsidRPr="00733536">
        <w:t xml:space="preserve"> little evidence of back-shoring companies implementing 3D/additive manufacturing technologies, further characteri</w:t>
      </w:r>
      <w:r w:rsidR="0053491F">
        <w:t>s</w:t>
      </w:r>
      <w:r w:rsidRPr="00733536">
        <w:t xml:space="preserve">ation of </w:t>
      </w:r>
      <w:r w:rsidR="0053491F">
        <w:t>this</w:t>
      </w:r>
      <w:r w:rsidRPr="00733536">
        <w:t xml:space="preserve"> technology </w:t>
      </w:r>
      <w:r w:rsidR="0053491F">
        <w:t>is</w:t>
      </w:r>
      <w:r w:rsidRPr="00733536">
        <w:t xml:space="preserve"> not relevant.</w:t>
      </w:r>
    </w:p>
    <w:p w14:paraId="270F12F4" w14:textId="50EDC61C" w:rsidR="00EB6F84" w:rsidRPr="00733536" w:rsidRDefault="00B33D2E" w:rsidP="00340C7C">
      <w:pPr>
        <w:pStyle w:val="Level1Title"/>
      </w:pPr>
      <w:r w:rsidRPr="00733536">
        <w:t xml:space="preserve">concluding remarks </w:t>
      </w:r>
    </w:p>
    <w:p w14:paraId="12FB9C57" w14:textId="272B47FD" w:rsidR="008473A4" w:rsidRPr="00733536" w:rsidRDefault="008473A4" w:rsidP="00F038BA">
      <w:r w:rsidRPr="00733536">
        <w:t>Th</w:t>
      </w:r>
      <w:r w:rsidR="007D7D52">
        <w:t>is</w:t>
      </w:r>
      <w:r w:rsidRPr="00733536">
        <w:t xml:space="preserve"> paper aimed to investigate the relationship (if any) between Industry 4.0 technologies and decisions to relocate </w:t>
      </w:r>
      <w:r w:rsidR="007D7D52">
        <w:t>previously</w:t>
      </w:r>
      <w:r w:rsidRPr="00733536">
        <w:t xml:space="preserve"> off-shored manufacturing activities to the home country. To shed new light on this research question, an exploratory approach has been implemented adopting a two-step methodology. First</w:t>
      </w:r>
      <w:r w:rsidR="005E4D3F" w:rsidRPr="00733536">
        <w:t>,</w:t>
      </w:r>
      <w:r w:rsidRPr="00733536">
        <w:t xml:space="preserve"> a structured literature review </w:t>
      </w:r>
      <w:r w:rsidR="00332347">
        <w:t>was</w:t>
      </w:r>
      <w:r w:rsidRPr="00733536">
        <w:t xml:space="preserve"> conducted on a sample of 115 Scopus</w:t>
      </w:r>
      <w:r w:rsidR="007D7D52">
        <w:t>-</w:t>
      </w:r>
      <w:r w:rsidRPr="00733536">
        <w:t xml:space="preserve">indexed journal articles published between 2007 and August 2019. This research clearly shows the topic is attracting a growing interest among scholars (at least </w:t>
      </w:r>
      <w:r w:rsidR="007D7D52">
        <w:t>since</w:t>
      </w:r>
      <w:r w:rsidRPr="00733536">
        <w:t xml:space="preserve"> 2014). However, they </w:t>
      </w:r>
      <w:r w:rsidR="007D7D52">
        <w:t>have</w:t>
      </w:r>
      <w:r w:rsidRPr="00733536">
        <w:t xml:space="preserve"> focus</w:t>
      </w:r>
      <w:r w:rsidR="007D7D52">
        <w:t>ed primarily</w:t>
      </w:r>
      <w:r w:rsidRPr="00733536">
        <w:t xml:space="preserve"> on specific technologies, namely production automation and 3D printing/additive manufacturing</w:t>
      </w:r>
      <w:r w:rsidR="005E4D3F" w:rsidRPr="00733536">
        <w:t xml:space="preserve">, and </w:t>
      </w:r>
      <w:r w:rsidR="007D7D52">
        <w:t xml:space="preserve">the </w:t>
      </w:r>
      <w:r w:rsidRPr="00733536">
        <w:t xml:space="preserve">findings that have emerged are still not </w:t>
      </w:r>
      <w:r w:rsidR="00332347">
        <w:t xml:space="preserve">sufficiently </w:t>
      </w:r>
      <w:r w:rsidRPr="00733536">
        <w:t>conclusive. Only four journal articles specifically address the relationship between Industry 4.0 technologies and back-shoring decisions; moreover</w:t>
      </w:r>
      <w:r w:rsidR="005E4D3F" w:rsidRPr="00733536">
        <w:t>,</w:t>
      </w:r>
      <w:r w:rsidRPr="00733536">
        <w:t xml:space="preserve"> their findings are somewhat </w:t>
      </w:r>
      <w:r w:rsidR="00621696">
        <w:t>different</w:t>
      </w:r>
      <w:r w:rsidRPr="00733536">
        <w:t xml:space="preserve">. For instance, </w:t>
      </w:r>
      <w:r w:rsidR="008F7C96" w:rsidRPr="00733536">
        <w:fldChar w:fldCharType="begin"/>
      </w:r>
      <w:r w:rsidR="008F7C96" w:rsidRPr="00733536">
        <w:instrText xml:space="preserve"> REF _Ref55223208 \r \h </w:instrText>
      </w:r>
      <w:r w:rsidR="008F7C96" w:rsidRPr="00733536">
        <w:fldChar w:fldCharType="separate"/>
      </w:r>
      <w:r w:rsidR="008F7C96" w:rsidRPr="00733536">
        <w:t>[23]</w:t>
      </w:r>
      <w:r w:rsidR="008F7C96" w:rsidRPr="00733536">
        <w:fldChar w:fldCharType="end"/>
      </w:r>
      <w:r w:rsidR="00F20489" w:rsidRPr="00733536">
        <w:t xml:space="preserve"> </w:t>
      </w:r>
      <w:r w:rsidRPr="00733536">
        <w:t>found a significant and positive relationship (but not also the causality) between the two</w:t>
      </w:r>
      <w:r w:rsidR="007D7D52">
        <w:t>,</w:t>
      </w:r>
      <w:r w:rsidRPr="00733536">
        <w:t xml:space="preserve"> while</w:t>
      </w:r>
      <w:r w:rsidR="00F20489" w:rsidRPr="00733536">
        <w:t xml:space="preserve"> </w:t>
      </w:r>
      <w:r w:rsidR="008F7C96" w:rsidRPr="00733536">
        <w:fldChar w:fldCharType="begin"/>
      </w:r>
      <w:r w:rsidR="008F7C96" w:rsidRPr="00733536">
        <w:instrText xml:space="preserve"> REF _Ref55223196 \r \h </w:instrText>
      </w:r>
      <w:r w:rsidR="008F7C96" w:rsidRPr="00733536">
        <w:fldChar w:fldCharType="separate"/>
      </w:r>
      <w:r w:rsidR="008F7C96" w:rsidRPr="00733536">
        <w:t>[11]</w:t>
      </w:r>
      <w:r w:rsidR="008F7C96" w:rsidRPr="00733536">
        <w:fldChar w:fldCharType="end"/>
      </w:r>
      <w:r w:rsidR="00C91728" w:rsidRPr="00733536">
        <w:t xml:space="preserve"> and</w:t>
      </w:r>
      <w:r w:rsidRPr="00733536">
        <w:t xml:space="preserve"> </w:t>
      </w:r>
      <w:r w:rsidR="008F7C96" w:rsidRPr="00733536">
        <w:fldChar w:fldCharType="begin"/>
      </w:r>
      <w:r w:rsidR="008F7C96" w:rsidRPr="00733536">
        <w:instrText xml:space="preserve"> REF _Ref55223220 \r \h </w:instrText>
      </w:r>
      <w:r w:rsidR="008F7C96" w:rsidRPr="00733536">
        <w:fldChar w:fldCharType="separate"/>
      </w:r>
      <w:r w:rsidR="008F7C96" w:rsidRPr="00733536">
        <w:t>[35]</w:t>
      </w:r>
      <w:r w:rsidR="008F7C96" w:rsidRPr="00733536">
        <w:fldChar w:fldCharType="end"/>
      </w:r>
      <w:r w:rsidR="00F20489" w:rsidRPr="00733536">
        <w:t xml:space="preserve"> </w:t>
      </w:r>
      <w:r w:rsidRPr="00733536">
        <w:t xml:space="preserve">did not discover any connection. This finding might </w:t>
      </w:r>
      <w:r w:rsidR="007D7D52">
        <w:t>suggest</w:t>
      </w:r>
      <w:r w:rsidRPr="00733536">
        <w:t xml:space="preserve"> that country-specific issues may </w:t>
      </w:r>
      <w:r w:rsidR="007D7D52">
        <w:t xml:space="preserve">have </w:t>
      </w:r>
      <w:r w:rsidRPr="00733536">
        <w:t>influence</w:t>
      </w:r>
      <w:r w:rsidR="007D7D52">
        <w:t>d</w:t>
      </w:r>
      <w:r w:rsidRPr="00733536">
        <w:t xml:space="preserve"> the results, since </w:t>
      </w:r>
      <w:r w:rsidR="008F7C96" w:rsidRPr="00733536">
        <w:fldChar w:fldCharType="begin"/>
      </w:r>
      <w:r w:rsidR="008F7C96" w:rsidRPr="00733536">
        <w:instrText xml:space="preserve"> REF _Ref55223208 \r \h </w:instrText>
      </w:r>
      <w:r w:rsidR="008F7C96" w:rsidRPr="00733536">
        <w:fldChar w:fldCharType="separate"/>
      </w:r>
      <w:r w:rsidR="008F7C96" w:rsidRPr="00733536">
        <w:t>[23]</w:t>
      </w:r>
      <w:r w:rsidR="008F7C96" w:rsidRPr="00733536">
        <w:fldChar w:fldCharType="end"/>
      </w:r>
      <w:r w:rsidR="00F20489" w:rsidRPr="00733536">
        <w:t xml:space="preserve"> </w:t>
      </w:r>
      <w:r w:rsidR="00332347">
        <w:t xml:space="preserve">have </w:t>
      </w:r>
      <w:r w:rsidRPr="00733536">
        <w:t>focus</w:t>
      </w:r>
      <w:r w:rsidR="00332347">
        <w:t>ed</w:t>
      </w:r>
      <w:r w:rsidRPr="00733536">
        <w:t xml:space="preserve"> on German, Austrian and Swiss companies, while</w:t>
      </w:r>
      <w:r w:rsidR="00F20489" w:rsidRPr="00733536">
        <w:t xml:space="preserve"> </w:t>
      </w:r>
      <w:r w:rsidR="008F7C96" w:rsidRPr="00733536">
        <w:fldChar w:fldCharType="begin"/>
      </w:r>
      <w:r w:rsidR="008F7C96" w:rsidRPr="00733536">
        <w:instrText xml:space="preserve"> REF _Ref55223220 \r \h </w:instrText>
      </w:r>
      <w:r w:rsidR="008F7C96" w:rsidRPr="00733536">
        <w:fldChar w:fldCharType="separate"/>
      </w:r>
      <w:r w:rsidR="008F7C96" w:rsidRPr="00733536">
        <w:t>[35]</w:t>
      </w:r>
      <w:r w:rsidR="008F7C96" w:rsidRPr="00733536">
        <w:fldChar w:fldCharType="end"/>
      </w:r>
      <w:r w:rsidRPr="00733536">
        <w:t xml:space="preserve"> on Danish ones. </w:t>
      </w:r>
    </w:p>
    <w:p w14:paraId="7F562F38" w14:textId="7C90337D" w:rsidR="005E4D3F" w:rsidRPr="00733536" w:rsidRDefault="005E4D3F" w:rsidP="005E4D3F">
      <w:r w:rsidRPr="00733536">
        <w:t xml:space="preserve">As clearly </w:t>
      </w:r>
      <w:r w:rsidR="007D7D52">
        <w:t xml:space="preserve">demonstrated </w:t>
      </w:r>
      <w:r w:rsidRPr="00733536">
        <w:t xml:space="preserve">by </w:t>
      </w:r>
      <w:r w:rsidR="007D7D52">
        <w:t xml:space="preserve">the </w:t>
      </w:r>
      <w:r w:rsidRPr="00733536">
        <w:t>data from the UMRD, the European companies that back-shored their production based on Industry 4.0 technologies are characteri</w:t>
      </w:r>
      <w:r w:rsidR="007D7D52">
        <w:t>s</w:t>
      </w:r>
      <w:r w:rsidRPr="00733536">
        <w:t xml:space="preserve">ed by </w:t>
      </w:r>
      <w:r w:rsidR="007D7D52">
        <w:t xml:space="preserve">a lack of </w:t>
      </w:r>
      <w:r w:rsidR="00713EF0" w:rsidRPr="00733536">
        <w:t>similarity</w:t>
      </w:r>
      <w:r w:rsidRPr="00733536">
        <w:t xml:space="preserve">, especially in terms of industry and adopted technology (production automation vs additive manufacturing). </w:t>
      </w:r>
    </w:p>
    <w:p w14:paraId="285E66C4" w14:textId="5A2A50AF" w:rsidR="005E4D3F" w:rsidRPr="00733536" w:rsidRDefault="005E4D3F" w:rsidP="005E4D3F">
      <w:r w:rsidRPr="00733536">
        <w:t xml:space="preserve">Another issue emerging as relevant is the one concerning size. While it is generally expected </w:t>
      </w:r>
      <w:r w:rsidR="007D7D52">
        <w:t xml:space="preserve">that </w:t>
      </w:r>
      <w:r w:rsidRPr="00733536">
        <w:t xml:space="preserve">Industry 4.0 technologies </w:t>
      </w:r>
      <w:r w:rsidR="007D7D52">
        <w:t>would be</w:t>
      </w:r>
      <w:r w:rsidRPr="00733536">
        <w:t xml:space="preserve"> more </w:t>
      </w:r>
      <w:r w:rsidR="007D7D52">
        <w:t>readily</w:t>
      </w:r>
      <w:r w:rsidRPr="00733536">
        <w:t xml:space="preserve"> adopted by large companies, </w:t>
      </w:r>
      <w:r w:rsidR="007D7D52">
        <w:t xml:space="preserve">an </w:t>
      </w:r>
      <w:r w:rsidRPr="00733536">
        <w:t xml:space="preserve">analysis of </w:t>
      </w:r>
      <w:r w:rsidR="007D7D52">
        <w:t xml:space="preserve">the </w:t>
      </w:r>
      <w:r w:rsidRPr="00733536">
        <w:t>UMRD data provides evidence tha</w:t>
      </w:r>
      <w:r w:rsidR="007D7D52">
        <w:t xml:space="preserve">t, </w:t>
      </w:r>
      <w:r w:rsidRPr="00733536">
        <w:t xml:space="preserve">at least </w:t>
      </w:r>
      <w:r w:rsidR="007D7D52">
        <w:t xml:space="preserve">for </w:t>
      </w:r>
      <w:r w:rsidRPr="00733536">
        <w:t>production automation</w:t>
      </w:r>
      <w:r w:rsidR="007D7D52">
        <w:t xml:space="preserve">, </w:t>
      </w:r>
      <w:r w:rsidR="00CC67A8">
        <w:t xml:space="preserve">it </w:t>
      </w:r>
      <w:r w:rsidRPr="00733536">
        <w:t xml:space="preserve">is </w:t>
      </w:r>
      <w:r w:rsidR="00CC67A8">
        <w:t>primarily</w:t>
      </w:r>
      <w:r w:rsidRPr="00733536">
        <w:t xml:space="preserve"> medium-sized companies </w:t>
      </w:r>
      <w:r w:rsidR="00CC67A8">
        <w:t xml:space="preserve">that have adopted them </w:t>
      </w:r>
      <w:r w:rsidRPr="00733536">
        <w:t>(</w:t>
      </w:r>
      <w:r w:rsidR="00542406" w:rsidRPr="00733536">
        <w:fldChar w:fldCharType="begin"/>
      </w:r>
      <w:r w:rsidR="00542406" w:rsidRPr="00733536">
        <w:instrText xml:space="preserve"> REF _Ref55216733 \h </w:instrText>
      </w:r>
      <w:r w:rsidR="00542406" w:rsidRPr="00733536">
        <w:fldChar w:fldCharType="separate"/>
      </w:r>
      <w:r w:rsidR="008F7C96" w:rsidRPr="00733536">
        <w:rPr>
          <w:szCs w:val="20"/>
          <w:lang w:eastAsia="ko-KR"/>
        </w:rPr>
        <w:t xml:space="preserve">Table </w:t>
      </w:r>
      <w:r w:rsidR="008F7C96" w:rsidRPr="00733536">
        <w:rPr>
          <w:noProof/>
        </w:rPr>
        <w:t>7</w:t>
      </w:r>
      <w:r w:rsidR="00542406" w:rsidRPr="00733536">
        <w:fldChar w:fldCharType="end"/>
      </w:r>
      <w:r w:rsidRPr="00733536">
        <w:t>). Future research should further address this aspect, given the implications for policymakers.</w:t>
      </w:r>
      <w:r w:rsidR="00F038BA" w:rsidRPr="00733536">
        <w:t xml:space="preserve"> </w:t>
      </w:r>
    </w:p>
    <w:p w14:paraId="0E0F7F10" w14:textId="2B9DE8E2" w:rsidR="001C01F3" w:rsidRPr="00733536" w:rsidRDefault="005E4D3F" w:rsidP="005E4D3F">
      <w:r w:rsidRPr="00733536">
        <w:lastRenderedPageBreak/>
        <w:t xml:space="preserve">A third question is still open as regards the relationships (if any) between the adoption of a specific Industry 4.0 technology and the strategic aims pursued by the back-shoring decision. While </w:t>
      </w:r>
      <w:r w:rsidR="008F7C96" w:rsidRPr="00733536">
        <w:fldChar w:fldCharType="begin"/>
      </w:r>
      <w:r w:rsidR="008F7C96" w:rsidRPr="00733536">
        <w:instrText xml:space="preserve"> REF _Ref55223196 \r \h </w:instrText>
      </w:r>
      <w:r w:rsidR="008F7C96" w:rsidRPr="00733536">
        <w:fldChar w:fldCharType="separate"/>
      </w:r>
      <w:r w:rsidR="008F7C96" w:rsidRPr="00733536">
        <w:t>[11]</w:t>
      </w:r>
      <w:r w:rsidR="008F7C96" w:rsidRPr="00733536">
        <w:fldChar w:fldCharType="end"/>
      </w:r>
      <w:r w:rsidR="00CC67A8">
        <w:t xml:space="preserve"> and </w:t>
      </w:r>
      <w:r w:rsidR="008F7C96" w:rsidRPr="00733536">
        <w:fldChar w:fldCharType="begin"/>
      </w:r>
      <w:r w:rsidR="008F7C96" w:rsidRPr="00733536">
        <w:instrText xml:space="preserve"> REF _Ref55223195 \r \h </w:instrText>
      </w:r>
      <w:r w:rsidR="008F7C96" w:rsidRPr="00733536">
        <w:fldChar w:fldCharType="separate"/>
      </w:r>
      <w:r w:rsidR="008F7C96" w:rsidRPr="00733536">
        <w:t>[10]</w:t>
      </w:r>
      <w:r w:rsidR="008F7C96" w:rsidRPr="00733536">
        <w:fldChar w:fldCharType="end"/>
      </w:r>
      <w:r w:rsidR="00F20489" w:rsidRPr="00733536">
        <w:t xml:space="preserve"> </w:t>
      </w:r>
      <w:r w:rsidRPr="00733536">
        <w:t xml:space="preserve">suggest that production automation is more consistent with </w:t>
      </w:r>
      <w:r w:rsidR="00CC67A8">
        <w:t>‘</w:t>
      </w:r>
      <w:r w:rsidRPr="00733536">
        <w:t>cost-oriented</w:t>
      </w:r>
      <w:r w:rsidR="00CC67A8">
        <w:t>’</w:t>
      </w:r>
      <w:r w:rsidRPr="00733536">
        <w:t xml:space="preserve"> and </w:t>
      </w:r>
      <w:r w:rsidR="00CC67A8">
        <w:t>‘</w:t>
      </w:r>
      <w:r w:rsidRPr="00733536">
        <w:t>flexibility-oriented</w:t>
      </w:r>
      <w:r w:rsidR="00CC67A8">
        <w:t>’</w:t>
      </w:r>
      <w:r w:rsidRPr="00733536">
        <w:t xml:space="preserve"> back-shoring decisions</w:t>
      </w:r>
      <w:r w:rsidR="00CC67A8">
        <w:t>,</w:t>
      </w:r>
      <w:r w:rsidRPr="00733536">
        <w:t xml:space="preserve"> data from the UMRD provide</w:t>
      </w:r>
      <w:r w:rsidR="00CC67A8">
        <w:t>s</w:t>
      </w:r>
      <w:r w:rsidRPr="00733536">
        <w:t xml:space="preserve"> evidence that companies adopting this technology </w:t>
      </w:r>
      <w:r w:rsidR="00CC67A8">
        <w:t>have been</w:t>
      </w:r>
      <w:r w:rsidRPr="00733536">
        <w:t xml:space="preserve"> driven by motivations </w:t>
      </w:r>
      <w:r w:rsidR="00CC67A8">
        <w:t>linked</w:t>
      </w:r>
      <w:r w:rsidRPr="00733536">
        <w:t xml:space="preserve"> to the </w:t>
      </w:r>
      <w:r w:rsidR="00CC67A8">
        <w:t>‘</w:t>
      </w:r>
      <w:r w:rsidRPr="00733536">
        <w:t>quality-oriented</w:t>
      </w:r>
      <w:r w:rsidR="00CC67A8">
        <w:t>’</w:t>
      </w:r>
      <w:r w:rsidRPr="00733536">
        <w:t xml:space="preserve"> back-shoring decisions. </w:t>
      </w:r>
    </w:p>
    <w:p w14:paraId="48992493" w14:textId="5DB592A1" w:rsidR="005E4D3F" w:rsidRPr="00733536" w:rsidRDefault="00CC67A8" w:rsidP="005E4D3F">
      <w:r>
        <w:t>S</w:t>
      </w:r>
      <w:r w:rsidR="005129F2" w:rsidRPr="00733536">
        <w:t xml:space="preserve">upport </w:t>
      </w:r>
      <w:r>
        <w:t>for</w:t>
      </w:r>
      <w:r w:rsidR="005129F2" w:rsidRPr="00733536">
        <w:t xml:space="preserve"> the adoption of Industry 4.0 technologies can be given to companies by p</w:t>
      </w:r>
      <w:r w:rsidR="005E4D3F" w:rsidRPr="00733536">
        <w:t xml:space="preserve">olicymakers </w:t>
      </w:r>
      <w:r w:rsidR="005129F2" w:rsidRPr="00733536">
        <w:t xml:space="preserve">that </w:t>
      </w:r>
      <w:r w:rsidR="005E4D3F" w:rsidRPr="00733536">
        <w:t xml:space="preserve">should not only offer companies the possibility </w:t>
      </w:r>
      <w:r>
        <w:t>of</w:t>
      </w:r>
      <w:r w:rsidR="005E4D3F" w:rsidRPr="00733536">
        <w:t xml:space="preserve"> reduc</w:t>
      </w:r>
      <w:r>
        <w:t>ing</w:t>
      </w:r>
      <w:r w:rsidR="005E4D3F" w:rsidRPr="00733536">
        <w:t xml:space="preserve"> the fixed cost</w:t>
      </w:r>
      <w:r>
        <w:t>s</w:t>
      </w:r>
      <w:r w:rsidR="005E4D3F" w:rsidRPr="00733536">
        <w:t xml:space="preserve"> </w:t>
      </w:r>
      <w:r>
        <w:t>related</w:t>
      </w:r>
      <w:r w:rsidR="005E4D3F" w:rsidRPr="00733536">
        <w:t xml:space="preserve"> to the adoption of Industry 4.0 technologies but also to develop </w:t>
      </w:r>
      <w:r>
        <w:t>‘</w:t>
      </w:r>
      <w:r w:rsidR="005E4D3F" w:rsidRPr="00733536">
        <w:t>the necessary digital competencies for the successful exploitation of these technologies</w:t>
      </w:r>
      <w:r>
        <w:t>’</w:t>
      </w:r>
      <w:r w:rsidR="005E4D3F" w:rsidRPr="00733536">
        <w:t xml:space="preserve"> </w:t>
      </w:r>
      <w:r w:rsidR="008F7C96" w:rsidRPr="00733536">
        <w:fldChar w:fldCharType="begin"/>
      </w:r>
      <w:r w:rsidR="008F7C96" w:rsidRPr="00733536">
        <w:instrText xml:space="preserve"> REF _Ref55223196 \r \h </w:instrText>
      </w:r>
      <w:r w:rsidR="008F7C96" w:rsidRPr="00733536">
        <w:fldChar w:fldCharType="separate"/>
      </w:r>
      <w:r w:rsidR="008F7C96" w:rsidRPr="00733536">
        <w:t>[11]</w:t>
      </w:r>
      <w:r w:rsidR="008F7C96" w:rsidRPr="00733536">
        <w:fldChar w:fldCharType="end"/>
      </w:r>
      <w:r w:rsidR="005E4D3F" w:rsidRPr="00733536">
        <w:t>. In this respect,</w:t>
      </w:r>
      <w:r w:rsidR="00F20489" w:rsidRPr="00733536">
        <w:t xml:space="preserve"> </w:t>
      </w:r>
      <w:r w:rsidR="008F7C96" w:rsidRPr="00733536">
        <w:fldChar w:fldCharType="begin"/>
      </w:r>
      <w:r w:rsidR="008F7C96" w:rsidRPr="00733536">
        <w:instrText xml:space="preserve"> REF _Ref55223195 \r \h </w:instrText>
      </w:r>
      <w:r w:rsidR="008F7C96" w:rsidRPr="00733536">
        <w:fldChar w:fldCharType="separate"/>
      </w:r>
      <w:r w:rsidR="008F7C96" w:rsidRPr="00733536">
        <w:t>[10]</w:t>
      </w:r>
      <w:r w:rsidR="008F7C96" w:rsidRPr="00733536">
        <w:fldChar w:fldCharType="end"/>
      </w:r>
      <w:r w:rsidR="005E4D3F" w:rsidRPr="00733536">
        <w:t xml:space="preserve"> point out that such digital competences may also substitute for </w:t>
      </w:r>
      <w:r w:rsidR="00332347">
        <w:t>the</w:t>
      </w:r>
      <w:r w:rsidR="005E4D3F" w:rsidRPr="00733536">
        <w:t xml:space="preserve"> manual </w:t>
      </w:r>
      <w:r w:rsidR="00332347">
        <w:t>skills</w:t>
      </w:r>
      <w:r w:rsidR="005E4D3F" w:rsidRPr="00733536">
        <w:t xml:space="preserve"> no longer available in Western countries, given the de-industriali</w:t>
      </w:r>
      <w:r>
        <w:t>s</w:t>
      </w:r>
      <w:r w:rsidR="005E4D3F" w:rsidRPr="00733536">
        <w:t xml:space="preserve">ation </w:t>
      </w:r>
      <w:r>
        <w:t>resulting from</w:t>
      </w:r>
      <w:r w:rsidR="005E4D3F" w:rsidRPr="00733536">
        <w:t xml:space="preserve"> decades of manufacturing off-shoring.</w:t>
      </w:r>
    </w:p>
    <w:p w14:paraId="2ABF8AAE" w14:textId="5E2E1F83" w:rsidR="00A36C52" w:rsidRPr="00733536" w:rsidRDefault="005E4D3F" w:rsidP="00A36C52">
      <w:r w:rsidRPr="00733536">
        <w:t xml:space="preserve">The previous discussion </w:t>
      </w:r>
      <w:r w:rsidR="00CC67A8">
        <w:t>leads</w:t>
      </w:r>
      <w:r w:rsidRPr="00733536">
        <w:t xml:space="preserve"> us to conclude that further studies are requ</w:t>
      </w:r>
      <w:r w:rsidR="00CC67A8">
        <w:t>ir</w:t>
      </w:r>
      <w:r w:rsidRPr="00733536">
        <w:t xml:space="preserve">ed to investigate the proposed research question. Our study has an explorative aim and is mainly based on secondary </w:t>
      </w:r>
      <w:r w:rsidR="00713EF0" w:rsidRPr="00733536">
        <w:t>data;</w:t>
      </w:r>
      <w:r w:rsidRPr="00733536">
        <w:t xml:space="preserve"> therefore</w:t>
      </w:r>
      <w:r w:rsidR="0002702C" w:rsidRPr="00733536">
        <w:t>,</w:t>
      </w:r>
      <w:r w:rsidRPr="00733536">
        <w:t xml:space="preserve"> our conclusions are not generali</w:t>
      </w:r>
      <w:r w:rsidR="00CC67A8">
        <w:t>s</w:t>
      </w:r>
      <w:r w:rsidRPr="00733536">
        <w:t xml:space="preserve">able. However, it may represent a useful </w:t>
      </w:r>
      <w:r w:rsidR="00CC67A8">
        <w:t>summary</w:t>
      </w:r>
      <w:r w:rsidRPr="00733536">
        <w:t xml:space="preserve"> of the academic debate and of back-shoring evidence </w:t>
      </w:r>
      <w:r w:rsidR="00CC67A8">
        <w:t xml:space="preserve">that has been </w:t>
      </w:r>
      <w:r w:rsidRPr="00733536">
        <w:t xml:space="preserve">available up </w:t>
      </w:r>
      <w:r w:rsidR="00CC67A8">
        <w:t>until</w:t>
      </w:r>
      <w:r w:rsidRPr="00733536">
        <w:t xml:space="preserve"> now. In this respect, we suggest future research should couple a longitudinal case study approach with quantitative surveys.</w:t>
      </w:r>
      <w:r w:rsidR="00A36C52" w:rsidRPr="00733536">
        <w:t xml:space="preserve"> Moreover, th</w:t>
      </w:r>
      <w:r w:rsidR="00CC67A8">
        <w:t>is</w:t>
      </w:r>
      <w:r w:rsidR="00A36C52" w:rsidRPr="00733536">
        <w:t xml:space="preserve"> </w:t>
      </w:r>
      <w:r w:rsidR="00713EF0" w:rsidRPr="00733536">
        <w:t>study offers</w:t>
      </w:r>
      <w:r w:rsidR="00A36C52" w:rsidRPr="00733536">
        <w:t xml:space="preserve"> some useful insight</w:t>
      </w:r>
      <w:r w:rsidR="002D79B0">
        <w:t>s</w:t>
      </w:r>
      <w:r w:rsidR="00A36C52" w:rsidRPr="00733536">
        <w:t xml:space="preserve"> for policymakers since </w:t>
      </w:r>
      <w:r w:rsidR="002D79B0">
        <w:t xml:space="preserve">it </w:t>
      </w:r>
      <w:r w:rsidR="00A36C52" w:rsidRPr="00733536">
        <w:t>clearly show</w:t>
      </w:r>
      <w:r w:rsidR="002D79B0">
        <w:t>s</w:t>
      </w:r>
      <w:r w:rsidR="00A36C52" w:rsidRPr="00733536">
        <w:t xml:space="preserve"> that Industry 4.0 technologies may support </w:t>
      </w:r>
      <w:r w:rsidR="002D79B0">
        <w:t xml:space="preserve">the </w:t>
      </w:r>
      <w:r w:rsidR="00A36C52" w:rsidRPr="00733536">
        <w:t xml:space="preserve">back-shoring phenomenon. Therefore, industrial policy aiming to support the diffusion of such disruptive technologies (e.g. </w:t>
      </w:r>
      <w:r w:rsidR="00332347">
        <w:t>‘</w:t>
      </w:r>
      <w:r w:rsidR="00A36C52" w:rsidRPr="00733536">
        <w:t>Industrie 4.0</w:t>
      </w:r>
      <w:r w:rsidR="00332347">
        <w:t>’</w:t>
      </w:r>
      <w:r w:rsidR="00A36C52" w:rsidRPr="00733536">
        <w:t xml:space="preserve"> in Germany, </w:t>
      </w:r>
      <w:r w:rsidR="002D79B0">
        <w:t>‘</w:t>
      </w:r>
      <w:r w:rsidR="00A36C52" w:rsidRPr="00733536">
        <w:t>HVM Catapult</w:t>
      </w:r>
      <w:r w:rsidR="002D79B0">
        <w:t>’</w:t>
      </w:r>
      <w:r w:rsidR="00A36C52" w:rsidRPr="00733536">
        <w:t xml:space="preserve"> in </w:t>
      </w:r>
      <w:r w:rsidR="002D79B0">
        <w:t xml:space="preserve">the </w:t>
      </w:r>
      <w:r w:rsidR="00A36C52" w:rsidRPr="00733536">
        <w:t xml:space="preserve">UK, </w:t>
      </w:r>
      <w:r w:rsidR="002D79B0">
        <w:t>‘</w:t>
      </w:r>
      <w:r w:rsidR="00A36C52" w:rsidRPr="00733536">
        <w:t>Industrie du Futur</w:t>
      </w:r>
      <w:r w:rsidR="002D79B0">
        <w:t>’</w:t>
      </w:r>
      <w:r w:rsidR="00A36C52" w:rsidRPr="00733536">
        <w:t xml:space="preserve"> in France and </w:t>
      </w:r>
      <w:r w:rsidR="002D79B0">
        <w:t>‘</w:t>
      </w:r>
      <w:r w:rsidR="00A36C52" w:rsidRPr="00733536">
        <w:t>Piano Nazionale Industria 4.0</w:t>
      </w:r>
      <w:r w:rsidR="002D79B0">
        <w:t>’</w:t>
      </w:r>
      <w:r w:rsidR="00A36C52" w:rsidRPr="00733536">
        <w:t xml:space="preserve"> in Italy) might </w:t>
      </w:r>
      <w:r w:rsidR="002D79B0" w:rsidRPr="00733536">
        <w:t xml:space="preserve">also </w:t>
      </w:r>
      <w:r w:rsidR="00A36C52" w:rsidRPr="00733536">
        <w:t xml:space="preserve">have </w:t>
      </w:r>
      <w:r w:rsidR="00332347">
        <w:t xml:space="preserve">a </w:t>
      </w:r>
      <w:r w:rsidR="00A36C52" w:rsidRPr="00733536">
        <w:t xml:space="preserve">positive effect in terms of companies implementing production relocations </w:t>
      </w:r>
      <w:r w:rsidR="002D79B0">
        <w:t>to</w:t>
      </w:r>
      <w:r w:rsidR="00A36C52" w:rsidRPr="00733536">
        <w:t xml:space="preserve"> the</w:t>
      </w:r>
      <w:r w:rsidR="00332347">
        <w:t>ir</w:t>
      </w:r>
      <w:r w:rsidR="00A36C52" w:rsidRPr="00733536">
        <w:t xml:space="preserve"> home country. Finally, th</w:t>
      </w:r>
      <w:r w:rsidR="002D79B0">
        <w:t>is</w:t>
      </w:r>
      <w:r w:rsidR="00A36C52" w:rsidRPr="00733536">
        <w:t xml:space="preserve"> article </w:t>
      </w:r>
      <w:r w:rsidR="00332347">
        <w:t xml:space="preserve">provides </w:t>
      </w:r>
      <w:r w:rsidR="00A36C52" w:rsidRPr="00733536">
        <w:t>support</w:t>
      </w:r>
      <w:r w:rsidR="00332347">
        <w:t xml:space="preserve"> for</w:t>
      </w:r>
      <w:r w:rsidR="00A36C52" w:rsidRPr="00733536">
        <w:t xml:space="preserve"> managers of manufacturing companies</w:t>
      </w:r>
      <w:r w:rsidR="00621696">
        <w:t xml:space="preserve"> by</w:t>
      </w:r>
      <w:r w:rsidR="00332347">
        <w:t xml:space="preserve"> enabling them</w:t>
      </w:r>
      <w:r w:rsidR="00A36C52" w:rsidRPr="00733536">
        <w:t xml:space="preserve"> </w:t>
      </w:r>
      <w:r w:rsidR="002D79B0">
        <w:t>to</w:t>
      </w:r>
      <w:r w:rsidR="00A36C52" w:rsidRPr="00733536">
        <w:t xml:space="preserve"> better evaluat</w:t>
      </w:r>
      <w:r w:rsidR="002D79B0">
        <w:t>e</w:t>
      </w:r>
      <w:r w:rsidR="00A36C52" w:rsidRPr="00733536">
        <w:t xml:space="preserve"> the benefits </w:t>
      </w:r>
      <w:r w:rsidR="002D79B0">
        <w:t xml:space="preserve">that </w:t>
      </w:r>
      <w:r w:rsidR="00A36C52" w:rsidRPr="00733536">
        <w:t>Industry 4.0 technologies may offer back-shoring strategies.</w:t>
      </w:r>
      <w:r w:rsidR="00F038BA" w:rsidRPr="00733536">
        <w:t xml:space="preserve"> </w:t>
      </w:r>
    </w:p>
    <w:p w14:paraId="4A62C8A9" w14:textId="77777777" w:rsidR="00216085" w:rsidRPr="00733536" w:rsidRDefault="00216085" w:rsidP="00802D34">
      <w:pPr>
        <w:pStyle w:val="NoNumberFirstSection"/>
      </w:pPr>
      <w:r w:rsidRPr="00733536">
        <w:t>References</w:t>
      </w:r>
    </w:p>
    <w:p w14:paraId="74C31936" w14:textId="6C4A6555" w:rsidR="003F720F" w:rsidRPr="00733536" w:rsidRDefault="003F720F" w:rsidP="00D471AE">
      <w:pPr>
        <w:pStyle w:val="References"/>
        <w:tabs>
          <w:tab w:val="clear" w:pos="397"/>
          <w:tab w:val="clear" w:pos="454"/>
          <w:tab w:val="left" w:pos="426"/>
        </w:tabs>
        <w:ind w:left="426" w:hanging="426"/>
      </w:pPr>
      <w:bookmarkStart w:id="23" w:name="_Ref55217342"/>
      <w:r w:rsidRPr="00733536">
        <w:t>S</w:t>
      </w:r>
      <w:r w:rsidR="00AE0E2D" w:rsidRPr="00733536">
        <w:t>. </w:t>
      </w:r>
      <w:r w:rsidRPr="00733536">
        <w:t>Manning, Mitigate, tolerate or relocate? Offshoring challenges, strategic imperatives and resource constraints, Journal of World Business 49 (2014) pp. 522</w:t>
      </w:r>
      <w:r w:rsidR="00CC4CBA">
        <w:t>-</w:t>
      </w:r>
      <w:r w:rsidRPr="00733536">
        <w:t>535</w:t>
      </w:r>
      <w:r w:rsidR="006C4D47" w:rsidRPr="00733536">
        <w:t>.</w:t>
      </w:r>
      <w:bookmarkEnd w:id="23"/>
    </w:p>
    <w:p w14:paraId="7BAB12BE" w14:textId="4DB095A5" w:rsidR="003F720F" w:rsidRPr="00733536" w:rsidRDefault="003F720F" w:rsidP="00D471AE">
      <w:pPr>
        <w:pStyle w:val="References"/>
        <w:tabs>
          <w:tab w:val="clear" w:pos="397"/>
          <w:tab w:val="clear" w:pos="454"/>
          <w:tab w:val="left" w:pos="426"/>
        </w:tabs>
        <w:ind w:left="426" w:hanging="426"/>
      </w:pPr>
      <w:bookmarkStart w:id="24" w:name="_Ref55217487"/>
      <w:commentRangeStart w:id="25"/>
      <w:r w:rsidRPr="00733536">
        <w:t>P</w:t>
      </w:r>
      <w:r w:rsidR="00AE0E2D" w:rsidRPr="00733536">
        <w:t>. </w:t>
      </w:r>
      <w:r w:rsidRPr="00733536">
        <w:t>Barbieri, S</w:t>
      </w:r>
      <w:r w:rsidR="00AE0E2D" w:rsidRPr="00733536">
        <w:t>. </w:t>
      </w:r>
      <w:r w:rsidRPr="00733536">
        <w:t>Elia, L</w:t>
      </w:r>
      <w:r w:rsidR="00AE0E2D" w:rsidRPr="00733536">
        <w:t>. </w:t>
      </w:r>
      <w:r w:rsidRPr="00733536">
        <w:t>Fratocchi, R</w:t>
      </w:r>
      <w:r w:rsidR="00AE0E2D" w:rsidRPr="00733536">
        <w:t>. </w:t>
      </w:r>
      <w:r w:rsidRPr="00733536">
        <w:t xml:space="preserve">Golini, Relocation of second degree: </w:t>
      </w:r>
      <w:r w:rsidR="00CC4CBA">
        <w:t>m</w:t>
      </w:r>
      <w:r w:rsidRPr="00733536">
        <w:t xml:space="preserve">oving towards a new place or returning home?, Journal of Purchasing and Supply Management </w:t>
      </w:r>
      <w:r w:rsidR="006C4D47" w:rsidRPr="00733536">
        <w:t xml:space="preserve">25 </w:t>
      </w:r>
      <w:r w:rsidRPr="00733536">
        <w:t>(2019)</w:t>
      </w:r>
      <w:r w:rsidR="00BC737B" w:rsidRPr="00733536">
        <w:t>.</w:t>
      </w:r>
      <w:r w:rsidRPr="00733536">
        <w:t xml:space="preserve"> </w:t>
      </w:r>
      <w:r w:rsidR="00BC737B" w:rsidRPr="00733536">
        <w:tab/>
      </w:r>
      <w:commentRangeEnd w:id="25"/>
      <w:r w:rsidR="00CC4CBA">
        <w:rPr>
          <w:rStyle w:val="CommentReference"/>
          <w:rFonts w:asciiTheme="minorHAnsi" w:eastAsiaTheme="minorEastAsia" w:hAnsiTheme="minorHAnsi" w:cstheme="minorBidi"/>
          <w:lang w:val="it-IT" w:eastAsia="ko-KR"/>
        </w:rPr>
        <w:commentReference w:id="25"/>
      </w:r>
      <w:r w:rsidR="00BC737B" w:rsidRPr="00733536">
        <w:br/>
      </w:r>
      <w:r w:rsidRPr="00733536">
        <w:t xml:space="preserve">DOI: </w:t>
      </w:r>
      <w:hyperlink r:id="rId16" w:history="1">
        <w:r w:rsidR="00BC737B" w:rsidRPr="00733536">
          <w:rPr>
            <w:rStyle w:val="Hyperlink"/>
          </w:rPr>
          <w:t>https://doi.org/10.1016/j.pursup.2018.12.003</w:t>
        </w:r>
      </w:hyperlink>
      <w:bookmarkEnd w:id="24"/>
      <w:r w:rsidR="00BC737B" w:rsidRPr="00733536">
        <w:t xml:space="preserve"> </w:t>
      </w:r>
    </w:p>
    <w:p w14:paraId="6CFAF30A" w14:textId="7F7D6496" w:rsidR="003F720F" w:rsidRPr="00733536" w:rsidRDefault="003F720F" w:rsidP="00D471AE">
      <w:pPr>
        <w:pStyle w:val="References"/>
        <w:tabs>
          <w:tab w:val="clear" w:pos="397"/>
          <w:tab w:val="left" w:pos="426"/>
        </w:tabs>
        <w:ind w:left="426" w:hanging="426"/>
      </w:pPr>
      <w:bookmarkStart w:id="26" w:name="_Ref55217497"/>
      <w:r w:rsidRPr="00733536">
        <w:t>L</w:t>
      </w:r>
      <w:r w:rsidR="00AE0E2D" w:rsidRPr="00733536">
        <w:t>. </w:t>
      </w:r>
      <w:r w:rsidRPr="00733536">
        <w:t>Fratocchi, C</w:t>
      </w:r>
      <w:r w:rsidR="00AE0E2D" w:rsidRPr="00733536">
        <w:t>. </w:t>
      </w:r>
      <w:r w:rsidRPr="00733536">
        <w:t>Di</w:t>
      </w:r>
      <w:r w:rsidR="00AE0E2D" w:rsidRPr="00733536">
        <w:t> </w:t>
      </w:r>
      <w:r w:rsidRPr="00733536">
        <w:t>Mauro, P</w:t>
      </w:r>
      <w:r w:rsidR="00AE0E2D" w:rsidRPr="00733536">
        <w:t>. </w:t>
      </w:r>
      <w:r w:rsidRPr="00733536">
        <w:t>Barbieri, G</w:t>
      </w:r>
      <w:r w:rsidR="00AE0E2D" w:rsidRPr="00733536">
        <w:t>. </w:t>
      </w:r>
      <w:r w:rsidRPr="00733536">
        <w:t>Nassimbeni, A</w:t>
      </w:r>
      <w:r w:rsidR="00AE0E2D" w:rsidRPr="00733536">
        <w:t>. </w:t>
      </w:r>
      <w:r w:rsidRPr="00733536">
        <w:t>Zanoni, When manufacturing moves back: concepts and questions</w:t>
      </w:r>
      <w:r w:rsidR="00CC4CBA">
        <w:t>,</w:t>
      </w:r>
      <w:r w:rsidRPr="00733536">
        <w:t xml:space="preserve"> Journal of Purchasing and Supply Management 20 (2014) pp. 54</w:t>
      </w:r>
      <w:r w:rsidR="00CC4CBA">
        <w:t>-</w:t>
      </w:r>
      <w:r w:rsidRPr="00733536">
        <w:t>59</w:t>
      </w:r>
      <w:r w:rsidR="006C4D47" w:rsidRPr="00733536">
        <w:t>.</w:t>
      </w:r>
      <w:bookmarkEnd w:id="26"/>
    </w:p>
    <w:p w14:paraId="724AB5C0" w14:textId="02AA5920" w:rsidR="003F720F" w:rsidRPr="00733536" w:rsidRDefault="003F720F" w:rsidP="00D471AE">
      <w:pPr>
        <w:pStyle w:val="References"/>
        <w:tabs>
          <w:tab w:val="clear" w:pos="397"/>
          <w:tab w:val="left" w:pos="426"/>
        </w:tabs>
        <w:ind w:left="426" w:hanging="426"/>
      </w:pPr>
      <w:bookmarkStart w:id="27" w:name="_Ref55217958"/>
      <w:r w:rsidRPr="00733536">
        <w:t>L</w:t>
      </w:r>
      <w:r w:rsidR="00AE0E2D" w:rsidRPr="00733536">
        <w:t>. </w:t>
      </w:r>
      <w:r w:rsidRPr="00733536">
        <w:t>Fratocchi, A</w:t>
      </w:r>
      <w:r w:rsidR="00AE0E2D" w:rsidRPr="00733536">
        <w:t>. </w:t>
      </w:r>
      <w:r w:rsidRPr="00733536">
        <w:t>Ancarani, P</w:t>
      </w:r>
      <w:r w:rsidR="00AE0E2D" w:rsidRPr="00733536">
        <w:t>. </w:t>
      </w:r>
      <w:r w:rsidRPr="00733536">
        <w:t>Barbieri, C</w:t>
      </w:r>
      <w:r w:rsidR="00AE0E2D" w:rsidRPr="00733536">
        <w:t>. </w:t>
      </w:r>
      <w:r w:rsidRPr="00733536">
        <w:t>Di</w:t>
      </w:r>
      <w:r w:rsidR="00AE0E2D" w:rsidRPr="00733536">
        <w:t> </w:t>
      </w:r>
      <w:r w:rsidRPr="00733536">
        <w:t>Mauro, G</w:t>
      </w:r>
      <w:r w:rsidR="00AE0E2D" w:rsidRPr="00733536">
        <w:t>. </w:t>
      </w:r>
      <w:r w:rsidRPr="00733536">
        <w:t>Nassimbeni, M</w:t>
      </w:r>
      <w:r w:rsidR="00AE0E2D" w:rsidRPr="00733536">
        <w:t>. </w:t>
      </w:r>
      <w:r w:rsidRPr="00733536">
        <w:t>Sartor, M</w:t>
      </w:r>
      <w:r w:rsidR="00AE0E2D" w:rsidRPr="00733536">
        <w:t>. </w:t>
      </w:r>
      <w:r w:rsidRPr="00733536">
        <w:t>Vignoli, A</w:t>
      </w:r>
      <w:r w:rsidR="00AE0E2D" w:rsidRPr="00733536">
        <w:t>. </w:t>
      </w:r>
      <w:r w:rsidRPr="00733536">
        <w:t>Zanoni, Manufacturing back-reshoring as a nonlinear internationalization process, in</w:t>
      </w:r>
      <w:r w:rsidR="00CC4CBA">
        <w:t>:</w:t>
      </w:r>
      <w:r w:rsidRPr="00733536">
        <w:t xml:space="preserve"> The Future of Global Organizing, Progress in International Business Research (PIBR). R</w:t>
      </w:r>
      <w:r w:rsidR="00AE0E2D" w:rsidRPr="00733536">
        <w:t>. </w:t>
      </w:r>
      <w:r w:rsidRPr="00733536">
        <w:t>Van Tulder, A</w:t>
      </w:r>
      <w:r w:rsidR="00AE0E2D" w:rsidRPr="00733536">
        <w:t>. </w:t>
      </w:r>
      <w:r w:rsidRPr="00733536">
        <w:t>Verbeke, R</w:t>
      </w:r>
      <w:r w:rsidR="00AE0E2D" w:rsidRPr="00733536">
        <w:t>. </w:t>
      </w:r>
      <w:r w:rsidRPr="00733536">
        <w:t>Drogendijk</w:t>
      </w:r>
      <w:r w:rsidR="00F37FFE">
        <w:t xml:space="preserve"> (editors)</w:t>
      </w:r>
      <w:r w:rsidRPr="00733536">
        <w:t>. Emerald, Bingley</w:t>
      </w:r>
      <w:r w:rsidR="00F37FFE">
        <w:t xml:space="preserve">, </w:t>
      </w:r>
      <w:r w:rsidRPr="00733536">
        <w:t>2015, ISBN 978-1-78560-423-2, pp. 367</w:t>
      </w:r>
      <w:r w:rsidR="00CC4CBA">
        <w:t>-</w:t>
      </w:r>
      <w:r w:rsidRPr="00733536">
        <w:t>405</w:t>
      </w:r>
      <w:r w:rsidR="006C4D47" w:rsidRPr="00733536">
        <w:t>.</w:t>
      </w:r>
      <w:bookmarkEnd w:id="27"/>
    </w:p>
    <w:p w14:paraId="372B6EFA" w14:textId="7D849AE8" w:rsidR="003F720F" w:rsidRPr="00733536" w:rsidRDefault="003F720F" w:rsidP="00D471AE">
      <w:pPr>
        <w:pStyle w:val="References"/>
        <w:tabs>
          <w:tab w:val="clear" w:pos="397"/>
          <w:tab w:val="left" w:pos="426"/>
        </w:tabs>
        <w:ind w:left="426" w:hanging="426"/>
      </w:pPr>
      <w:bookmarkStart w:id="28" w:name="_Ref55217971"/>
      <w:r w:rsidRPr="00733536">
        <w:t>L</w:t>
      </w:r>
      <w:r w:rsidR="00AE0E2D" w:rsidRPr="00733536">
        <w:t>. </w:t>
      </w:r>
      <w:r w:rsidRPr="00733536">
        <w:t>M</w:t>
      </w:r>
      <w:r w:rsidR="00AE0E2D" w:rsidRPr="00733536">
        <w:t>. </w:t>
      </w:r>
      <w:r w:rsidRPr="00733536">
        <w:t>Ellram, W</w:t>
      </w:r>
      <w:r w:rsidR="00AE0E2D" w:rsidRPr="00733536">
        <w:t>. </w:t>
      </w:r>
      <w:r w:rsidRPr="00733536">
        <w:t>L</w:t>
      </w:r>
      <w:r w:rsidR="00AE0E2D" w:rsidRPr="00733536">
        <w:t>. </w:t>
      </w:r>
      <w:r w:rsidRPr="00733536">
        <w:t>Tate, K</w:t>
      </w:r>
      <w:r w:rsidR="00AE0E2D" w:rsidRPr="00733536">
        <w:t>. </w:t>
      </w:r>
      <w:r w:rsidRPr="00733536">
        <w:t>J</w:t>
      </w:r>
      <w:r w:rsidR="00AE0E2D" w:rsidRPr="00733536">
        <w:t>. </w:t>
      </w:r>
      <w:r w:rsidRPr="00733536">
        <w:t>Petersen, Offshoring and reshoring: an update on the manufacturing location decision, Journal of Supply Chain Management 49 (2013) pp.14</w:t>
      </w:r>
      <w:r w:rsidR="0008478A">
        <w:t>-</w:t>
      </w:r>
      <w:r w:rsidRPr="00733536">
        <w:t>22</w:t>
      </w:r>
      <w:r w:rsidR="006C4D47" w:rsidRPr="00733536">
        <w:t>.</w:t>
      </w:r>
      <w:bookmarkEnd w:id="28"/>
    </w:p>
    <w:p w14:paraId="184D39C6" w14:textId="1C533C07" w:rsidR="003F720F" w:rsidRPr="00733536" w:rsidRDefault="003F720F" w:rsidP="00D471AE">
      <w:pPr>
        <w:pStyle w:val="References"/>
        <w:tabs>
          <w:tab w:val="clear" w:pos="397"/>
          <w:tab w:val="left" w:pos="426"/>
        </w:tabs>
        <w:ind w:left="426" w:hanging="426"/>
      </w:pPr>
      <w:bookmarkStart w:id="29" w:name="_Ref55217977"/>
      <w:r w:rsidRPr="00733536">
        <w:t>J</w:t>
      </w:r>
      <w:r w:rsidR="00AE0E2D" w:rsidRPr="00733536">
        <w:t>. </w:t>
      </w:r>
      <w:r w:rsidRPr="00733536">
        <w:t>V</w:t>
      </w:r>
      <w:r w:rsidR="00AE0E2D" w:rsidRPr="00733536">
        <w:t>. </w:t>
      </w:r>
      <w:r w:rsidRPr="00733536">
        <w:t>Gray, K</w:t>
      </w:r>
      <w:r w:rsidR="00AE0E2D" w:rsidRPr="00733536">
        <w:t>. </w:t>
      </w:r>
      <w:r w:rsidRPr="00733536">
        <w:t>Skowronski, G</w:t>
      </w:r>
      <w:r w:rsidR="00AE0E2D" w:rsidRPr="00733536">
        <w:t>. </w:t>
      </w:r>
      <w:r w:rsidRPr="00733536">
        <w:t>Esenduran, M.</w:t>
      </w:r>
      <w:r w:rsidR="00AE0E2D" w:rsidRPr="00733536">
        <w:t> </w:t>
      </w:r>
      <w:r w:rsidRPr="00733536">
        <w:t>J</w:t>
      </w:r>
      <w:r w:rsidR="00AE0E2D" w:rsidRPr="00733536">
        <w:t>. </w:t>
      </w:r>
      <w:r w:rsidRPr="00733536">
        <w:t xml:space="preserve">Rungtudanatham, The reshoring phenomenon: what supply </w:t>
      </w:r>
      <w:r w:rsidRPr="00733536">
        <w:t>chain academics ought to know and should do, Journal of Supply Chain Management 49 (2013) pp. 27</w:t>
      </w:r>
      <w:r w:rsidR="0008478A">
        <w:t>-</w:t>
      </w:r>
      <w:r w:rsidRPr="00733536">
        <w:t>33</w:t>
      </w:r>
      <w:r w:rsidR="006C4D47" w:rsidRPr="00733536">
        <w:t>.</w:t>
      </w:r>
      <w:bookmarkEnd w:id="29"/>
    </w:p>
    <w:p w14:paraId="65AE294F" w14:textId="539E867F" w:rsidR="003F720F" w:rsidRPr="00733536" w:rsidRDefault="003F720F" w:rsidP="00D471AE">
      <w:pPr>
        <w:pStyle w:val="References"/>
        <w:tabs>
          <w:tab w:val="clear" w:pos="397"/>
          <w:tab w:val="left" w:pos="426"/>
        </w:tabs>
        <w:ind w:left="426" w:hanging="426"/>
      </w:pPr>
      <w:bookmarkStart w:id="30" w:name="_Ref55223192"/>
      <w:r w:rsidRPr="00733536">
        <w:t>P</w:t>
      </w:r>
      <w:r w:rsidR="00AE0E2D" w:rsidRPr="00733536">
        <w:t>. </w:t>
      </w:r>
      <w:r w:rsidRPr="00733536">
        <w:t>Barbieri, F</w:t>
      </w:r>
      <w:r w:rsidR="00AE0E2D" w:rsidRPr="00733536">
        <w:t>. </w:t>
      </w:r>
      <w:r w:rsidRPr="00733536">
        <w:t>Ciabuschi, L</w:t>
      </w:r>
      <w:r w:rsidR="00AE0E2D" w:rsidRPr="00733536">
        <w:t>. </w:t>
      </w:r>
      <w:r w:rsidRPr="00733536">
        <w:t>Fratocchi, M</w:t>
      </w:r>
      <w:r w:rsidR="00AE0E2D" w:rsidRPr="00733536">
        <w:t>. </w:t>
      </w:r>
      <w:r w:rsidRPr="00733536">
        <w:t>Vignoli, What do we know about manufacturing reshoring?, Journal of Global Operations and Strategic Sourcing 11</w:t>
      </w:r>
      <w:r w:rsidR="0008478A">
        <w:t xml:space="preserve"> </w:t>
      </w:r>
      <w:r w:rsidRPr="00733536">
        <w:t>(2018) pp. 79</w:t>
      </w:r>
      <w:r w:rsidR="0008478A">
        <w:t>-</w:t>
      </w:r>
      <w:r w:rsidRPr="00733536">
        <w:t>122.</w:t>
      </w:r>
      <w:bookmarkEnd w:id="30"/>
    </w:p>
    <w:p w14:paraId="6573A75F" w14:textId="18A9F042" w:rsidR="003F720F" w:rsidRPr="00733536" w:rsidRDefault="003F720F" w:rsidP="00D471AE">
      <w:pPr>
        <w:pStyle w:val="References"/>
        <w:tabs>
          <w:tab w:val="clear" w:pos="397"/>
          <w:tab w:val="left" w:pos="426"/>
        </w:tabs>
        <w:ind w:left="426" w:hanging="426"/>
      </w:pPr>
      <w:bookmarkStart w:id="31" w:name="_Ref55223193"/>
      <w:r w:rsidRPr="00733536">
        <w:t>B</w:t>
      </w:r>
      <w:r w:rsidR="00AE0E2D" w:rsidRPr="00733536">
        <w:t>. </w:t>
      </w:r>
      <w:r w:rsidRPr="00733536">
        <w:t>Wiesmann, J</w:t>
      </w:r>
      <w:r w:rsidR="00AE0E2D" w:rsidRPr="00733536">
        <w:t>. </w:t>
      </w:r>
      <w:r w:rsidRPr="00733536">
        <w:t>R</w:t>
      </w:r>
      <w:r w:rsidR="00AE0E2D" w:rsidRPr="00733536">
        <w:t>. </w:t>
      </w:r>
      <w:r w:rsidRPr="00733536">
        <w:t>Snoei, P</w:t>
      </w:r>
      <w:r w:rsidR="00AE0E2D" w:rsidRPr="00733536">
        <w:t>. </w:t>
      </w:r>
      <w:r w:rsidRPr="00733536">
        <w:t>Hilletofth, D</w:t>
      </w:r>
      <w:r w:rsidR="00AE0E2D" w:rsidRPr="00733536">
        <w:t>. </w:t>
      </w:r>
      <w:r w:rsidRPr="00733536">
        <w:t>Eriksson, Drivers and barriers to reshoring: a literature review on offshoring in reverse, European Business Review 29 (2017) pp. 15</w:t>
      </w:r>
      <w:r w:rsidR="0008478A">
        <w:t>-</w:t>
      </w:r>
      <w:r w:rsidRPr="00733536">
        <w:t>42</w:t>
      </w:r>
      <w:r w:rsidR="006C4D47" w:rsidRPr="00733536">
        <w:t>.</w:t>
      </w:r>
      <w:bookmarkEnd w:id="31"/>
    </w:p>
    <w:p w14:paraId="20E8C207" w14:textId="4CA2E1C4" w:rsidR="003F720F" w:rsidRPr="00733536" w:rsidRDefault="003F720F" w:rsidP="00D471AE">
      <w:pPr>
        <w:pStyle w:val="References"/>
        <w:tabs>
          <w:tab w:val="clear" w:pos="397"/>
          <w:tab w:val="left" w:pos="426"/>
        </w:tabs>
        <w:ind w:left="426" w:hanging="426"/>
      </w:pPr>
      <w:bookmarkStart w:id="32" w:name="_Ref55223194"/>
      <w:r w:rsidRPr="00733536">
        <w:t>J</w:t>
      </w:r>
      <w:r w:rsidR="00AE0E2D" w:rsidRPr="00733536">
        <w:t>. </w:t>
      </w:r>
      <w:r w:rsidRPr="00733536">
        <w:t>Stentoft, J</w:t>
      </w:r>
      <w:r w:rsidR="00AE0E2D" w:rsidRPr="00733536">
        <w:t>. </w:t>
      </w:r>
      <w:r w:rsidRPr="00733536">
        <w:t>Olhager, J</w:t>
      </w:r>
      <w:r w:rsidR="00AE0E2D" w:rsidRPr="00733536">
        <w:t>. </w:t>
      </w:r>
      <w:r w:rsidRPr="00733536">
        <w:t>Heikkilä, L</w:t>
      </w:r>
      <w:r w:rsidR="00AE0E2D" w:rsidRPr="00733536">
        <w:t>. </w:t>
      </w:r>
      <w:r w:rsidRPr="00733536">
        <w:t>Thoms, Manufacturing backshoring: a systematic literature review, Operations Management Research 9 (2016) pp. 53</w:t>
      </w:r>
      <w:r w:rsidR="0008478A">
        <w:t>-</w:t>
      </w:r>
      <w:r w:rsidRPr="00733536">
        <w:t>61</w:t>
      </w:r>
      <w:bookmarkEnd w:id="32"/>
    </w:p>
    <w:p w14:paraId="1C684A35" w14:textId="166A75B6" w:rsidR="003F720F" w:rsidRPr="00733536" w:rsidRDefault="003F720F" w:rsidP="00D471AE">
      <w:pPr>
        <w:pStyle w:val="References"/>
        <w:tabs>
          <w:tab w:val="clear" w:pos="397"/>
          <w:tab w:val="left" w:pos="426"/>
        </w:tabs>
        <w:ind w:left="426" w:hanging="426"/>
      </w:pPr>
      <w:bookmarkStart w:id="33" w:name="_Ref55223195"/>
      <w:r w:rsidRPr="00733536">
        <w:t>A</w:t>
      </w:r>
      <w:r w:rsidR="00AE0E2D" w:rsidRPr="00733536">
        <w:t>. </w:t>
      </w:r>
      <w:r w:rsidRPr="00733536">
        <w:t>Ancarani, C</w:t>
      </w:r>
      <w:r w:rsidR="00AE0E2D" w:rsidRPr="00733536">
        <w:t>. </w:t>
      </w:r>
      <w:r w:rsidRPr="00733536">
        <w:t xml:space="preserve">Di Mauro, Reshoring and Industry 4.0: </w:t>
      </w:r>
      <w:r w:rsidR="0008478A" w:rsidRPr="00733536">
        <w:t>how often do they go together</w:t>
      </w:r>
      <w:r w:rsidRPr="00733536">
        <w:t>?, IEEE Engineering Management Review 46 (2018) pp. 87</w:t>
      </w:r>
      <w:r w:rsidR="0008478A">
        <w:t>-</w:t>
      </w:r>
      <w:r w:rsidRPr="00733536">
        <w:t>96</w:t>
      </w:r>
      <w:r w:rsidR="006C4D47" w:rsidRPr="00733536">
        <w:t>.</w:t>
      </w:r>
      <w:bookmarkEnd w:id="33"/>
    </w:p>
    <w:p w14:paraId="67F3878D" w14:textId="0A8AE485" w:rsidR="003F720F" w:rsidRPr="00733536" w:rsidRDefault="003F720F" w:rsidP="00D471AE">
      <w:pPr>
        <w:pStyle w:val="References"/>
        <w:tabs>
          <w:tab w:val="clear" w:pos="397"/>
          <w:tab w:val="left" w:pos="426"/>
        </w:tabs>
        <w:ind w:left="426" w:hanging="426"/>
      </w:pPr>
      <w:bookmarkStart w:id="34" w:name="_Ref55223196"/>
      <w:r w:rsidRPr="00733536">
        <w:t>A</w:t>
      </w:r>
      <w:r w:rsidR="00AE0E2D" w:rsidRPr="00733536">
        <w:t>. </w:t>
      </w:r>
      <w:r w:rsidRPr="00733536">
        <w:t>Ancarani, C</w:t>
      </w:r>
      <w:r w:rsidR="00AE0E2D" w:rsidRPr="00733536">
        <w:t>. </w:t>
      </w:r>
      <w:r w:rsidRPr="00733536">
        <w:t>Di Mauro, F</w:t>
      </w:r>
      <w:r w:rsidR="00AE0E2D" w:rsidRPr="00733536">
        <w:t>. </w:t>
      </w:r>
      <w:r w:rsidRPr="00733536">
        <w:t xml:space="preserve">Mascali, Backshoring strategy and the adoption of Industry 4.0: </w:t>
      </w:r>
      <w:r w:rsidR="0008478A">
        <w:t>e</w:t>
      </w:r>
      <w:r w:rsidRPr="00733536">
        <w:t>vidence from Europe, Journal of World Business 54 (2019) pp. 360</w:t>
      </w:r>
      <w:r w:rsidR="0008478A">
        <w:t>-</w:t>
      </w:r>
      <w:r w:rsidRPr="00733536">
        <w:t>371</w:t>
      </w:r>
      <w:r w:rsidR="006C4D47" w:rsidRPr="00733536">
        <w:t>.</w:t>
      </w:r>
      <w:bookmarkEnd w:id="34"/>
    </w:p>
    <w:p w14:paraId="04A42430" w14:textId="20BDED57" w:rsidR="003F720F" w:rsidRPr="00733536" w:rsidRDefault="003F720F" w:rsidP="00D471AE">
      <w:pPr>
        <w:pStyle w:val="References"/>
        <w:tabs>
          <w:tab w:val="clear" w:pos="397"/>
          <w:tab w:val="left" w:pos="426"/>
        </w:tabs>
        <w:ind w:left="426" w:hanging="426"/>
      </w:pPr>
      <w:bookmarkStart w:id="35" w:name="_Ref55223197"/>
      <w:r w:rsidRPr="00733536">
        <w:t>L</w:t>
      </w:r>
      <w:r w:rsidR="00AE0E2D" w:rsidRPr="00733536">
        <w:t>. </w:t>
      </w:r>
      <w:r w:rsidRPr="00733536">
        <w:t>Fratocchi, Additive manufacturing technologies as a reshoring enabler: a why, where and how approach. World Review of Intermodal Transportation Research 7 (2018) pp. 264</w:t>
      </w:r>
      <w:r w:rsidR="0008478A">
        <w:t>-</w:t>
      </w:r>
      <w:r w:rsidRPr="00733536">
        <w:t>293</w:t>
      </w:r>
      <w:r w:rsidR="006C4D47" w:rsidRPr="00733536">
        <w:t>.</w:t>
      </w:r>
      <w:bookmarkEnd w:id="35"/>
    </w:p>
    <w:p w14:paraId="280CF17F" w14:textId="783A4B8D" w:rsidR="003F720F" w:rsidRPr="00733536" w:rsidRDefault="003F720F" w:rsidP="00D471AE">
      <w:pPr>
        <w:pStyle w:val="References"/>
        <w:tabs>
          <w:tab w:val="clear" w:pos="397"/>
          <w:tab w:val="left" w:pos="426"/>
        </w:tabs>
        <w:ind w:left="426" w:hanging="426"/>
      </w:pPr>
      <w:bookmarkStart w:id="36" w:name="_Ref55223198"/>
      <w:r w:rsidRPr="00733536">
        <w:t>L</w:t>
      </w:r>
      <w:r w:rsidR="00AE0E2D" w:rsidRPr="00733536">
        <w:t>. </w:t>
      </w:r>
      <w:r w:rsidRPr="00733536">
        <w:t xml:space="preserve">Fratocchi, Additive </w:t>
      </w:r>
      <w:r w:rsidR="0008478A" w:rsidRPr="00733536">
        <w:t>manufacturing as a reshoring enabler</w:t>
      </w:r>
      <w:r w:rsidR="0008478A">
        <w:t>:</w:t>
      </w:r>
      <w:r w:rsidR="0008478A" w:rsidRPr="00733536">
        <w:t xml:space="preserve"> considerations on the why issue</w:t>
      </w:r>
      <w:r w:rsidRPr="00733536">
        <w:t xml:space="preserve">, </w:t>
      </w:r>
      <w:r w:rsidR="00AE0E2D" w:rsidRPr="00733536">
        <w:t>Proc</w:t>
      </w:r>
      <w:r w:rsidR="00626650">
        <w:t>.</w:t>
      </w:r>
      <w:r w:rsidR="00AE0E2D" w:rsidRPr="00733536">
        <w:t xml:space="preserve"> of the </w:t>
      </w:r>
      <w:r w:rsidRPr="00733536">
        <w:t>Workshop on Metrology for Industry 4.0 and IoT, MetroInd 4.0 and IoT</w:t>
      </w:r>
      <w:commentRangeStart w:id="37"/>
      <w:r w:rsidRPr="00733536">
        <w:t>, Italy</w:t>
      </w:r>
      <w:commentRangeEnd w:id="37"/>
      <w:r w:rsidR="0008478A">
        <w:rPr>
          <w:rStyle w:val="CommentReference"/>
          <w:rFonts w:asciiTheme="minorHAnsi" w:eastAsiaTheme="minorEastAsia" w:hAnsiTheme="minorHAnsi" w:cstheme="minorBidi"/>
          <w:lang w:val="it-IT" w:eastAsia="ko-KR"/>
        </w:rPr>
        <w:commentReference w:id="37"/>
      </w:r>
      <w:r w:rsidRPr="00733536">
        <w:t>, 2018, Article number 8428316</w:t>
      </w:r>
      <w:r w:rsidR="006C4D47" w:rsidRPr="00733536">
        <w:t>.</w:t>
      </w:r>
      <w:bookmarkEnd w:id="36"/>
    </w:p>
    <w:p w14:paraId="1399677C" w14:textId="50A0224B" w:rsidR="003F720F" w:rsidRPr="00733536" w:rsidRDefault="003F720F" w:rsidP="00D471AE">
      <w:pPr>
        <w:pStyle w:val="References"/>
        <w:tabs>
          <w:tab w:val="clear" w:pos="397"/>
          <w:tab w:val="left" w:pos="426"/>
        </w:tabs>
        <w:ind w:left="426" w:hanging="426"/>
      </w:pPr>
      <w:bookmarkStart w:id="38" w:name="_Ref55223199"/>
      <w:r w:rsidRPr="00733536">
        <w:t>H</w:t>
      </w:r>
      <w:r w:rsidR="00AE0E2D" w:rsidRPr="00733536">
        <w:t>. </w:t>
      </w:r>
      <w:r w:rsidRPr="00733536">
        <w:t>Moradlou, W</w:t>
      </w:r>
      <w:r w:rsidR="00AE0E2D" w:rsidRPr="00733536">
        <w:t>. </w:t>
      </w:r>
      <w:r w:rsidRPr="00733536">
        <w:t>Tate, Reshoring and additive manufacturing, World Review of Intermodal Transportation Research 7</w:t>
      </w:r>
      <w:r w:rsidR="006C4D47" w:rsidRPr="00733536">
        <w:t xml:space="preserve"> </w:t>
      </w:r>
      <w:r w:rsidRPr="00733536">
        <w:t>(2018) pp. 241</w:t>
      </w:r>
      <w:r w:rsidR="0008478A">
        <w:t>-</w:t>
      </w:r>
      <w:r w:rsidRPr="00733536">
        <w:t>263</w:t>
      </w:r>
      <w:r w:rsidR="006C4D47" w:rsidRPr="00733536">
        <w:t>.</w:t>
      </w:r>
      <w:bookmarkEnd w:id="38"/>
    </w:p>
    <w:p w14:paraId="7F23CB6C" w14:textId="3DE2DECD" w:rsidR="003F720F" w:rsidRPr="00733536" w:rsidRDefault="003F720F" w:rsidP="00D471AE">
      <w:pPr>
        <w:pStyle w:val="References"/>
        <w:tabs>
          <w:tab w:val="clear" w:pos="397"/>
          <w:tab w:val="left" w:pos="426"/>
        </w:tabs>
        <w:ind w:left="426" w:hanging="426"/>
      </w:pPr>
      <w:bookmarkStart w:id="39" w:name="_Ref55223200"/>
      <w:r w:rsidRPr="00733536">
        <w:t>H</w:t>
      </w:r>
      <w:r w:rsidR="00AE0E2D" w:rsidRPr="00733536">
        <w:t>. </w:t>
      </w:r>
      <w:r w:rsidRPr="00733536">
        <w:t>Kagermann, W</w:t>
      </w:r>
      <w:r w:rsidR="00AE0E2D" w:rsidRPr="00733536">
        <w:t>. </w:t>
      </w:r>
      <w:r w:rsidRPr="00733536">
        <w:t>Wahlster, J</w:t>
      </w:r>
      <w:r w:rsidR="00AE0E2D" w:rsidRPr="00733536">
        <w:t>. </w:t>
      </w:r>
      <w:r w:rsidRPr="00733536">
        <w:t xml:space="preserve">Helbig, Recommendations for implementing the strategic initiative INDUSTRIE 4.0: </w:t>
      </w:r>
      <w:r w:rsidR="0008478A">
        <w:t>s</w:t>
      </w:r>
      <w:r w:rsidRPr="00733536">
        <w:t xml:space="preserve">ecuring the future of German manufacturing industry, Final </w:t>
      </w:r>
      <w:r w:rsidR="0008478A">
        <w:t>R</w:t>
      </w:r>
      <w:r w:rsidRPr="00733536">
        <w:t>eport of the Industrie 4.0 Working Group</w:t>
      </w:r>
      <w:r w:rsidR="00AE0E2D" w:rsidRPr="00733536">
        <w:t>,</w:t>
      </w:r>
      <w:r w:rsidRPr="00733536">
        <w:t xml:space="preserve"> Acatech – Deutsche Akademie der Technikwissenschaften e.V., </w:t>
      </w:r>
      <w:r w:rsidR="0008478A" w:rsidRPr="00733536">
        <w:t>Berlin</w:t>
      </w:r>
      <w:r w:rsidR="0008478A">
        <w:t>,</w:t>
      </w:r>
      <w:r w:rsidR="0008478A" w:rsidRPr="00733536">
        <w:t xml:space="preserve"> </w:t>
      </w:r>
      <w:r w:rsidRPr="00733536">
        <w:t>2013</w:t>
      </w:r>
      <w:r w:rsidR="006C4D47" w:rsidRPr="00733536">
        <w:t>.</w:t>
      </w:r>
      <w:bookmarkEnd w:id="39"/>
    </w:p>
    <w:p w14:paraId="1B3FE419" w14:textId="73A21FE7" w:rsidR="003F720F" w:rsidRPr="00733536" w:rsidRDefault="003F720F" w:rsidP="00D471AE">
      <w:pPr>
        <w:pStyle w:val="References"/>
        <w:tabs>
          <w:tab w:val="clear" w:pos="397"/>
          <w:tab w:val="left" w:pos="426"/>
        </w:tabs>
        <w:ind w:left="426" w:hanging="426"/>
      </w:pPr>
      <w:bookmarkStart w:id="40" w:name="_Ref55223201"/>
      <w:r w:rsidRPr="00733536">
        <w:t>J</w:t>
      </w:r>
      <w:r w:rsidR="00AE0E2D" w:rsidRPr="00733536">
        <w:t>. </w:t>
      </w:r>
      <w:r w:rsidRPr="00733536">
        <w:t>Alcácer, J</w:t>
      </w:r>
      <w:r w:rsidR="00AE0E2D" w:rsidRPr="00733536">
        <w:t>. </w:t>
      </w:r>
      <w:r w:rsidRPr="00733536">
        <w:t>Cantwell, L</w:t>
      </w:r>
      <w:r w:rsidR="00AE0E2D" w:rsidRPr="00733536">
        <w:t>. </w:t>
      </w:r>
      <w:r w:rsidRPr="00733536">
        <w:t xml:space="preserve">Piscitello, Internationalization in the information age: </w:t>
      </w:r>
      <w:r w:rsidR="00F76462">
        <w:t>a</w:t>
      </w:r>
      <w:r w:rsidRPr="00733536">
        <w:t xml:space="preserve"> new era for places, firms, and international business networks?, Journal of International Business Studies 47 (2016) pp. 499-512</w:t>
      </w:r>
      <w:r w:rsidR="006C4D47" w:rsidRPr="00733536">
        <w:t>.</w:t>
      </w:r>
      <w:bookmarkEnd w:id="40"/>
    </w:p>
    <w:p w14:paraId="7D1E6247" w14:textId="56A6AD89" w:rsidR="003F720F" w:rsidRPr="00733536" w:rsidRDefault="003F720F" w:rsidP="00D471AE">
      <w:pPr>
        <w:pStyle w:val="References"/>
        <w:tabs>
          <w:tab w:val="clear" w:pos="397"/>
          <w:tab w:val="left" w:pos="426"/>
        </w:tabs>
        <w:ind w:left="426" w:hanging="426"/>
      </w:pPr>
      <w:bookmarkStart w:id="41" w:name="_Ref55223202"/>
      <w:r w:rsidRPr="00733536">
        <w:t>W</w:t>
      </w:r>
      <w:r w:rsidR="00AE0E2D" w:rsidRPr="00733536">
        <w:t>. </w:t>
      </w:r>
      <w:r w:rsidRPr="00733536">
        <w:t>Chen, F</w:t>
      </w:r>
      <w:r w:rsidR="00AE0E2D" w:rsidRPr="00733536">
        <w:t>. </w:t>
      </w:r>
      <w:r w:rsidRPr="00733536">
        <w:t>Kamal, The impact of information and communication technology adoption on multinational firm boundary decisions</w:t>
      </w:r>
      <w:r w:rsidR="006C4D47" w:rsidRPr="00733536">
        <w:t xml:space="preserve">, </w:t>
      </w:r>
      <w:r w:rsidRPr="00733536">
        <w:t>Journal of International Business Studies 47</w:t>
      </w:r>
      <w:r w:rsidR="00F76462">
        <w:t xml:space="preserve"> </w:t>
      </w:r>
      <w:r w:rsidRPr="00733536">
        <w:t>(2016) pp. 563</w:t>
      </w:r>
      <w:r w:rsidR="00F76462">
        <w:t>-</w:t>
      </w:r>
      <w:r w:rsidRPr="00733536">
        <w:t>576</w:t>
      </w:r>
      <w:bookmarkEnd w:id="41"/>
    </w:p>
    <w:p w14:paraId="11AD3DC6" w14:textId="3B8B42FD" w:rsidR="003F720F" w:rsidRPr="00733536" w:rsidRDefault="003F720F" w:rsidP="00D471AE">
      <w:pPr>
        <w:pStyle w:val="References"/>
        <w:tabs>
          <w:tab w:val="clear" w:pos="397"/>
          <w:tab w:val="left" w:pos="426"/>
        </w:tabs>
        <w:ind w:left="426" w:hanging="426"/>
      </w:pPr>
      <w:bookmarkStart w:id="42" w:name="_Ref55223203"/>
      <w:r w:rsidRPr="00733536">
        <w:t>E</w:t>
      </w:r>
      <w:r w:rsidR="00AE0E2D" w:rsidRPr="00733536">
        <w:t>. </w:t>
      </w:r>
      <w:r w:rsidRPr="00733536">
        <w:t>E</w:t>
      </w:r>
      <w:r w:rsidR="00AE0E2D" w:rsidRPr="00733536">
        <w:t>. </w:t>
      </w:r>
      <w:r w:rsidRPr="00733536">
        <w:t>Leamer, M</w:t>
      </w:r>
      <w:r w:rsidR="00AE0E2D" w:rsidRPr="00733536">
        <w:t>. </w:t>
      </w:r>
      <w:r w:rsidRPr="00733536">
        <w:t>Storpe, The economic geography of the Internet age, Journal of International Business Studies 32 (2001) pp. 641</w:t>
      </w:r>
      <w:r w:rsidR="00F76462">
        <w:t>-</w:t>
      </w:r>
      <w:r w:rsidRPr="00733536">
        <w:t>665</w:t>
      </w:r>
      <w:r w:rsidR="006C4D47" w:rsidRPr="00733536">
        <w:t>.</w:t>
      </w:r>
      <w:bookmarkEnd w:id="42"/>
    </w:p>
    <w:p w14:paraId="3E2791B2" w14:textId="3A027405" w:rsidR="003F720F" w:rsidRPr="00733536" w:rsidRDefault="003F720F" w:rsidP="00D471AE">
      <w:pPr>
        <w:pStyle w:val="References"/>
        <w:tabs>
          <w:tab w:val="clear" w:pos="397"/>
          <w:tab w:val="left" w:pos="426"/>
        </w:tabs>
        <w:ind w:left="426" w:hanging="426"/>
      </w:pPr>
      <w:bookmarkStart w:id="43" w:name="_Ref55223204"/>
      <w:r w:rsidRPr="00733536">
        <w:t>P</w:t>
      </w:r>
      <w:r w:rsidR="00AE0E2D" w:rsidRPr="00733536">
        <w:t>. </w:t>
      </w:r>
      <w:r w:rsidRPr="00733536">
        <w:t>J</w:t>
      </w:r>
      <w:r w:rsidR="00AE0E2D" w:rsidRPr="00733536">
        <w:t>. </w:t>
      </w:r>
      <w:r w:rsidRPr="00733536">
        <w:t xml:space="preserve">Buckley, International </w:t>
      </w:r>
      <w:r w:rsidR="00F76462" w:rsidRPr="00733536">
        <w:t>integration and coordination in the global factory</w:t>
      </w:r>
      <w:r w:rsidRPr="00733536">
        <w:t>, Management International Review 51</w:t>
      </w:r>
      <w:r w:rsidR="00F76462">
        <w:t xml:space="preserve"> </w:t>
      </w:r>
      <w:r w:rsidRPr="00733536">
        <w:t>(2011) pp.</w:t>
      </w:r>
      <w:r w:rsidR="00BC737B" w:rsidRPr="00733536">
        <w:t xml:space="preserve"> </w:t>
      </w:r>
      <w:r w:rsidRPr="00733536">
        <w:t>269</w:t>
      </w:r>
      <w:r w:rsidR="00F76462">
        <w:t>-</w:t>
      </w:r>
      <w:r w:rsidRPr="00733536">
        <w:t>283</w:t>
      </w:r>
      <w:r w:rsidR="006C4D47" w:rsidRPr="00733536">
        <w:t>.</w:t>
      </w:r>
      <w:bookmarkEnd w:id="43"/>
    </w:p>
    <w:p w14:paraId="0F0D3F6C" w14:textId="77028EDC" w:rsidR="003F720F" w:rsidRPr="00733536" w:rsidRDefault="003F720F" w:rsidP="00D471AE">
      <w:pPr>
        <w:pStyle w:val="References"/>
        <w:tabs>
          <w:tab w:val="clear" w:pos="397"/>
          <w:tab w:val="left" w:pos="426"/>
        </w:tabs>
        <w:ind w:left="426" w:hanging="426"/>
      </w:pPr>
      <w:bookmarkStart w:id="44" w:name="_Ref55223205"/>
      <w:r w:rsidRPr="00733536">
        <w:t>P</w:t>
      </w:r>
      <w:r w:rsidR="00AE0E2D" w:rsidRPr="00733536">
        <w:t>. </w:t>
      </w:r>
      <w:r w:rsidRPr="00733536">
        <w:t>J</w:t>
      </w:r>
      <w:r w:rsidR="00AE0E2D" w:rsidRPr="00733536">
        <w:t>. </w:t>
      </w:r>
      <w:r w:rsidRPr="00733536">
        <w:t>Buckley, P</w:t>
      </w:r>
      <w:r w:rsidR="00AE0E2D" w:rsidRPr="00733536">
        <w:t>. </w:t>
      </w:r>
      <w:r w:rsidRPr="00733536">
        <w:t>N</w:t>
      </w:r>
      <w:r w:rsidR="00AE0E2D" w:rsidRPr="00733536">
        <w:t>. </w:t>
      </w:r>
      <w:r w:rsidRPr="00733536">
        <w:t>Ghauri, Globalisation, economic geography and the strategy of multinational enterprises, Journal of International Business Studies 35 (2004) pp. 81</w:t>
      </w:r>
      <w:r w:rsidR="00F76462">
        <w:t>-</w:t>
      </w:r>
      <w:r w:rsidRPr="00733536">
        <w:t>98</w:t>
      </w:r>
      <w:r w:rsidR="006C4D47" w:rsidRPr="00733536">
        <w:t>.</w:t>
      </w:r>
      <w:bookmarkEnd w:id="44"/>
    </w:p>
    <w:p w14:paraId="0A46B8FA" w14:textId="0ED3A5A7" w:rsidR="003F720F" w:rsidRPr="00733536" w:rsidRDefault="003F720F" w:rsidP="00D471AE">
      <w:pPr>
        <w:pStyle w:val="References"/>
        <w:tabs>
          <w:tab w:val="clear" w:pos="397"/>
          <w:tab w:val="left" w:pos="426"/>
        </w:tabs>
        <w:ind w:left="426" w:hanging="426"/>
      </w:pPr>
      <w:bookmarkStart w:id="45" w:name="_Ref55223206"/>
      <w:r w:rsidRPr="00733536">
        <w:t>E</w:t>
      </w:r>
      <w:r w:rsidR="00AE0E2D" w:rsidRPr="00733536">
        <w:t>. </w:t>
      </w:r>
      <w:r w:rsidRPr="00733536">
        <w:t>Brynjolfsson, A</w:t>
      </w:r>
      <w:r w:rsidR="00AE0E2D" w:rsidRPr="00733536">
        <w:t>. </w:t>
      </w:r>
      <w:r w:rsidRPr="00733536">
        <w:t>McAfee, The Second Machine Age: Work, progress, and prosperity in a time of brilliant technologies. Norton Publishers, New York, 2014, ISBN 0393350649</w:t>
      </w:r>
      <w:r w:rsidR="006C4D47" w:rsidRPr="00733536">
        <w:t>.</w:t>
      </w:r>
      <w:bookmarkEnd w:id="45"/>
    </w:p>
    <w:p w14:paraId="5632FEC6" w14:textId="308EF75D" w:rsidR="003F720F" w:rsidRPr="00733536" w:rsidRDefault="003F720F" w:rsidP="00D471AE">
      <w:pPr>
        <w:pStyle w:val="References"/>
        <w:tabs>
          <w:tab w:val="clear" w:pos="397"/>
          <w:tab w:val="left" w:pos="426"/>
        </w:tabs>
        <w:ind w:left="426" w:hanging="426"/>
      </w:pPr>
      <w:bookmarkStart w:id="46" w:name="_Ref55223207"/>
      <w:r w:rsidRPr="00733536">
        <w:t>M</w:t>
      </w:r>
      <w:r w:rsidR="00AE0E2D" w:rsidRPr="00733536">
        <w:t>. </w:t>
      </w:r>
      <w:r w:rsidRPr="00733536">
        <w:t>Ketokivi, V</w:t>
      </w:r>
      <w:r w:rsidR="00AE0E2D" w:rsidRPr="00733536">
        <w:t>. </w:t>
      </w:r>
      <w:r w:rsidRPr="00733536">
        <w:t>Turkulainen, T</w:t>
      </w:r>
      <w:r w:rsidR="00AE0E2D" w:rsidRPr="00733536">
        <w:t>. </w:t>
      </w:r>
      <w:r w:rsidRPr="00733536">
        <w:t>Seppälä, P</w:t>
      </w:r>
      <w:r w:rsidR="00AE0E2D" w:rsidRPr="00733536">
        <w:t>. </w:t>
      </w:r>
      <w:r w:rsidRPr="00733536">
        <w:t>Rouvinen, J</w:t>
      </w:r>
      <w:r w:rsidR="00AE0E2D" w:rsidRPr="00733536">
        <w:t>. </w:t>
      </w:r>
      <w:r w:rsidRPr="00733536">
        <w:t>Ali-Yrkkö, Why locate manufacturing in a high-cost country? A case study of 35 production location decisions, Journal of Operations Management 49 (2017) pp. 20</w:t>
      </w:r>
      <w:r w:rsidR="00F76462">
        <w:t>-</w:t>
      </w:r>
      <w:r w:rsidRPr="00733536">
        <w:t>30</w:t>
      </w:r>
      <w:r w:rsidR="006C4D47" w:rsidRPr="00733536">
        <w:t>.</w:t>
      </w:r>
      <w:bookmarkEnd w:id="46"/>
    </w:p>
    <w:p w14:paraId="7D64D55B" w14:textId="5526E841" w:rsidR="003F720F" w:rsidRPr="00733536" w:rsidRDefault="003F720F" w:rsidP="00D471AE">
      <w:pPr>
        <w:pStyle w:val="References"/>
        <w:tabs>
          <w:tab w:val="clear" w:pos="397"/>
          <w:tab w:val="left" w:pos="426"/>
        </w:tabs>
        <w:ind w:left="426" w:hanging="426"/>
      </w:pPr>
      <w:bookmarkStart w:id="47" w:name="_Ref55223208"/>
      <w:r w:rsidRPr="00733536">
        <w:t>B</w:t>
      </w:r>
      <w:r w:rsidR="00AE0E2D" w:rsidRPr="00733536">
        <w:t>. </w:t>
      </w:r>
      <w:r w:rsidRPr="00733536">
        <w:t>Dachs, S</w:t>
      </w:r>
      <w:r w:rsidR="00AE0E2D" w:rsidRPr="00733536">
        <w:t>. </w:t>
      </w:r>
      <w:r w:rsidRPr="00733536">
        <w:t>Kinkel, A</w:t>
      </w:r>
      <w:r w:rsidR="00AE0E2D" w:rsidRPr="00733536">
        <w:t>. </w:t>
      </w:r>
      <w:r w:rsidRPr="00733536">
        <w:t>Jäger, Bringing it all back home? Backshoring of manufacturing activities and the adoption of Industry 4.0 technologies, Journal of World Business 54</w:t>
      </w:r>
      <w:r w:rsidR="006C4D47" w:rsidRPr="00733536">
        <w:t xml:space="preserve"> </w:t>
      </w:r>
      <w:r w:rsidRPr="00733536">
        <w:t xml:space="preserve">(2019) </w:t>
      </w:r>
      <w:commentRangeStart w:id="48"/>
      <w:r w:rsidRPr="00733536">
        <w:t>101017</w:t>
      </w:r>
      <w:commentRangeEnd w:id="48"/>
      <w:r w:rsidR="00370545">
        <w:rPr>
          <w:rStyle w:val="CommentReference"/>
          <w:rFonts w:asciiTheme="minorHAnsi" w:eastAsiaTheme="minorEastAsia" w:hAnsiTheme="minorHAnsi" w:cstheme="minorBidi"/>
          <w:lang w:val="it-IT" w:eastAsia="ko-KR"/>
        </w:rPr>
        <w:commentReference w:id="48"/>
      </w:r>
      <w:r w:rsidRPr="00733536">
        <w:t>.</w:t>
      </w:r>
      <w:bookmarkEnd w:id="47"/>
      <w:r w:rsidRPr="00733536">
        <w:t xml:space="preserve"> </w:t>
      </w:r>
    </w:p>
    <w:p w14:paraId="205A05B0" w14:textId="05B8784E" w:rsidR="003F720F" w:rsidRPr="00733536" w:rsidRDefault="003F720F" w:rsidP="00D471AE">
      <w:pPr>
        <w:pStyle w:val="References"/>
        <w:tabs>
          <w:tab w:val="clear" w:pos="397"/>
          <w:tab w:val="left" w:pos="426"/>
        </w:tabs>
        <w:ind w:left="426" w:hanging="426"/>
      </w:pPr>
      <w:bookmarkStart w:id="49" w:name="_Ref55223209"/>
      <w:r w:rsidRPr="00733536">
        <w:t>H</w:t>
      </w:r>
      <w:r w:rsidR="00AE0E2D" w:rsidRPr="00733536">
        <w:t>. </w:t>
      </w:r>
      <w:r w:rsidRPr="00733536">
        <w:t>Moradlou, C</w:t>
      </w:r>
      <w:r w:rsidR="00AE0E2D" w:rsidRPr="00733536">
        <w:t>. </w:t>
      </w:r>
      <w:r w:rsidRPr="00733536">
        <w:t>J</w:t>
      </w:r>
      <w:r w:rsidR="00AE0E2D" w:rsidRPr="00733536">
        <w:t>. </w:t>
      </w:r>
      <w:r w:rsidRPr="00733536">
        <w:t>Backhouse, R</w:t>
      </w:r>
      <w:r w:rsidR="00AE0E2D" w:rsidRPr="00733536">
        <w:t>. </w:t>
      </w:r>
      <w:r w:rsidRPr="00733536">
        <w:t xml:space="preserve">Ranganathan, Responsiveness, the primary reason behind re-shoring manufacturing activities to the UK: </w:t>
      </w:r>
      <w:r w:rsidR="00370545">
        <w:t>a</w:t>
      </w:r>
      <w:r w:rsidRPr="00733536">
        <w:t>n Indian industry perspective, International Journal of Physical Distribution &amp; Logistics Management 47 (2017) pp. 222</w:t>
      </w:r>
      <w:r w:rsidR="00370545">
        <w:t>-</w:t>
      </w:r>
      <w:r w:rsidRPr="00733536">
        <w:t>236</w:t>
      </w:r>
      <w:r w:rsidR="006C4D47" w:rsidRPr="00733536">
        <w:t>.</w:t>
      </w:r>
      <w:bookmarkEnd w:id="49"/>
    </w:p>
    <w:p w14:paraId="3898EDB5" w14:textId="67155130" w:rsidR="003F720F" w:rsidRPr="00733536" w:rsidRDefault="003F720F" w:rsidP="00D471AE">
      <w:pPr>
        <w:pStyle w:val="References"/>
        <w:tabs>
          <w:tab w:val="clear" w:pos="397"/>
          <w:tab w:val="left" w:pos="426"/>
        </w:tabs>
        <w:ind w:left="426" w:hanging="426"/>
      </w:pPr>
      <w:bookmarkStart w:id="50" w:name="_Ref55223210"/>
      <w:r w:rsidRPr="00733536">
        <w:t>L</w:t>
      </w:r>
      <w:r w:rsidR="00AE0E2D" w:rsidRPr="00733536">
        <w:t>. </w:t>
      </w:r>
      <w:r w:rsidRPr="00733536">
        <w:t>Bals, J.</w:t>
      </w:r>
      <w:r w:rsidR="00AE0E2D" w:rsidRPr="00733536">
        <w:t> </w:t>
      </w:r>
      <w:r w:rsidRPr="00733536">
        <w:t>F</w:t>
      </w:r>
      <w:r w:rsidR="00AE0E2D" w:rsidRPr="00733536">
        <w:t>. </w:t>
      </w:r>
      <w:r w:rsidRPr="00733536">
        <w:t>Kirchoff, K</w:t>
      </w:r>
      <w:r w:rsidR="00AE0E2D" w:rsidRPr="00733536">
        <w:t>. </w:t>
      </w:r>
      <w:r w:rsidRPr="00733536">
        <w:t>Foerstl, Exploring the reshoring and insourcing decision making process: toward an agenda for future research, Operations Management Research 9 (2016) pp. 1</w:t>
      </w:r>
      <w:r w:rsidR="00370545">
        <w:t>-</w:t>
      </w:r>
      <w:r w:rsidRPr="00733536">
        <w:t>15</w:t>
      </w:r>
      <w:r w:rsidR="006C4D47" w:rsidRPr="00733536">
        <w:t>.</w:t>
      </w:r>
      <w:bookmarkEnd w:id="50"/>
    </w:p>
    <w:p w14:paraId="5DE3F824" w14:textId="180EA45F" w:rsidR="003F720F" w:rsidRPr="00733536" w:rsidRDefault="003F720F" w:rsidP="00D471AE">
      <w:pPr>
        <w:pStyle w:val="References"/>
        <w:tabs>
          <w:tab w:val="clear" w:pos="397"/>
          <w:tab w:val="left" w:pos="426"/>
        </w:tabs>
        <w:ind w:left="426" w:hanging="426"/>
      </w:pPr>
      <w:bookmarkStart w:id="51" w:name="_Ref55223211"/>
      <w:r w:rsidRPr="00733536">
        <w:t>G</w:t>
      </w:r>
      <w:r w:rsidR="00AE0E2D" w:rsidRPr="00733536">
        <w:t>. </w:t>
      </w:r>
      <w:r w:rsidRPr="00733536">
        <w:t>Engström, P</w:t>
      </w:r>
      <w:r w:rsidR="00AE0E2D" w:rsidRPr="00733536">
        <w:t>. </w:t>
      </w:r>
      <w:r w:rsidRPr="00733536">
        <w:t>Hilletofth, D</w:t>
      </w:r>
      <w:r w:rsidR="00AE0E2D" w:rsidRPr="00733536">
        <w:t>. </w:t>
      </w:r>
      <w:r w:rsidRPr="00733536">
        <w:t>Eriksson, K</w:t>
      </w:r>
      <w:r w:rsidR="00AE0E2D" w:rsidRPr="00733536">
        <w:t>. </w:t>
      </w:r>
      <w:r w:rsidRPr="00733536">
        <w:t xml:space="preserve">Sollander, Drivers and barriers of reshoring in the Swedish manufacturing </w:t>
      </w:r>
      <w:r w:rsidRPr="00733536">
        <w:lastRenderedPageBreak/>
        <w:t>industry, World Review of Intermodal Transportation Research 7 (2018) pp. 195</w:t>
      </w:r>
      <w:r w:rsidR="00370545">
        <w:t>-</w:t>
      </w:r>
      <w:r w:rsidRPr="00733536">
        <w:t>220</w:t>
      </w:r>
      <w:bookmarkEnd w:id="51"/>
    </w:p>
    <w:p w14:paraId="0DB3708C" w14:textId="562050A2" w:rsidR="003F720F" w:rsidRPr="00733536" w:rsidRDefault="003F720F" w:rsidP="00D471AE">
      <w:pPr>
        <w:pStyle w:val="References"/>
        <w:tabs>
          <w:tab w:val="clear" w:pos="397"/>
          <w:tab w:val="left" w:pos="426"/>
        </w:tabs>
        <w:ind w:left="426" w:hanging="426"/>
      </w:pPr>
      <w:bookmarkStart w:id="52" w:name="_Ref55223212"/>
      <w:r w:rsidRPr="00733536">
        <w:t>L</w:t>
      </w:r>
      <w:r w:rsidR="00AE0E2D" w:rsidRPr="00733536">
        <w:t>. </w:t>
      </w:r>
      <w:r w:rsidRPr="00733536">
        <w:t>Fratocchi, A</w:t>
      </w:r>
      <w:r w:rsidR="00AE0E2D" w:rsidRPr="00733536">
        <w:t>. </w:t>
      </w:r>
      <w:r w:rsidRPr="00733536">
        <w:t>Ancarani, P</w:t>
      </w:r>
      <w:r w:rsidR="00AE0E2D" w:rsidRPr="00733536">
        <w:t>. </w:t>
      </w:r>
      <w:r w:rsidRPr="00733536">
        <w:t>Barbieri, C</w:t>
      </w:r>
      <w:r w:rsidR="00AE0E2D" w:rsidRPr="00733536">
        <w:t>. </w:t>
      </w:r>
      <w:r w:rsidRPr="00733536">
        <w:t>Di</w:t>
      </w:r>
      <w:r w:rsidR="00AE0E2D" w:rsidRPr="00733536">
        <w:t> </w:t>
      </w:r>
      <w:r w:rsidRPr="00733536">
        <w:t>Mauro, G</w:t>
      </w:r>
      <w:r w:rsidR="00AE0E2D" w:rsidRPr="00733536">
        <w:t>. </w:t>
      </w:r>
      <w:r w:rsidRPr="00733536">
        <w:t>Nassimbeni, M</w:t>
      </w:r>
      <w:r w:rsidR="00AE0E2D" w:rsidRPr="00733536">
        <w:t>. </w:t>
      </w:r>
      <w:r w:rsidRPr="00733536">
        <w:t>Sartor, M</w:t>
      </w:r>
      <w:r w:rsidR="00AE0E2D" w:rsidRPr="00733536">
        <w:t>. </w:t>
      </w:r>
      <w:r w:rsidRPr="00733536">
        <w:t>Vignoli, A</w:t>
      </w:r>
      <w:r w:rsidR="00AE0E2D" w:rsidRPr="00733536">
        <w:t>. </w:t>
      </w:r>
      <w:r w:rsidRPr="00733536">
        <w:t xml:space="preserve">Zanoni, Motivations of </w:t>
      </w:r>
      <w:r w:rsidR="00370545" w:rsidRPr="00733536">
        <w:t xml:space="preserve">manufacturing back-reshoring: an </w:t>
      </w:r>
      <w:r w:rsidRPr="00733536">
        <w:t>interpretative framework, International Journal of Physical Distribution &amp; Logistics Management 46 (2016) pp. 98</w:t>
      </w:r>
      <w:r w:rsidR="00370545">
        <w:t>-</w:t>
      </w:r>
      <w:r w:rsidRPr="00733536">
        <w:t>127</w:t>
      </w:r>
      <w:bookmarkEnd w:id="52"/>
    </w:p>
    <w:p w14:paraId="37F15AD0" w14:textId="6C617E6F" w:rsidR="003F720F" w:rsidRPr="00733536" w:rsidRDefault="003F720F" w:rsidP="00D471AE">
      <w:pPr>
        <w:pStyle w:val="References"/>
        <w:tabs>
          <w:tab w:val="clear" w:pos="397"/>
          <w:tab w:val="left" w:pos="426"/>
        </w:tabs>
        <w:ind w:left="426" w:hanging="426"/>
      </w:pPr>
      <w:bookmarkStart w:id="53" w:name="_Ref55223213"/>
      <w:r w:rsidRPr="00733536">
        <w:t>G</w:t>
      </w:r>
      <w:r w:rsidR="00AE0E2D" w:rsidRPr="00733536">
        <w:t>. </w:t>
      </w:r>
      <w:r w:rsidRPr="00733536">
        <w:t>Engström, K</w:t>
      </w:r>
      <w:r w:rsidR="00AE0E2D" w:rsidRPr="00733536">
        <w:t>. </w:t>
      </w:r>
      <w:r w:rsidRPr="00733536">
        <w:t>Sollander, P</w:t>
      </w:r>
      <w:r w:rsidR="00AE0E2D" w:rsidRPr="00733536">
        <w:t>. </w:t>
      </w:r>
      <w:r w:rsidRPr="00733536">
        <w:t>Hilletofth, D</w:t>
      </w:r>
      <w:r w:rsidR="00AE0E2D" w:rsidRPr="00733536">
        <w:t>. </w:t>
      </w:r>
      <w:r w:rsidRPr="00733536">
        <w:t>Eriksson, Reshoring drivers and barriers in the Swedish manufacturing industry, Journal of Global Operations and Strategic Sourcing 11(2) (2018) pp. 174</w:t>
      </w:r>
      <w:r w:rsidR="00370545">
        <w:t>-</w:t>
      </w:r>
      <w:r w:rsidRPr="00733536">
        <w:t>201</w:t>
      </w:r>
      <w:bookmarkEnd w:id="53"/>
    </w:p>
    <w:p w14:paraId="4135C0FE" w14:textId="2EA0EA48" w:rsidR="003F720F" w:rsidRPr="00733536" w:rsidRDefault="003F720F" w:rsidP="00D471AE">
      <w:pPr>
        <w:pStyle w:val="References"/>
        <w:tabs>
          <w:tab w:val="clear" w:pos="397"/>
          <w:tab w:val="left" w:pos="426"/>
        </w:tabs>
        <w:ind w:left="426" w:hanging="426"/>
      </w:pPr>
      <w:bookmarkStart w:id="54" w:name="_Ref55223214"/>
      <w:r w:rsidRPr="00733536">
        <w:t>A</w:t>
      </w:r>
      <w:r w:rsidR="00AE0E2D" w:rsidRPr="00733536">
        <w:t>. </w:t>
      </w:r>
      <w:r w:rsidRPr="00733536">
        <w:t>Ancarani, C</w:t>
      </w:r>
      <w:r w:rsidR="00AE0E2D" w:rsidRPr="00733536">
        <w:t>. </w:t>
      </w:r>
      <w:r w:rsidRPr="00733536">
        <w:t>Di</w:t>
      </w:r>
      <w:r w:rsidR="00AE0E2D" w:rsidRPr="00733536">
        <w:t> </w:t>
      </w:r>
      <w:r w:rsidRPr="00733536">
        <w:t>Mauro, L</w:t>
      </w:r>
      <w:r w:rsidR="00AE0E2D" w:rsidRPr="00733536">
        <w:t>. </w:t>
      </w:r>
      <w:r w:rsidRPr="00733536">
        <w:t>Fratocchi, G</w:t>
      </w:r>
      <w:r w:rsidR="00AE0E2D" w:rsidRPr="00733536">
        <w:t>. </w:t>
      </w:r>
      <w:r w:rsidRPr="00733536">
        <w:t>Orzes, M</w:t>
      </w:r>
      <w:r w:rsidR="00AE0E2D" w:rsidRPr="00733536">
        <w:t>. </w:t>
      </w:r>
      <w:r w:rsidRPr="00733536">
        <w:t>Sartor, Prior to reshoring: a duration analysis of foreign manufacturing ventures, International Journal of Production Economics 169 (2015) pp.141</w:t>
      </w:r>
      <w:r w:rsidR="00370545">
        <w:t>-</w:t>
      </w:r>
      <w:r w:rsidRPr="00733536">
        <w:t>155</w:t>
      </w:r>
      <w:bookmarkEnd w:id="54"/>
    </w:p>
    <w:p w14:paraId="4639AB89" w14:textId="39FC3752" w:rsidR="003F720F" w:rsidRPr="00733536" w:rsidRDefault="003F720F" w:rsidP="00D471AE">
      <w:pPr>
        <w:pStyle w:val="References"/>
        <w:tabs>
          <w:tab w:val="clear" w:pos="397"/>
          <w:tab w:val="left" w:pos="426"/>
        </w:tabs>
        <w:ind w:left="426" w:hanging="426"/>
      </w:pPr>
      <w:bookmarkStart w:id="55" w:name="_Ref55223215"/>
      <w:r w:rsidRPr="00733536">
        <w:t>L</w:t>
      </w:r>
      <w:r w:rsidR="00AE0E2D" w:rsidRPr="00733536">
        <w:t>. </w:t>
      </w:r>
      <w:r w:rsidRPr="00733536">
        <w:t>Wan, G</w:t>
      </w:r>
      <w:r w:rsidR="00AE0E2D" w:rsidRPr="00733536">
        <w:t>. </w:t>
      </w:r>
      <w:r w:rsidRPr="00733536">
        <w:t>Orzes, M</w:t>
      </w:r>
      <w:r w:rsidR="00AE0E2D" w:rsidRPr="00733536">
        <w:t>. </w:t>
      </w:r>
      <w:r w:rsidRPr="00733536">
        <w:t>Sartor, G</w:t>
      </w:r>
      <w:r w:rsidR="00AE0E2D" w:rsidRPr="00733536">
        <w:t>. </w:t>
      </w:r>
      <w:r w:rsidRPr="00733536">
        <w:t xml:space="preserve">Nassimbeni, Reshoring: </w:t>
      </w:r>
      <w:r w:rsidR="00D72546">
        <w:t>d</w:t>
      </w:r>
      <w:r w:rsidRPr="00733536">
        <w:t xml:space="preserve">oes home country matter?, Journal of Purchasing and Supply Management 25 (2019) </w:t>
      </w:r>
      <w:commentRangeStart w:id="56"/>
      <w:r w:rsidRPr="00733536">
        <w:t>100551</w:t>
      </w:r>
      <w:commentRangeEnd w:id="56"/>
      <w:r w:rsidR="00626650">
        <w:rPr>
          <w:rStyle w:val="CommentReference"/>
          <w:rFonts w:asciiTheme="minorHAnsi" w:eastAsiaTheme="minorEastAsia" w:hAnsiTheme="minorHAnsi" w:cstheme="minorBidi"/>
          <w:lang w:val="it-IT" w:eastAsia="ko-KR"/>
        </w:rPr>
        <w:commentReference w:id="56"/>
      </w:r>
      <w:r w:rsidRPr="00733536">
        <w:t>.</w:t>
      </w:r>
      <w:bookmarkEnd w:id="55"/>
    </w:p>
    <w:p w14:paraId="2D7689C0" w14:textId="44BC6CCF" w:rsidR="003F720F" w:rsidRPr="00733536" w:rsidRDefault="003F720F" w:rsidP="00D471AE">
      <w:pPr>
        <w:pStyle w:val="References"/>
        <w:tabs>
          <w:tab w:val="clear" w:pos="397"/>
          <w:tab w:val="left" w:pos="426"/>
        </w:tabs>
        <w:ind w:left="426" w:hanging="426"/>
      </w:pPr>
      <w:bookmarkStart w:id="57" w:name="_Ref55223216"/>
      <w:r w:rsidRPr="00733536">
        <w:t>L.</w:t>
      </w:r>
      <w:r w:rsidR="00AE0E2D" w:rsidRPr="00733536">
        <w:t> </w:t>
      </w:r>
      <w:r w:rsidRPr="00733536">
        <w:t>Wan, G</w:t>
      </w:r>
      <w:r w:rsidR="00AE0E2D" w:rsidRPr="00733536">
        <w:t>. </w:t>
      </w:r>
      <w:r w:rsidRPr="00733536">
        <w:t>Orzes, M</w:t>
      </w:r>
      <w:r w:rsidR="00AE0E2D" w:rsidRPr="00733536">
        <w:t>. </w:t>
      </w:r>
      <w:r w:rsidRPr="00733536">
        <w:t>Sartor, C</w:t>
      </w:r>
      <w:r w:rsidR="00AE0E2D" w:rsidRPr="00733536">
        <w:t>. </w:t>
      </w:r>
      <w:r w:rsidRPr="00733536">
        <w:t>Di</w:t>
      </w:r>
      <w:r w:rsidR="00AE0E2D" w:rsidRPr="00733536">
        <w:t> </w:t>
      </w:r>
      <w:r w:rsidRPr="00733536">
        <w:t>Mauro, G</w:t>
      </w:r>
      <w:r w:rsidR="00AE0E2D" w:rsidRPr="00733536">
        <w:t>. </w:t>
      </w:r>
      <w:r w:rsidRPr="00733536">
        <w:t xml:space="preserve">Nassimbeni, Entry modes in reshoring strategies: </w:t>
      </w:r>
      <w:r w:rsidR="00626650">
        <w:t>a</w:t>
      </w:r>
      <w:r w:rsidRPr="00733536">
        <w:t xml:space="preserve">n empirical analysis, Journal of Purchasing and Supply Management 25 (2019) </w:t>
      </w:r>
      <w:commentRangeStart w:id="58"/>
      <w:r w:rsidRPr="00733536">
        <w:t>100522</w:t>
      </w:r>
      <w:commentRangeEnd w:id="58"/>
      <w:r w:rsidR="00626650">
        <w:rPr>
          <w:rStyle w:val="CommentReference"/>
          <w:rFonts w:asciiTheme="minorHAnsi" w:eastAsiaTheme="minorEastAsia" w:hAnsiTheme="minorHAnsi" w:cstheme="minorBidi"/>
          <w:lang w:val="it-IT" w:eastAsia="ko-KR"/>
        </w:rPr>
        <w:commentReference w:id="58"/>
      </w:r>
      <w:r w:rsidRPr="00733536">
        <w:t>.</w:t>
      </w:r>
      <w:bookmarkEnd w:id="57"/>
    </w:p>
    <w:p w14:paraId="378F6291" w14:textId="22276789" w:rsidR="003F720F" w:rsidRPr="00733536" w:rsidRDefault="003F720F" w:rsidP="00D471AE">
      <w:pPr>
        <w:pStyle w:val="References"/>
        <w:tabs>
          <w:tab w:val="clear" w:pos="397"/>
          <w:tab w:val="left" w:pos="426"/>
        </w:tabs>
        <w:ind w:left="426" w:hanging="426"/>
      </w:pPr>
      <w:bookmarkStart w:id="59" w:name="_Ref55223217"/>
      <w:r w:rsidRPr="00733536">
        <w:t>A</w:t>
      </w:r>
      <w:r w:rsidR="00AE0E2D" w:rsidRPr="00733536">
        <w:t>. </w:t>
      </w:r>
      <w:r w:rsidRPr="00733536">
        <w:t>Fink, Conducting Research Literature Reviews: From the Internet to Paper</w:t>
      </w:r>
      <w:r w:rsidR="00AE0E2D" w:rsidRPr="00733536">
        <w:t xml:space="preserve">, </w:t>
      </w:r>
      <w:r w:rsidRPr="00733536">
        <w:t>Sage Publications, London, 2005, ISBN 1412971896</w:t>
      </w:r>
      <w:r w:rsidR="005E559F" w:rsidRPr="00733536">
        <w:t>.</w:t>
      </w:r>
      <w:bookmarkEnd w:id="59"/>
    </w:p>
    <w:p w14:paraId="12C52A06" w14:textId="0807AC6A" w:rsidR="003F720F" w:rsidRPr="00733536" w:rsidRDefault="003F720F" w:rsidP="00D471AE">
      <w:pPr>
        <w:pStyle w:val="References"/>
        <w:tabs>
          <w:tab w:val="clear" w:pos="397"/>
          <w:tab w:val="left" w:pos="426"/>
        </w:tabs>
        <w:ind w:left="426" w:hanging="426"/>
      </w:pPr>
      <w:bookmarkStart w:id="60" w:name="_Ref55223218"/>
      <w:r w:rsidRPr="00733536">
        <w:t>S</w:t>
      </w:r>
      <w:r w:rsidR="00AE0E2D" w:rsidRPr="00733536">
        <w:t>. </w:t>
      </w:r>
      <w:r w:rsidRPr="00733536">
        <w:t>Seuring, S</w:t>
      </w:r>
      <w:r w:rsidR="00AE0E2D" w:rsidRPr="00733536">
        <w:t>. </w:t>
      </w:r>
      <w:r w:rsidRPr="00733536">
        <w:t>Gold, Conducting content-analysis based literature reviews in supply chain management, Supply Chain Management: An International Journal 17</w:t>
      </w:r>
      <w:r w:rsidR="00626650">
        <w:t xml:space="preserve"> </w:t>
      </w:r>
      <w:r w:rsidRPr="00733536">
        <w:t>(2012) pp. 544</w:t>
      </w:r>
      <w:r w:rsidR="00626650">
        <w:t>-</w:t>
      </w:r>
      <w:r w:rsidRPr="00733536">
        <w:t>555</w:t>
      </w:r>
      <w:r w:rsidR="005E559F" w:rsidRPr="00733536">
        <w:t>.</w:t>
      </w:r>
      <w:bookmarkEnd w:id="60"/>
    </w:p>
    <w:p w14:paraId="30E9D763" w14:textId="5058A088" w:rsidR="003F720F" w:rsidRPr="00733536" w:rsidRDefault="003F720F" w:rsidP="00D471AE">
      <w:pPr>
        <w:pStyle w:val="References"/>
        <w:tabs>
          <w:tab w:val="clear" w:pos="397"/>
          <w:tab w:val="left" w:pos="426"/>
        </w:tabs>
        <w:ind w:left="426" w:hanging="426"/>
      </w:pPr>
      <w:bookmarkStart w:id="61" w:name="_Ref55223219"/>
      <w:r w:rsidRPr="00733536">
        <w:t>M</w:t>
      </w:r>
      <w:r w:rsidR="00AE0E2D" w:rsidRPr="00733536">
        <w:t>. </w:t>
      </w:r>
      <w:r w:rsidRPr="00733536">
        <w:t>Greenwood, Which business and management journal database is best?</w:t>
      </w:r>
      <w:r w:rsidR="0084214C">
        <w:t>,</w:t>
      </w:r>
      <w:r w:rsidRPr="00733536">
        <w:t xml:space="preserve"> 2011</w:t>
      </w:r>
      <w:r w:rsidR="00FB3A42" w:rsidRPr="00733536">
        <w:t>. Online [Accessed 22 December 2018</w:t>
      </w:r>
      <w:r w:rsidR="00BC737B" w:rsidRPr="00733536">
        <w:t>]</w:t>
      </w:r>
      <w:r w:rsidR="00FB3A42" w:rsidRPr="00733536">
        <w:br/>
      </w:r>
      <w:hyperlink r:id="rId17" w:history="1">
        <w:r w:rsidR="00FB3A42" w:rsidRPr="00733536">
          <w:rPr>
            <w:rStyle w:val="Hyperlink"/>
          </w:rPr>
          <w:t>https://bizlib247.wordpress.com/2011/06/19/which-business-and-management-journal-database-is-best/</w:t>
        </w:r>
      </w:hyperlink>
      <w:bookmarkEnd w:id="61"/>
      <w:r w:rsidR="00F038BA" w:rsidRPr="00733536">
        <w:t xml:space="preserve"> </w:t>
      </w:r>
    </w:p>
    <w:p w14:paraId="15F8B514" w14:textId="327E3901" w:rsidR="003F720F" w:rsidRPr="00733536" w:rsidRDefault="003F720F" w:rsidP="00D471AE">
      <w:pPr>
        <w:pStyle w:val="References"/>
        <w:tabs>
          <w:tab w:val="clear" w:pos="397"/>
          <w:tab w:val="left" w:pos="426"/>
        </w:tabs>
        <w:ind w:left="426" w:hanging="426"/>
      </w:pPr>
      <w:bookmarkStart w:id="62" w:name="_Ref55223220"/>
      <w:r w:rsidRPr="00733536">
        <w:t>J</w:t>
      </w:r>
      <w:r w:rsidR="00AE0E2D" w:rsidRPr="00733536">
        <w:t>. </w:t>
      </w:r>
      <w:r w:rsidRPr="00733536">
        <w:t>Stentoft, C</w:t>
      </w:r>
      <w:r w:rsidR="00AE0E2D" w:rsidRPr="00733536">
        <w:t>. </w:t>
      </w:r>
      <w:r w:rsidRPr="00733536">
        <w:t>Rajkumar, Balancing theoretical and practical relevance in supply chain management research,</w:t>
      </w:r>
      <w:r w:rsidR="00AE0E2D" w:rsidRPr="00733536">
        <w:t xml:space="preserve"> </w:t>
      </w:r>
      <w:r w:rsidRPr="00733536">
        <w:t>International Journal of Physical Distribution &amp; Logistics Management 48 (2018) pp. 504-523</w:t>
      </w:r>
      <w:r w:rsidR="005E559F" w:rsidRPr="00733536">
        <w:t>.</w:t>
      </w:r>
      <w:bookmarkEnd w:id="62"/>
    </w:p>
    <w:p w14:paraId="01477804" w14:textId="12B10850" w:rsidR="003F720F" w:rsidRPr="00733536" w:rsidRDefault="003F720F" w:rsidP="00D471AE">
      <w:pPr>
        <w:pStyle w:val="References"/>
        <w:tabs>
          <w:tab w:val="clear" w:pos="397"/>
          <w:tab w:val="left" w:pos="426"/>
        </w:tabs>
        <w:ind w:left="426" w:hanging="426"/>
      </w:pPr>
      <w:bookmarkStart w:id="63" w:name="_Ref55223221"/>
      <w:r w:rsidRPr="00733536">
        <w:t>J</w:t>
      </w:r>
      <w:r w:rsidR="00AE0E2D" w:rsidRPr="00733536">
        <w:t>. </w:t>
      </w:r>
      <w:r w:rsidRPr="00733536">
        <w:t>S</w:t>
      </w:r>
      <w:r w:rsidR="00AE0E2D" w:rsidRPr="00733536">
        <w:t>. </w:t>
      </w:r>
      <w:r w:rsidRPr="00733536">
        <w:t>Arlbjørn, O</w:t>
      </w:r>
      <w:r w:rsidR="00AE0E2D" w:rsidRPr="00733536">
        <w:t>. </w:t>
      </w:r>
      <w:r w:rsidRPr="00733536">
        <w:t>S</w:t>
      </w:r>
      <w:r w:rsidR="00AE0E2D" w:rsidRPr="00733536">
        <w:t>. </w:t>
      </w:r>
      <w:r w:rsidRPr="00733536">
        <w:t>Mikkelsen, Backshoring manufacturing: notes on an important but under-researched theme, Journal of Purchasing &amp; Supply Management 20 (2014) pp. 60</w:t>
      </w:r>
      <w:r w:rsidR="0084214C">
        <w:t>-</w:t>
      </w:r>
      <w:r w:rsidRPr="00733536">
        <w:t>62</w:t>
      </w:r>
      <w:r w:rsidR="005E559F" w:rsidRPr="00733536">
        <w:t>.</w:t>
      </w:r>
      <w:bookmarkEnd w:id="63"/>
    </w:p>
    <w:p w14:paraId="2DD3EA53" w14:textId="3576F3E9" w:rsidR="003F720F" w:rsidRPr="00733536" w:rsidRDefault="003F720F" w:rsidP="00D471AE">
      <w:pPr>
        <w:pStyle w:val="References"/>
        <w:tabs>
          <w:tab w:val="clear" w:pos="397"/>
          <w:tab w:val="left" w:pos="426"/>
        </w:tabs>
        <w:ind w:left="426" w:hanging="426"/>
      </w:pPr>
      <w:bookmarkStart w:id="64" w:name="_Ref55223222"/>
      <w:r w:rsidRPr="00733536">
        <w:t>J</w:t>
      </w:r>
      <w:r w:rsidR="00AE0E2D" w:rsidRPr="00733536">
        <w:t>. </w:t>
      </w:r>
      <w:r w:rsidRPr="00733536">
        <w:t>Heikkilä, M</w:t>
      </w:r>
      <w:r w:rsidR="00AE0E2D" w:rsidRPr="00733536">
        <w:t>. </w:t>
      </w:r>
      <w:r w:rsidRPr="00733536">
        <w:t>Martinsuo, S</w:t>
      </w:r>
      <w:r w:rsidR="00AE0E2D" w:rsidRPr="00733536">
        <w:t>. </w:t>
      </w:r>
      <w:r w:rsidRPr="00733536">
        <w:t>Nenonen, Backshoring of production in the context of a small and open Nordic economy, Journal of Manufacturing Technology Management 29 (2018) pp. 658</w:t>
      </w:r>
      <w:r w:rsidR="0084214C">
        <w:t>-</w:t>
      </w:r>
      <w:r w:rsidRPr="00733536">
        <w:t>675.</w:t>
      </w:r>
      <w:bookmarkEnd w:id="64"/>
    </w:p>
    <w:p w14:paraId="35D146D3" w14:textId="10EF8258" w:rsidR="003F720F" w:rsidRPr="00733536" w:rsidRDefault="003F720F" w:rsidP="00D471AE">
      <w:pPr>
        <w:pStyle w:val="References"/>
        <w:tabs>
          <w:tab w:val="clear" w:pos="397"/>
          <w:tab w:val="left" w:pos="426"/>
        </w:tabs>
        <w:ind w:left="426" w:hanging="426"/>
      </w:pPr>
      <w:bookmarkStart w:id="65" w:name="_Ref55223223"/>
      <w:r w:rsidRPr="00733536">
        <w:t>J</w:t>
      </w:r>
      <w:r w:rsidR="00AE0E2D" w:rsidRPr="00733536">
        <w:t>. </w:t>
      </w:r>
      <w:r w:rsidRPr="00733536">
        <w:t>Heikkilä, S</w:t>
      </w:r>
      <w:r w:rsidR="00AE0E2D" w:rsidRPr="00733536">
        <w:t>. </w:t>
      </w:r>
      <w:r w:rsidRPr="00733536">
        <w:t>Nenonen, J</w:t>
      </w:r>
      <w:r w:rsidR="00AE0E2D" w:rsidRPr="00733536">
        <w:t>. </w:t>
      </w:r>
      <w:r w:rsidRPr="00733536">
        <w:t>Olhager, J</w:t>
      </w:r>
      <w:r w:rsidR="00AE0E2D" w:rsidRPr="00733536">
        <w:t>. </w:t>
      </w:r>
      <w:r w:rsidRPr="00733536">
        <w:t xml:space="preserve">Stentoft, Manufacturing relocation abroad and back: empirical evidence from the Nordic countries, World Review of Intermodal Transportation Research 7 (2018) </w:t>
      </w:r>
      <w:commentRangeStart w:id="66"/>
      <w:r w:rsidRPr="00733536">
        <w:t>10.1504/WRITR.2018.10014279</w:t>
      </w:r>
      <w:commentRangeEnd w:id="66"/>
      <w:r w:rsidR="0084214C">
        <w:rPr>
          <w:rStyle w:val="CommentReference"/>
          <w:rFonts w:asciiTheme="minorHAnsi" w:eastAsiaTheme="minorEastAsia" w:hAnsiTheme="minorHAnsi" w:cstheme="minorBidi"/>
          <w:lang w:val="it-IT" w:eastAsia="ko-KR"/>
        </w:rPr>
        <w:commentReference w:id="66"/>
      </w:r>
      <w:r w:rsidR="005E559F" w:rsidRPr="00733536">
        <w:t>.</w:t>
      </w:r>
      <w:bookmarkEnd w:id="65"/>
    </w:p>
    <w:p w14:paraId="3896D55F" w14:textId="61DF1A2D" w:rsidR="003F720F" w:rsidRPr="00733536" w:rsidRDefault="003F720F" w:rsidP="00D471AE">
      <w:pPr>
        <w:pStyle w:val="References"/>
        <w:tabs>
          <w:tab w:val="clear" w:pos="397"/>
          <w:tab w:val="left" w:pos="426"/>
        </w:tabs>
        <w:ind w:left="426" w:hanging="426"/>
      </w:pPr>
      <w:bookmarkStart w:id="67" w:name="_Ref55223224"/>
      <w:r w:rsidRPr="00733536">
        <w:t>M</w:t>
      </w:r>
      <w:r w:rsidR="00AE0E2D" w:rsidRPr="00733536">
        <w:t>. </w:t>
      </w:r>
      <w:r w:rsidRPr="00733536">
        <w:t>Johansson, J</w:t>
      </w:r>
      <w:r w:rsidR="00AE0E2D" w:rsidRPr="00733536">
        <w:t>. </w:t>
      </w:r>
      <w:r w:rsidRPr="00733536">
        <w:t>Olhager, Manufacturing relocation through offshoring and backshoring: the case of Sweden, Journal of Manufacturing Technology Management 29 (2018) pp. 637</w:t>
      </w:r>
      <w:r w:rsidR="0084214C">
        <w:t>-</w:t>
      </w:r>
      <w:r w:rsidRPr="00733536">
        <w:t>657</w:t>
      </w:r>
      <w:r w:rsidR="005E559F" w:rsidRPr="00733536">
        <w:t>.</w:t>
      </w:r>
      <w:bookmarkEnd w:id="67"/>
    </w:p>
    <w:p w14:paraId="0D846F09" w14:textId="15310817" w:rsidR="003F720F" w:rsidRPr="00733536" w:rsidRDefault="003F720F" w:rsidP="00D471AE">
      <w:pPr>
        <w:pStyle w:val="References"/>
        <w:tabs>
          <w:tab w:val="clear" w:pos="397"/>
          <w:tab w:val="left" w:pos="426"/>
        </w:tabs>
        <w:ind w:left="426" w:hanging="426"/>
      </w:pPr>
      <w:bookmarkStart w:id="68" w:name="_Ref55223225"/>
      <w:r w:rsidRPr="00733536">
        <w:t>M</w:t>
      </w:r>
      <w:r w:rsidR="00AE0E2D" w:rsidRPr="00733536">
        <w:t>. </w:t>
      </w:r>
      <w:r w:rsidRPr="00733536">
        <w:t>Johansson, J</w:t>
      </w:r>
      <w:r w:rsidR="00AE0E2D" w:rsidRPr="00733536">
        <w:t>. </w:t>
      </w:r>
      <w:r w:rsidRPr="00733536">
        <w:t xml:space="preserve">Olhager, Comparing offshoring and backshoring: </w:t>
      </w:r>
      <w:r w:rsidR="0084214C">
        <w:t>t</w:t>
      </w:r>
      <w:r w:rsidRPr="00733536">
        <w:t>he role of manufacturing site location factors and their impact on post-relocation performance, International Journal of Production Economics 205 (2018) pp. 37</w:t>
      </w:r>
      <w:r w:rsidR="0084214C">
        <w:t>-</w:t>
      </w:r>
      <w:r w:rsidRPr="00733536">
        <w:t>46</w:t>
      </w:r>
      <w:r w:rsidR="005E559F" w:rsidRPr="00733536">
        <w:t>.</w:t>
      </w:r>
      <w:bookmarkEnd w:id="68"/>
    </w:p>
    <w:p w14:paraId="2CA477B9" w14:textId="6E6F1964" w:rsidR="003F720F" w:rsidRPr="00733536" w:rsidRDefault="003F720F" w:rsidP="00D471AE">
      <w:pPr>
        <w:pStyle w:val="References"/>
        <w:tabs>
          <w:tab w:val="clear" w:pos="397"/>
          <w:tab w:val="left" w:pos="426"/>
        </w:tabs>
        <w:ind w:left="426" w:hanging="426"/>
      </w:pPr>
      <w:bookmarkStart w:id="69" w:name="_Ref55223226"/>
      <w:r w:rsidRPr="00733536">
        <w:t>K</w:t>
      </w:r>
      <w:r w:rsidR="00AE0E2D" w:rsidRPr="00733536">
        <w:t>. </w:t>
      </w:r>
      <w:r w:rsidRPr="00733536">
        <w:t>De</w:t>
      </w:r>
      <w:r w:rsidR="00AE0E2D" w:rsidRPr="00733536">
        <w:t> </w:t>
      </w:r>
      <w:r w:rsidRPr="00733536">
        <w:t>Backer, T</w:t>
      </w:r>
      <w:r w:rsidR="00AE0E2D" w:rsidRPr="00733536">
        <w:t>. </w:t>
      </w:r>
      <w:r w:rsidRPr="00733536">
        <w:t>DeStefano, C</w:t>
      </w:r>
      <w:r w:rsidR="00AE0E2D" w:rsidRPr="00733536">
        <w:t>. </w:t>
      </w:r>
      <w:r w:rsidRPr="00733536">
        <w:t>Menon, J</w:t>
      </w:r>
      <w:r w:rsidR="00AE0E2D" w:rsidRPr="00733536">
        <w:t>. </w:t>
      </w:r>
      <w:r w:rsidRPr="00733536">
        <w:t>R</w:t>
      </w:r>
      <w:r w:rsidR="00AE0E2D" w:rsidRPr="00733536">
        <w:t>. </w:t>
      </w:r>
      <w:r w:rsidRPr="00733536">
        <w:t>Suh, Industrial robotics and the global organisation of production, OECD Science, Technology and Industry, Paris</w:t>
      </w:r>
      <w:r w:rsidR="0084214C">
        <w:t>, France,</w:t>
      </w:r>
      <w:r w:rsidRPr="00733536">
        <w:t xml:space="preserve"> 2018</w:t>
      </w:r>
      <w:r w:rsidR="0084214C">
        <w:t>,</w:t>
      </w:r>
      <w:r w:rsidRPr="00733536">
        <w:t xml:space="preserve"> Working Papers 2018/03.</w:t>
      </w:r>
      <w:bookmarkEnd w:id="69"/>
    </w:p>
    <w:p w14:paraId="3C91CAAD" w14:textId="5403FFA2" w:rsidR="003F720F" w:rsidRPr="00733536" w:rsidRDefault="003F720F" w:rsidP="00D471AE">
      <w:pPr>
        <w:pStyle w:val="References"/>
        <w:tabs>
          <w:tab w:val="clear" w:pos="397"/>
          <w:tab w:val="left" w:pos="426"/>
        </w:tabs>
        <w:ind w:left="426" w:hanging="426"/>
      </w:pPr>
      <w:bookmarkStart w:id="70" w:name="_Ref55223227"/>
      <w:r w:rsidRPr="00733536">
        <w:t>M</w:t>
      </w:r>
      <w:r w:rsidR="00AE0E2D" w:rsidRPr="00733536">
        <w:t>. </w:t>
      </w:r>
      <w:r w:rsidRPr="00733536">
        <w:t>H</w:t>
      </w:r>
      <w:r w:rsidR="00AE0E2D" w:rsidRPr="00733536">
        <w:t>. </w:t>
      </w:r>
      <w:r w:rsidRPr="00733536">
        <w:t xml:space="preserve">Abbasi, It's not </w:t>
      </w:r>
      <w:r w:rsidR="0084214C" w:rsidRPr="00733536">
        <w:t>offshoring or reshoring but right-shoring that matter</w:t>
      </w:r>
      <w:r w:rsidRPr="00733536">
        <w:t>s, Journal of Textile and Apparel, Technology and Management 10 (2016) pp.</w:t>
      </w:r>
      <w:r w:rsidR="0084214C">
        <w:t xml:space="preserve"> </w:t>
      </w:r>
      <w:r w:rsidRPr="00733536">
        <w:t>1</w:t>
      </w:r>
      <w:r w:rsidR="0084214C">
        <w:t>-</w:t>
      </w:r>
      <w:r w:rsidRPr="00733536">
        <w:t>6</w:t>
      </w:r>
      <w:bookmarkEnd w:id="70"/>
    </w:p>
    <w:p w14:paraId="401919DA" w14:textId="2B99AF61" w:rsidR="003F720F" w:rsidRPr="00733536" w:rsidRDefault="003F720F" w:rsidP="00D471AE">
      <w:pPr>
        <w:pStyle w:val="References"/>
        <w:tabs>
          <w:tab w:val="clear" w:pos="397"/>
          <w:tab w:val="left" w:pos="426"/>
        </w:tabs>
        <w:ind w:left="426" w:hanging="426"/>
      </w:pPr>
      <w:bookmarkStart w:id="71" w:name="_Ref55223228"/>
      <w:r w:rsidRPr="00733536">
        <w:t>Y</w:t>
      </w:r>
      <w:r w:rsidR="00AE0E2D" w:rsidRPr="00733536">
        <w:t>. </w:t>
      </w:r>
      <w:r w:rsidRPr="00733536">
        <w:t xml:space="preserve">Lu, Industry 4.0: </w:t>
      </w:r>
      <w:r w:rsidR="0084214C">
        <w:t>a</w:t>
      </w:r>
      <w:r w:rsidRPr="00733536">
        <w:t xml:space="preserve"> survey on technologies, applications and open research issues, Journal of Industrial Information Integration 6 (2017) pp. 1</w:t>
      </w:r>
      <w:r w:rsidR="0084214C">
        <w:t>-</w:t>
      </w:r>
      <w:r w:rsidRPr="00733536">
        <w:t>10</w:t>
      </w:r>
      <w:r w:rsidR="005E559F" w:rsidRPr="00733536">
        <w:t>.</w:t>
      </w:r>
      <w:bookmarkEnd w:id="71"/>
    </w:p>
    <w:p w14:paraId="1E019338" w14:textId="2171D365" w:rsidR="003F720F" w:rsidRPr="00733536" w:rsidRDefault="003F720F" w:rsidP="00D471AE">
      <w:pPr>
        <w:pStyle w:val="References"/>
        <w:tabs>
          <w:tab w:val="clear" w:pos="397"/>
          <w:tab w:val="left" w:pos="426"/>
        </w:tabs>
        <w:ind w:left="426" w:hanging="426"/>
      </w:pPr>
      <w:r w:rsidRPr="00733536">
        <w:t xml:space="preserve"> </w:t>
      </w:r>
      <w:bookmarkStart w:id="72" w:name="_Ref55223229"/>
      <w:r w:rsidRPr="00733536">
        <w:t>M</w:t>
      </w:r>
      <w:r w:rsidR="00AE0E2D" w:rsidRPr="00733536">
        <w:t>. </w:t>
      </w:r>
      <w:r w:rsidRPr="00733536">
        <w:t>Bettiol, C</w:t>
      </w:r>
      <w:r w:rsidR="00AE0E2D" w:rsidRPr="00733536">
        <w:t>. </w:t>
      </w:r>
      <w:r w:rsidRPr="00733536">
        <w:t>Burlina, M</w:t>
      </w:r>
      <w:r w:rsidR="00AE0E2D" w:rsidRPr="00733536">
        <w:t>. </w:t>
      </w:r>
      <w:r w:rsidRPr="00733536">
        <w:t>Chiarvesio, S</w:t>
      </w:r>
      <w:r w:rsidR="00AE0E2D" w:rsidRPr="00733536">
        <w:t>. </w:t>
      </w:r>
      <w:r w:rsidRPr="00733536">
        <w:t>Micelli, Manufacturing, where art thou? Value chain organization and cluster-firm strategies between local and global, in: Local Clusters in Global Value Chains. V</w:t>
      </w:r>
      <w:r w:rsidR="00AE0E2D" w:rsidRPr="00733536">
        <w:t>. </w:t>
      </w:r>
      <w:r w:rsidRPr="00733536">
        <w:t>De</w:t>
      </w:r>
      <w:r w:rsidR="00AE0E2D" w:rsidRPr="00733536">
        <w:t> </w:t>
      </w:r>
      <w:r w:rsidRPr="00733536">
        <w:t>Marchi, E</w:t>
      </w:r>
      <w:r w:rsidR="00AE0E2D" w:rsidRPr="00733536">
        <w:t>. </w:t>
      </w:r>
      <w:r w:rsidRPr="00733536">
        <w:t>De</w:t>
      </w:r>
      <w:r w:rsidR="00AE0E2D" w:rsidRPr="00733536">
        <w:t> </w:t>
      </w:r>
      <w:r w:rsidRPr="00733536">
        <w:t>Maria, G</w:t>
      </w:r>
      <w:r w:rsidR="00AE0E2D" w:rsidRPr="00733536">
        <w:t>. </w:t>
      </w:r>
      <w:r w:rsidRPr="00733536">
        <w:t>Gereffi</w:t>
      </w:r>
      <w:r w:rsidR="00191A01">
        <w:t xml:space="preserve"> (editors)</w:t>
      </w:r>
      <w:r w:rsidRPr="00733536">
        <w:t>. Routledge, London, 2018, ISBN 1138742864, pp 155</w:t>
      </w:r>
      <w:r w:rsidR="0084214C">
        <w:t>-</w:t>
      </w:r>
      <w:r w:rsidRPr="00733536">
        <w:t>174</w:t>
      </w:r>
      <w:r w:rsidR="005E559F" w:rsidRPr="00733536">
        <w:t>.</w:t>
      </w:r>
      <w:bookmarkEnd w:id="72"/>
    </w:p>
    <w:p w14:paraId="3D7988B6" w14:textId="18E48EEC" w:rsidR="003F720F" w:rsidRPr="00733536" w:rsidRDefault="003F720F" w:rsidP="00D471AE">
      <w:pPr>
        <w:pStyle w:val="References"/>
        <w:tabs>
          <w:tab w:val="clear" w:pos="397"/>
          <w:tab w:val="left" w:pos="426"/>
        </w:tabs>
        <w:ind w:left="426" w:hanging="426"/>
      </w:pPr>
      <w:bookmarkStart w:id="73" w:name="_Ref55223230"/>
      <w:r w:rsidRPr="00733536">
        <w:t>L</w:t>
      </w:r>
      <w:r w:rsidR="00AE0E2D" w:rsidRPr="00733536">
        <w:t>. </w:t>
      </w:r>
      <w:r w:rsidRPr="00733536">
        <w:t>Brennan, K</w:t>
      </w:r>
      <w:r w:rsidR="00AE0E2D" w:rsidRPr="00733536">
        <w:t>. </w:t>
      </w:r>
      <w:r w:rsidRPr="00733536">
        <w:t>Ferdows, J</w:t>
      </w:r>
      <w:r w:rsidR="00AE0E2D" w:rsidRPr="00733536">
        <w:t>. </w:t>
      </w:r>
      <w:r w:rsidRPr="00733536">
        <w:t>Godsell R</w:t>
      </w:r>
      <w:r w:rsidR="00AE0E2D" w:rsidRPr="00733536">
        <w:t>. </w:t>
      </w:r>
      <w:r w:rsidRPr="00733536">
        <w:t>Golini, R</w:t>
      </w:r>
      <w:r w:rsidR="00AE0E2D" w:rsidRPr="00733536">
        <w:t>. </w:t>
      </w:r>
      <w:r w:rsidRPr="00733536">
        <w:t>Keegan, S</w:t>
      </w:r>
      <w:r w:rsidR="00AE0E2D" w:rsidRPr="00733536">
        <w:t>. </w:t>
      </w:r>
      <w:r w:rsidRPr="00733536">
        <w:t>Kinkel, J</w:t>
      </w:r>
      <w:r w:rsidR="00AE0E2D" w:rsidRPr="00733536">
        <w:t>. </w:t>
      </w:r>
      <w:r w:rsidRPr="00733536">
        <w:t>Srai, M</w:t>
      </w:r>
      <w:r w:rsidR="00AE0E2D" w:rsidRPr="00733536">
        <w:t>. </w:t>
      </w:r>
      <w:r w:rsidRPr="00733536">
        <w:t>Taylor, Manufacturing in the world: where next?, International Journal of Operations &amp; Production Management 35 (2015) pp. 1253</w:t>
      </w:r>
      <w:r w:rsidR="0084214C">
        <w:t>-</w:t>
      </w:r>
      <w:r w:rsidRPr="00733536">
        <w:t>1274</w:t>
      </w:r>
      <w:r w:rsidR="005E559F" w:rsidRPr="00733536">
        <w:t>.</w:t>
      </w:r>
      <w:bookmarkEnd w:id="73"/>
    </w:p>
    <w:p w14:paraId="7A7E7EE3" w14:textId="613EF71E" w:rsidR="003F720F" w:rsidRPr="00733536" w:rsidRDefault="003F720F" w:rsidP="00D471AE">
      <w:pPr>
        <w:pStyle w:val="References"/>
        <w:tabs>
          <w:tab w:val="clear" w:pos="397"/>
          <w:tab w:val="left" w:pos="426"/>
        </w:tabs>
        <w:ind w:left="426" w:hanging="426"/>
      </w:pPr>
      <w:bookmarkStart w:id="74" w:name="_Ref55223231"/>
      <w:r w:rsidRPr="00733536">
        <w:t>R</w:t>
      </w:r>
      <w:r w:rsidR="00AE0E2D" w:rsidRPr="00733536">
        <w:t>. </w:t>
      </w:r>
      <w:r w:rsidRPr="00733536">
        <w:t>Strange, A</w:t>
      </w:r>
      <w:r w:rsidR="00AE0E2D" w:rsidRPr="00733536">
        <w:t>. </w:t>
      </w:r>
      <w:r w:rsidRPr="00733536">
        <w:t>Zucchella, Industry 4.0, global value chains and international business, Multinational Business Review 25</w:t>
      </w:r>
      <w:r w:rsidR="0084214C">
        <w:t xml:space="preserve"> </w:t>
      </w:r>
      <w:r w:rsidRPr="00733536">
        <w:t>(2018) pp. 174</w:t>
      </w:r>
      <w:r w:rsidR="0084214C">
        <w:t>-</w:t>
      </w:r>
      <w:r w:rsidRPr="00733536">
        <w:t>184</w:t>
      </w:r>
      <w:r w:rsidR="005E559F" w:rsidRPr="00733536">
        <w:t>.</w:t>
      </w:r>
      <w:bookmarkEnd w:id="74"/>
    </w:p>
    <w:p w14:paraId="61D6C353" w14:textId="74F1AA59" w:rsidR="003F720F" w:rsidRPr="00733536" w:rsidRDefault="003F720F" w:rsidP="00D471AE">
      <w:pPr>
        <w:pStyle w:val="References"/>
        <w:tabs>
          <w:tab w:val="clear" w:pos="397"/>
          <w:tab w:val="left" w:pos="426"/>
        </w:tabs>
        <w:ind w:left="426" w:hanging="426"/>
      </w:pPr>
      <w:bookmarkStart w:id="75" w:name="_Ref55223232"/>
      <w:r w:rsidRPr="00733536">
        <w:t>R</w:t>
      </w:r>
      <w:r w:rsidR="00AE0E2D" w:rsidRPr="00733536">
        <w:t>. </w:t>
      </w:r>
      <w:r w:rsidRPr="00733536">
        <w:t>d’Aveni, The 3-D printing revolution, Harvard Business Review 93</w:t>
      </w:r>
      <w:r w:rsidR="00CF4552" w:rsidRPr="00733536">
        <w:t xml:space="preserve"> </w:t>
      </w:r>
      <w:r w:rsidRPr="00733536">
        <w:t>(2015) pp. 40</w:t>
      </w:r>
      <w:r w:rsidR="0084214C">
        <w:t>-</w:t>
      </w:r>
      <w:r w:rsidRPr="00733536">
        <w:t>48.</w:t>
      </w:r>
      <w:bookmarkEnd w:id="75"/>
    </w:p>
    <w:p w14:paraId="0710208C" w14:textId="4018B53C" w:rsidR="003F720F" w:rsidRPr="00733536" w:rsidRDefault="003F720F" w:rsidP="00D471AE">
      <w:pPr>
        <w:pStyle w:val="References"/>
        <w:tabs>
          <w:tab w:val="clear" w:pos="397"/>
          <w:tab w:val="left" w:pos="426"/>
        </w:tabs>
        <w:ind w:left="426" w:hanging="426"/>
      </w:pPr>
      <w:bookmarkStart w:id="76" w:name="_Ref55223233"/>
      <w:r w:rsidRPr="00733536">
        <w:t>A</w:t>
      </w:r>
      <w:r w:rsidR="00AE0E2D" w:rsidRPr="00733536">
        <w:t>. </w:t>
      </w:r>
      <w:r w:rsidRPr="00733536">
        <w:t>O</w:t>
      </w:r>
      <w:r w:rsidR="00AE0E2D" w:rsidRPr="00733536">
        <w:t>. </w:t>
      </w:r>
      <w:r w:rsidRPr="00733536">
        <w:t>Laplume, B</w:t>
      </w:r>
      <w:r w:rsidR="00AE0E2D" w:rsidRPr="00733536">
        <w:t>. </w:t>
      </w:r>
      <w:r w:rsidRPr="00733536">
        <w:t>Petersen, J</w:t>
      </w:r>
      <w:r w:rsidR="00AE0E2D" w:rsidRPr="00733536">
        <w:t>. </w:t>
      </w:r>
      <w:r w:rsidRPr="00733536">
        <w:t>M</w:t>
      </w:r>
      <w:r w:rsidR="00AE0E2D" w:rsidRPr="00733536">
        <w:t>. </w:t>
      </w:r>
      <w:r w:rsidRPr="00733536">
        <w:t>Pearce, Global value chains from a 3D printing perspective, Journal of International Business Studies 47 (2016) pp. 595</w:t>
      </w:r>
      <w:r w:rsidR="0084214C">
        <w:t>-</w:t>
      </w:r>
      <w:r w:rsidRPr="00733536">
        <w:t>609</w:t>
      </w:r>
      <w:r w:rsidR="005E559F" w:rsidRPr="00733536">
        <w:t>.</w:t>
      </w:r>
      <w:bookmarkEnd w:id="76"/>
    </w:p>
    <w:p w14:paraId="685D92A2" w14:textId="7DD68015" w:rsidR="00CF4552" w:rsidRPr="0023325E" w:rsidRDefault="003F720F" w:rsidP="00D471AE">
      <w:pPr>
        <w:pStyle w:val="References"/>
        <w:tabs>
          <w:tab w:val="clear" w:pos="397"/>
          <w:tab w:val="left" w:pos="426"/>
        </w:tabs>
        <w:ind w:left="426" w:hanging="426"/>
      </w:pPr>
      <w:bookmarkStart w:id="77" w:name="_Ref55223234"/>
      <w:r w:rsidRPr="00733536">
        <w:t>J</w:t>
      </w:r>
      <w:r w:rsidR="00AE0E2D" w:rsidRPr="00733536">
        <w:t>. </w:t>
      </w:r>
      <w:r w:rsidRPr="00733536">
        <w:t>Müller, V</w:t>
      </w:r>
      <w:r w:rsidR="00AE0E2D" w:rsidRPr="00733536">
        <w:t>. </w:t>
      </w:r>
      <w:r w:rsidRPr="00733536">
        <w:t>Dotzauer, K</w:t>
      </w:r>
      <w:r w:rsidR="00AE0E2D" w:rsidRPr="00733536">
        <w:t>. </w:t>
      </w:r>
      <w:r w:rsidRPr="00733536">
        <w:t>I</w:t>
      </w:r>
      <w:r w:rsidR="00AE0E2D" w:rsidRPr="00733536">
        <w:t>. </w:t>
      </w:r>
      <w:r w:rsidRPr="00733536">
        <w:t xml:space="preserve">Voigt, Industry 4.0 and its </w:t>
      </w:r>
      <w:r w:rsidR="0084214C" w:rsidRPr="00733536">
        <w:t xml:space="preserve">impact on reshoring decisions of </w:t>
      </w:r>
      <w:r w:rsidR="0084214C">
        <w:t>G</w:t>
      </w:r>
      <w:r w:rsidR="0084214C" w:rsidRPr="00733536">
        <w:t>erman manufacturing enterprise</w:t>
      </w:r>
      <w:r w:rsidRPr="00733536">
        <w:t xml:space="preserve">s, in: Supply </w:t>
      </w:r>
      <w:r w:rsidR="0084214C">
        <w:t>M</w:t>
      </w:r>
      <w:r w:rsidRPr="00733536">
        <w:t xml:space="preserve">anagement </w:t>
      </w:r>
      <w:r w:rsidR="0084214C">
        <w:t>R</w:t>
      </w:r>
      <w:r w:rsidRPr="00733536">
        <w:t xml:space="preserve">esearch. </w:t>
      </w:r>
      <w:r w:rsidR="00AE0E2D" w:rsidRPr="0023325E">
        <w:t>C. </w:t>
      </w:r>
      <w:r w:rsidRPr="0023325E">
        <w:t>Bode</w:t>
      </w:r>
      <w:r w:rsidR="00AE0E2D" w:rsidRPr="0023325E">
        <w:t>, R. </w:t>
      </w:r>
      <w:r w:rsidRPr="0023325E">
        <w:t xml:space="preserve">Bogaschewsky, </w:t>
      </w:r>
      <w:r w:rsidR="00AE0E2D" w:rsidRPr="0023325E">
        <w:t>M.</w:t>
      </w:r>
      <w:r w:rsidR="008A3DC6" w:rsidRPr="0023325E">
        <w:t xml:space="preserve"> </w:t>
      </w:r>
      <w:r w:rsidRPr="0023325E">
        <w:t xml:space="preserve">Eßig, </w:t>
      </w:r>
      <w:r w:rsidR="00AE0E2D" w:rsidRPr="0023325E">
        <w:t>R. Lasch, W. Stölzle</w:t>
      </w:r>
      <w:r w:rsidR="00191A01">
        <w:t xml:space="preserve"> (editors)</w:t>
      </w:r>
      <w:r w:rsidR="0084214C">
        <w:t>.</w:t>
      </w:r>
      <w:r w:rsidRPr="0023325E">
        <w:t xml:space="preserve"> Springer, Heidelberg</w:t>
      </w:r>
      <w:r w:rsidR="0084214C">
        <w:t xml:space="preserve">, </w:t>
      </w:r>
      <w:r w:rsidRPr="0023325E">
        <w:t>2017</w:t>
      </w:r>
      <w:r w:rsidR="0084214C">
        <w:t>,</w:t>
      </w:r>
      <w:r w:rsidRPr="0023325E">
        <w:t xml:space="preserve"> ISBN 978-3-658-18632-6</w:t>
      </w:r>
      <w:r w:rsidR="00FB3A42" w:rsidRPr="0023325E">
        <w:t>,</w:t>
      </w:r>
      <w:r w:rsidRPr="0023325E">
        <w:t xml:space="preserve"> pp. 165-179</w:t>
      </w:r>
      <w:r w:rsidR="005E559F" w:rsidRPr="0023325E">
        <w:t>.</w:t>
      </w:r>
      <w:bookmarkEnd w:id="77"/>
    </w:p>
    <w:p w14:paraId="700B7AA3" w14:textId="13CD21C4" w:rsidR="00CF4552" w:rsidRPr="0023325E" w:rsidRDefault="00CF4552" w:rsidP="00D471AE">
      <w:pPr>
        <w:pStyle w:val="References"/>
        <w:tabs>
          <w:tab w:val="clear" w:pos="397"/>
          <w:tab w:val="left" w:pos="426"/>
        </w:tabs>
        <w:ind w:left="426" w:hanging="426"/>
      </w:pPr>
      <w:bookmarkStart w:id="78" w:name="_Ref55223235"/>
      <w:r w:rsidRPr="0023325E">
        <w:t>F</w:t>
      </w:r>
      <w:r w:rsidR="00AE0E2D" w:rsidRPr="0023325E">
        <w:t>. </w:t>
      </w:r>
      <w:r w:rsidRPr="0023325E">
        <w:t>Fel, E</w:t>
      </w:r>
      <w:r w:rsidR="00AE0E2D" w:rsidRPr="0023325E">
        <w:t>. </w:t>
      </w:r>
      <w:r w:rsidRPr="0023325E">
        <w:t>Griette, Near-reshoring your supplies from China: a good deal for financial motives too, Strategic Direction 33 (2017) pp. 24</w:t>
      </w:r>
      <w:r w:rsidR="00B43436">
        <w:t>-</w:t>
      </w:r>
      <w:r w:rsidRPr="0023325E">
        <w:t>16.</w:t>
      </w:r>
      <w:bookmarkEnd w:id="78"/>
    </w:p>
    <w:p w14:paraId="5781C13A" w14:textId="17E2CA00" w:rsidR="00CF4552" w:rsidRPr="0023325E" w:rsidRDefault="00CF4552" w:rsidP="00D471AE">
      <w:pPr>
        <w:pStyle w:val="References"/>
        <w:tabs>
          <w:tab w:val="clear" w:pos="397"/>
          <w:tab w:val="left" w:pos="426"/>
        </w:tabs>
        <w:ind w:left="426" w:hanging="426"/>
      </w:pPr>
      <w:bookmarkStart w:id="79" w:name="_Ref55223236"/>
      <w:r w:rsidRPr="0023325E">
        <w:t>S</w:t>
      </w:r>
      <w:r w:rsidR="00AE0E2D" w:rsidRPr="0023325E">
        <w:t>. </w:t>
      </w:r>
      <w:r w:rsidRPr="0023325E">
        <w:t>Kinkel, Future and impact of backshoring</w:t>
      </w:r>
      <w:r w:rsidR="00B43436">
        <w:rPr>
          <w:noProof/>
        </w:rPr>
        <w:t xml:space="preserve"> - s</w:t>
      </w:r>
      <w:r w:rsidRPr="00733536">
        <w:rPr>
          <w:noProof/>
        </w:rPr>
        <w:t>ome</w:t>
      </w:r>
      <w:r w:rsidRPr="0023325E">
        <w:t xml:space="preserve"> conclusions from 15 years of research on German practices, Journal of Purchasing and Supply Management 20 (2014) pp. 63</w:t>
      </w:r>
      <w:r w:rsidR="00B43436">
        <w:t>-</w:t>
      </w:r>
      <w:r w:rsidRPr="0023325E">
        <w:t>65.</w:t>
      </w:r>
      <w:bookmarkEnd w:id="79"/>
    </w:p>
    <w:p w14:paraId="01A75552" w14:textId="5A376DDE" w:rsidR="00CF4552" w:rsidRPr="00733536" w:rsidRDefault="00CF4552" w:rsidP="00D471AE">
      <w:pPr>
        <w:pStyle w:val="References"/>
        <w:tabs>
          <w:tab w:val="clear" w:pos="397"/>
          <w:tab w:val="left" w:pos="426"/>
        </w:tabs>
        <w:ind w:left="426" w:hanging="426"/>
      </w:pPr>
      <w:bookmarkStart w:id="80" w:name="_Ref55223237"/>
      <w:r w:rsidRPr="00733536">
        <w:t>S</w:t>
      </w:r>
      <w:r w:rsidR="00AE0E2D" w:rsidRPr="00733536">
        <w:t>. </w:t>
      </w:r>
      <w:r w:rsidRPr="00733536">
        <w:t>Kinkel, S</w:t>
      </w:r>
      <w:r w:rsidR="00AE0E2D" w:rsidRPr="00733536">
        <w:t>. </w:t>
      </w:r>
      <w:r w:rsidRPr="00733536">
        <w:t xml:space="preserve">Maloca, Drivers and antecedents of manufacturing offshoring and backshoring - </w:t>
      </w:r>
      <w:r w:rsidR="00B43436">
        <w:t>a</w:t>
      </w:r>
      <w:r w:rsidRPr="00733536">
        <w:t xml:space="preserve"> German perspective, Journal of Purchasing and Supply Management 15 (2009) pp. 154</w:t>
      </w:r>
      <w:r w:rsidR="00B43436">
        <w:t>-</w:t>
      </w:r>
      <w:r w:rsidRPr="00733536">
        <w:t>165.</w:t>
      </w:r>
      <w:bookmarkEnd w:id="80"/>
    </w:p>
    <w:p w14:paraId="31C92A8A" w14:textId="77777777" w:rsidR="00CF4552" w:rsidRPr="0023325E" w:rsidRDefault="00CF4552" w:rsidP="00712DCE">
      <w:pPr>
        <w:pStyle w:val="References"/>
        <w:numPr>
          <w:ilvl w:val="0"/>
          <w:numId w:val="0"/>
        </w:numPr>
        <w:ind w:left="454"/>
      </w:pPr>
    </w:p>
    <w:p w14:paraId="6688D5CA" w14:textId="46EE9C9C" w:rsidR="00E40F2D" w:rsidRPr="0023325E" w:rsidRDefault="00E40F2D" w:rsidP="00A66693">
      <w:pPr>
        <w:pStyle w:val="References"/>
        <w:numPr>
          <w:ilvl w:val="0"/>
          <w:numId w:val="0"/>
        </w:numPr>
        <w:ind w:left="378"/>
        <w:sectPr w:rsidR="00E40F2D" w:rsidRPr="0023325E" w:rsidSect="00222485">
          <w:headerReference w:type="even" r:id="rId18"/>
          <w:headerReference w:type="default" r:id="rId19"/>
          <w:type w:val="continuous"/>
          <w:pgSz w:w="11907" w:h="16840" w:code="9"/>
          <w:pgMar w:top="1134" w:right="851" w:bottom="1418" w:left="851" w:header="720" w:footer="720" w:gutter="0"/>
          <w:cols w:num="2" w:space="284"/>
          <w:docGrid w:linePitch="360"/>
        </w:sectPr>
      </w:pPr>
    </w:p>
    <w:p w14:paraId="2A7E9BB9" w14:textId="77777777" w:rsidR="000673CA" w:rsidRPr="0023325E" w:rsidRDefault="000673CA" w:rsidP="00A66693">
      <w:pPr>
        <w:pStyle w:val="Figure"/>
        <w:keepNext/>
        <w:jc w:val="both"/>
      </w:pPr>
    </w:p>
    <w:sectPr w:rsidR="000673CA" w:rsidRPr="0023325E" w:rsidSect="00222485">
      <w:type w:val="continuous"/>
      <w:pgSz w:w="11907" w:h="16840" w:code="9"/>
      <w:pgMar w:top="1134" w:right="851" w:bottom="1418" w:left="851" w:header="720" w:footer="720" w:gutter="0"/>
      <w:cols w:num="2"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Proofed" w:date="2020-11-18T08:51:00Z" w:initials="PI">
    <w:p w14:paraId="4C0639BC" w14:textId="04E2A7BD" w:rsidR="00B25007" w:rsidRDefault="00B25007">
      <w:pPr>
        <w:pStyle w:val="CommentText"/>
      </w:pPr>
      <w:r>
        <w:rPr>
          <w:rStyle w:val="CommentReference"/>
        </w:rPr>
        <w:annotationRef/>
      </w:r>
      <w:r>
        <w:t xml:space="preserve">This paper requires British English. Your spelling here is American English. I have made the necessary changes and also elsewhere in the document. </w:t>
      </w:r>
    </w:p>
  </w:comment>
  <w:comment w:id="4" w:author="Proofed" w:date="2020-11-18T09:00:00Z" w:initials="PI">
    <w:p w14:paraId="61A717B0" w14:textId="5A07E1A9" w:rsidR="00B25007" w:rsidRDefault="00B25007">
      <w:pPr>
        <w:pStyle w:val="CommentText"/>
      </w:pPr>
      <w:r>
        <w:rPr>
          <w:rStyle w:val="CommentReference"/>
        </w:rPr>
        <w:annotationRef/>
      </w:r>
      <w:r>
        <w:t xml:space="preserve">In academic writing in British English single quotation marks are preferred. </w:t>
      </w:r>
    </w:p>
  </w:comment>
  <w:comment w:id="5" w:author="Proofed" w:date="2020-11-18T09:06:00Z" w:initials="PI">
    <w:p w14:paraId="5898B1EB" w14:textId="66BFCD47" w:rsidR="00B25007" w:rsidRDefault="00B25007">
      <w:pPr>
        <w:pStyle w:val="CommentText"/>
      </w:pPr>
      <w:r>
        <w:rPr>
          <w:rStyle w:val="CommentReference"/>
        </w:rPr>
        <w:annotationRef/>
      </w:r>
      <w:r>
        <w:t xml:space="preserve">It is better to use ‘company’ here as it has a broader meaning and is more commonly used. </w:t>
      </w:r>
    </w:p>
  </w:comment>
  <w:comment w:id="6" w:author="Proofed" w:date="2020-11-18T09:14:00Z" w:initials="PI">
    <w:p w14:paraId="6154F47A" w14:textId="1DF81904" w:rsidR="00B25007" w:rsidRDefault="00B25007">
      <w:pPr>
        <w:pStyle w:val="CommentText"/>
      </w:pPr>
      <w:r>
        <w:rPr>
          <w:rStyle w:val="CommentReference"/>
        </w:rPr>
        <w:annotationRef/>
      </w:r>
      <w:r>
        <w:t>Page numbers should be included in the reference list rather than in the body of the paper.</w:t>
      </w:r>
    </w:p>
  </w:comment>
  <w:comment w:id="7" w:author="Proofed" w:date="2020-11-18T09:17:00Z" w:initials="PI">
    <w:p w14:paraId="54A9AE7A" w14:textId="2C88D81F" w:rsidR="00B25007" w:rsidRDefault="00B25007">
      <w:pPr>
        <w:pStyle w:val="CommentText"/>
      </w:pPr>
      <w:r>
        <w:rPr>
          <w:rStyle w:val="CommentReference"/>
        </w:rPr>
        <w:annotationRef/>
      </w:r>
      <w:r>
        <w:t>I have made the change here to avoid the repetition of ‘locate’ and ‘locations’.</w:t>
      </w:r>
    </w:p>
  </w:comment>
  <w:comment w:id="8" w:author="Proofed" w:date="2020-11-18T09:21:00Z" w:initials="PI">
    <w:p w14:paraId="242A3DDA" w14:textId="4E214CFF" w:rsidR="00B25007" w:rsidRDefault="00B25007">
      <w:pPr>
        <w:pStyle w:val="CommentText"/>
      </w:pPr>
      <w:r>
        <w:rPr>
          <w:rStyle w:val="CommentReference"/>
        </w:rPr>
        <w:annotationRef/>
      </w:r>
      <w:r>
        <w:t xml:space="preserve">‘State of the art’ doesn’t appear to fit here. I have made some changes to the text. Please check that I have retained your original meaning. </w:t>
      </w:r>
    </w:p>
  </w:comment>
  <w:comment w:id="9" w:author="Proofed" w:date="2020-11-19T08:53:00Z" w:initials="PI">
    <w:p w14:paraId="61434B68" w14:textId="1CD62175" w:rsidR="00B25007" w:rsidRDefault="00B25007">
      <w:pPr>
        <w:pStyle w:val="CommentText"/>
      </w:pPr>
      <w:r>
        <w:rPr>
          <w:rStyle w:val="CommentReference"/>
        </w:rPr>
        <w:annotationRef/>
      </w:r>
      <w:r>
        <w:t>I have made some changes here to clarify the language. Please check that I have retained your original meaning.</w:t>
      </w:r>
    </w:p>
  </w:comment>
  <w:comment w:id="10" w:author="Proofed" w:date="2020-11-19T08:59:00Z" w:initials="PI">
    <w:p w14:paraId="23BD6882" w14:textId="6F4919C1" w:rsidR="00B25007" w:rsidRDefault="00B25007">
      <w:pPr>
        <w:pStyle w:val="CommentText"/>
      </w:pPr>
      <w:r>
        <w:rPr>
          <w:rStyle w:val="CommentReference"/>
        </w:rPr>
        <w:annotationRef/>
      </w:r>
      <w:r>
        <w:t xml:space="preserve">Please check the source as there appear to be some mistakes in this quote, i.e. a missing article (‘reduces the importance’), ‘cost’ should be plural (‘costs’) and ‘compensate’ should be followed by ‘for’. </w:t>
      </w:r>
    </w:p>
  </w:comment>
  <w:comment w:id="13" w:author="Proofed" w:date="2020-11-19T11:10:00Z" w:initials="PI">
    <w:p w14:paraId="2C24B453" w14:textId="2C3DE277" w:rsidR="00B25007" w:rsidRDefault="00B25007">
      <w:pPr>
        <w:pStyle w:val="CommentText"/>
      </w:pPr>
      <w:r>
        <w:rPr>
          <w:rStyle w:val="CommentReference"/>
        </w:rPr>
        <w:annotationRef/>
      </w:r>
      <w:r>
        <w:t xml:space="preserve">I have made the change here because ‘inhomogeneous’ is a word that is not commonly used. </w:t>
      </w:r>
    </w:p>
  </w:comment>
  <w:comment w:id="15" w:author="Proofed" w:date="2020-11-19T11:24:00Z" w:initials="PI">
    <w:p w14:paraId="6EF53F62" w14:textId="1F2DA50B" w:rsidR="00B25007" w:rsidRDefault="00B25007">
      <w:pPr>
        <w:pStyle w:val="CommentText"/>
      </w:pPr>
      <w:r>
        <w:rPr>
          <w:rStyle w:val="CommentReference"/>
        </w:rPr>
        <w:annotationRef/>
      </w:r>
      <w:r>
        <w:t>For clarity, I have changed ‘n.a.’ to ‘Not available’, but please check that this is what you mean here.</w:t>
      </w:r>
    </w:p>
  </w:comment>
  <w:comment w:id="17" w:author="Proofed" w:date="2020-11-19T11:46:00Z" w:initials="PI">
    <w:p w14:paraId="26435247" w14:textId="5034F44A" w:rsidR="00B25007" w:rsidRDefault="00B25007">
      <w:pPr>
        <w:pStyle w:val="CommentText"/>
      </w:pPr>
      <w:r>
        <w:rPr>
          <w:rStyle w:val="CommentReference"/>
        </w:rPr>
        <w:annotationRef/>
      </w:r>
      <w:r>
        <w:t>It would be better to write this as ‘not available’.</w:t>
      </w:r>
    </w:p>
  </w:comment>
  <w:comment w:id="19" w:author="Proofed" w:date="2020-11-19T12:31:00Z" w:initials="PI">
    <w:p w14:paraId="39473449" w14:textId="400EC700" w:rsidR="00B25007" w:rsidRDefault="00B25007">
      <w:pPr>
        <w:pStyle w:val="CommentText"/>
      </w:pPr>
      <w:r>
        <w:rPr>
          <w:rStyle w:val="CommentReference"/>
        </w:rPr>
        <w:annotationRef/>
      </w:r>
      <w:r>
        <w:t xml:space="preserve">Are you intending to put some of the motivations in the table in bold? If not, this sentence should be deleted. </w:t>
      </w:r>
    </w:p>
  </w:comment>
  <w:comment w:id="25" w:author="Proofed" w:date="2020-11-20T08:40:00Z" w:initials="PI">
    <w:p w14:paraId="07AAE00C" w14:textId="15F2899B" w:rsidR="00B25007" w:rsidRDefault="00B25007">
      <w:pPr>
        <w:pStyle w:val="CommentText"/>
      </w:pPr>
      <w:r>
        <w:rPr>
          <w:rStyle w:val="CommentReference"/>
        </w:rPr>
        <w:annotationRef/>
      </w:r>
      <w:r>
        <w:t>Please insert the page numbers for this article.</w:t>
      </w:r>
    </w:p>
  </w:comment>
  <w:comment w:id="37" w:author="Proofed" w:date="2020-11-20T08:54:00Z" w:initials="PI">
    <w:p w14:paraId="3A65079D" w14:textId="61CFB60E" w:rsidR="00B25007" w:rsidRDefault="00B25007">
      <w:pPr>
        <w:pStyle w:val="CommentText"/>
      </w:pPr>
      <w:r>
        <w:rPr>
          <w:rStyle w:val="CommentReference"/>
        </w:rPr>
        <w:annotationRef/>
      </w:r>
      <w:r>
        <w:t>The name of the city where this workshop was held should be inserted here.</w:t>
      </w:r>
    </w:p>
  </w:comment>
  <w:comment w:id="48" w:author="Proofed" w:date="2020-11-20T09:05:00Z" w:initials="PI">
    <w:p w14:paraId="299F3130" w14:textId="329F416A" w:rsidR="00B25007" w:rsidRDefault="00B25007">
      <w:pPr>
        <w:pStyle w:val="CommentText"/>
      </w:pPr>
      <w:r>
        <w:rPr>
          <w:rStyle w:val="CommentReference"/>
        </w:rPr>
        <w:annotationRef/>
      </w:r>
      <w:r>
        <w:t xml:space="preserve">I am unclear what this number relates to. Page numbers should be inserted here. </w:t>
      </w:r>
    </w:p>
  </w:comment>
  <w:comment w:id="56" w:author="Proofed" w:date="2020-11-20T09:16:00Z" w:initials="PI">
    <w:p w14:paraId="62EDCA7E" w14:textId="2DAEEF66" w:rsidR="00B25007" w:rsidRDefault="00B25007">
      <w:pPr>
        <w:pStyle w:val="CommentText"/>
      </w:pPr>
      <w:r>
        <w:rPr>
          <w:rStyle w:val="CommentReference"/>
        </w:rPr>
        <w:annotationRef/>
      </w:r>
      <w:r>
        <w:t>Page numbers are required here.</w:t>
      </w:r>
    </w:p>
  </w:comment>
  <w:comment w:id="58" w:author="Proofed" w:date="2020-11-20T09:16:00Z" w:initials="PI">
    <w:p w14:paraId="2B22F632" w14:textId="1D533C8F" w:rsidR="00B25007" w:rsidRDefault="00B25007">
      <w:pPr>
        <w:pStyle w:val="CommentText"/>
      </w:pPr>
      <w:r>
        <w:rPr>
          <w:rStyle w:val="CommentReference"/>
        </w:rPr>
        <w:annotationRef/>
      </w:r>
      <w:r>
        <w:t>Page numbers are required here.</w:t>
      </w:r>
    </w:p>
  </w:comment>
  <w:comment w:id="66" w:author="Proofed" w:date="2020-11-20T09:28:00Z" w:initials="PI">
    <w:p w14:paraId="060EBC70" w14:textId="16B4A587" w:rsidR="00B25007" w:rsidRDefault="00B25007">
      <w:pPr>
        <w:pStyle w:val="CommentText"/>
      </w:pPr>
      <w:r>
        <w:rPr>
          <w:rStyle w:val="CommentReference"/>
        </w:rPr>
        <w:annotationRef/>
      </w:r>
      <w:r>
        <w:t>Page numbers are required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0639BC" w15:done="0"/>
  <w15:commentEx w15:paraId="61A717B0" w15:done="0"/>
  <w15:commentEx w15:paraId="5898B1EB" w15:done="0"/>
  <w15:commentEx w15:paraId="6154F47A" w15:done="0"/>
  <w15:commentEx w15:paraId="54A9AE7A" w15:done="0"/>
  <w15:commentEx w15:paraId="242A3DDA" w15:done="0"/>
  <w15:commentEx w15:paraId="61434B68" w15:done="0"/>
  <w15:commentEx w15:paraId="23BD6882" w15:done="0"/>
  <w15:commentEx w15:paraId="2C24B453" w15:done="0"/>
  <w15:commentEx w15:paraId="6EF53F62" w15:done="0"/>
  <w15:commentEx w15:paraId="26435247" w15:done="0"/>
  <w15:commentEx w15:paraId="39473449" w15:done="0"/>
  <w15:commentEx w15:paraId="07AAE00C" w15:done="0"/>
  <w15:commentEx w15:paraId="3A65079D" w15:done="0"/>
  <w15:commentEx w15:paraId="299F3130" w15:done="0"/>
  <w15:commentEx w15:paraId="62EDCA7E" w15:done="0"/>
  <w15:commentEx w15:paraId="2B22F632" w15:done="0"/>
  <w15:commentEx w15:paraId="060EBC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F5F27" w16cex:dateUtc="2020-11-18T08:51:00Z"/>
  <w16cex:commentExtensible w16cex:durableId="235F613B" w16cex:dateUtc="2020-11-18T09:00:00Z"/>
  <w16cex:commentExtensible w16cex:durableId="235F629F" w16cex:dateUtc="2020-11-18T09:06:00Z"/>
  <w16cex:commentExtensible w16cex:durableId="235F6480" w16cex:dateUtc="2020-11-18T09:14:00Z"/>
  <w16cex:commentExtensible w16cex:durableId="235F652F" w16cex:dateUtc="2020-11-18T09:17:00Z"/>
  <w16cex:commentExtensible w16cex:durableId="235F662A" w16cex:dateUtc="2020-11-18T09:21:00Z"/>
  <w16cex:commentExtensible w16cex:durableId="2360B109" w16cex:dateUtc="2020-11-19T08:53:00Z"/>
  <w16cex:commentExtensible w16cex:durableId="2360B28E" w16cex:dateUtc="2020-11-19T08:59:00Z"/>
  <w16cex:commentExtensible w16cex:durableId="2360D126" w16cex:dateUtc="2020-11-19T11:10:00Z"/>
  <w16cex:commentExtensible w16cex:durableId="2360D474" w16cex:dateUtc="2020-11-19T11:24:00Z"/>
  <w16cex:commentExtensible w16cex:durableId="2360D992" w16cex:dateUtc="2020-11-19T11:46:00Z"/>
  <w16cex:commentExtensible w16cex:durableId="2360E40D" w16cex:dateUtc="2020-11-19T12:31:00Z"/>
  <w16cex:commentExtensible w16cex:durableId="2361FF9A" w16cex:dateUtc="2020-11-20T08:40:00Z"/>
  <w16cex:commentExtensible w16cex:durableId="236202CE" w16cex:dateUtc="2020-11-20T08:54:00Z"/>
  <w16cex:commentExtensible w16cex:durableId="2362055E" w16cex:dateUtc="2020-11-20T09:05:00Z"/>
  <w16cex:commentExtensible w16cex:durableId="236207D2" w16cex:dateUtc="2020-11-20T09:16:00Z"/>
  <w16cex:commentExtensible w16cex:durableId="236207EA" w16cex:dateUtc="2020-11-20T09:16:00Z"/>
  <w16cex:commentExtensible w16cex:durableId="23620AAD" w16cex:dateUtc="2020-11-20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0639BC" w16cid:durableId="235F5F27"/>
  <w16cid:commentId w16cid:paraId="61A717B0" w16cid:durableId="235F613B"/>
  <w16cid:commentId w16cid:paraId="5898B1EB" w16cid:durableId="235F629F"/>
  <w16cid:commentId w16cid:paraId="6154F47A" w16cid:durableId="235F6480"/>
  <w16cid:commentId w16cid:paraId="54A9AE7A" w16cid:durableId="235F652F"/>
  <w16cid:commentId w16cid:paraId="242A3DDA" w16cid:durableId="235F662A"/>
  <w16cid:commentId w16cid:paraId="61434B68" w16cid:durableId="2360B109"/>
  <w16cid:commentId w16cid:paraId="23BD6882" w16cid:durableId="2360B28E"/>
  <w16cid:commentId w16cid:paraId="2C24B453" w16cid:durableId="2360D126"/>
  <w16cid:commentId w16cid:paraId="6EF53F62" w16cid:durableId="2360D474"/>
  <w16cid:commentId w16cid:paraId="26435247" w16cid:durableId="2360D992"/>
  <w16cid:commentId w16cid:paraId="39473449" w16cid:durableId="2360E40D"/>
  <w16cid:commentId w16cid:paraId="07AAE00C" w16cid:durableId="2361FF9A"/>
  <w16cid:commentId w16cid:paraId="3A65079D" w16cid:durableId="236202CE"/>
  <w16cid:commentId w16cid:paraId="299F3130" w16cid:durableId="2362055E"/>
  <w16cid:commentId w16cid:paraId="62EDCA7E" w16cid:durableId="236207D2"/>
  <w16cid:commentId w16cid:paraId="2B22F632" w16cid:durableId="236207EA"/>
  <w16cid:commentId w16cid:paraId="060EBC70" w16cid:durableId="23620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83860" w14:textId="77777777" w:rsidR="00865CE1" w:rsidRDefault="00865CE1" w:rsidP="00340C7C">
      <w:r>
        <w:separator/>
      </w:r>
    </w:p>
    <w:p w14:paraId="56379B28" w14:textId="77777777" w:rsidR="00865CE1" w:rsidRDefault="00865CE1" w:rsidP="00340C7C"/>
    <w:p w14:paraId="2E483708" w14:textId="77777777" w:rsidR="00865CE1" w:rsidRDefault="00865CE1" w:rsidP="00340C7C"/>
    <w:p w14:paraId="2373FE28" w14:textId="77777777" w:rsidR="00865CE1" w:rsidRDefault="00865CE1" w:rsidP="00340C7C"/>
    <w:p w14:paraId="33EA0C9D" w14:textId="77777777" w:rsidR="00865CE1" w:rsidRDefault="00865CE1" w:rsidP="00340C7C"/>
  </w:endnote>
  <w:endnote w:type="continuationSeparator" w:id="0">
    <w:p w14:paraId="5DC38060" w14:textId="77777777" w:rsidR="00865CE1" w:rsidRDefault="00865CE1" w:rsidP="00340C7C">
      <w:r>
        <w:continuationSeparator/>
      </w:r>
    </w:p>
    <w:p w14:paraId="3020CB67" w14:textId="77777777" w:rsidR="00865CE1" w:rsidRDefault="00865CE1" w:rsidP="00340C7C"/>
    <w:p w14:paraId="7527F0CD" w14:textId="77777777" w:rsidR="00865CE1" w:rsidRDefault="00865CE1" w:rsidP="00340C7C"/>
    <w:p w14:paraId="184DE621" w14:textId="77777777" w:rsidR="00865CE1" w:rsidRDefault="00865CE1" w:rsidP="00340C7C"/>
    <w:p w14:paraId="7F824AFD" w14:textId="77777777" w:rsidR="00865CE1" w:rsidRDefault="00865CE1" w:rsidP="00340C7C"/>
  </w:endnote>
  <w:endnote w:type="continuationNotice" w:id="1">
    <w:p w14:paraId="0E34B1FB" w14:textId="77777777" w:rsidR="00865CE1" w:rsidRDefault="00865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B0604020202020204"/>
    <w:charset w:val="00"/>
    <w:family w:val="roman"/>
    <w:notTrueType/>
    <w:pitch w:val="variable"/>
    <w:sig w:usb0="60000287" w:usb1="00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2D895" w14:textId="77777777" w:rsidR="00B25007" w:rsidRDefault="00B25007"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F26D1" w14:textId="127C890D" w:rsidR="00B25007" w:rsidRPr="00336A8C" w:rsidRDefault="00865CE1" w:rsidP="00BD273E">
    <w:pPr>
      <w:pStyle w:val="Footer"/>
      <w:tabs>
        <w:tab w:val="clear" w:pos="4513"/>
        <w:tab w:val="clear" w:pos="9026"/>
        <w:tab w:val="left" w:pos="567"/>
        <w:tab w:val="right" w:pos="10206"/>
      </w:tabs>
      <w:jc w:val="left"/>
    </w:pPr>
    <w:r>
      <w:rPr>
        <w:noProof/>
      </w:rPr>
      <w:pict w14:anchorId="51145B5B">
        <v:shapetype id="_x0000_t32" coordsize="21600,21600" o:spt="32" o:oned="t" path="m,l21600,21600e" filled="f">
          <v:path arrowok="t" fillok="f" o:connecttype="none"/>
          <o:lock v:ext="edit" shapetype="t"/>
        </v:shapetype>
        <v:shape id="AutoShape 3" o:spid="_x0000_s2049" type="#_x0000_t32" style="position:absolute;margin-left:-.1pt;margin-top:-5.1pt;width:511.1pt;height:0;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"/>
      </w:pict>
    </w:r>
    <w:r w:rsidR="00B25007" w:rsidRPr="00336A8C">
      <w:t>ACTA IMEKO | www.imeko.org</w:t>
    </w:r>
    <w:r w:rsidR="00B25007" w:rsidRPr="00336A8C">
      <w:tab/>
    </w:r>
    <w:fldSimple w:instr=" DOCPROPERTY  &quot;Acta IMEKO Issue Month&quot;  \* MERGEFORMAT ">
      <w:r w:rsidR="00B25007">
        <w:t>December</w:t>
      </w:r>
    </w:fldSimple>
    <w:r w:rsidR="00B25007">
      <w:t xml:space="preserve"> </w:t>
    </w:r>
    <w:fldSimple w:instr=" DOCPROPERTY  &quot;Acta IMEKO Issue Year&quot;  \* MERGEFORMAT ">
      <w:r w:rsidR="00B25007">
        <w:t>2020</w:t>
      </w:r>
    </w:fldSimple>
    <w:r w:rsidR="00B25007">
      <w:t xml:space="preserve"> </w:t>
    </w:r>
    <w:r w:rsidR="00B25007" w:rsidRPr="00944C77">
      <w:t xml:space="preserve">| </w:t>
    </w:r>
    <w:r w:rsidR="00B25007" w:rsidRPr="00DA4117">
      <w:t xml:space="preserve">Volume </w:t>
    </w:r>
    <w:r w:rsidR="00B25007">
      <w:fldChar w:fldCharType="begin"/>
    </w:r>
    <w:r w:rsidR="00B25007">
      <w:instrText xml:space="preserve"> DOCPROPERTY  "Acta IMEKO Issue Volume"  \#0 \* MERGEFORMAT </w:instrText>
    </w:r>
    <w:r w:rsidR="00B25007">
      <w:fldChar w:fldCharType="separate"/>
    </w:r>
    <w:r w:rsidR="00B25007">
      <w:t>9</w:t>
    </w:r>
    <w:r w:rsidR="00B25007">
      <w:fldChar w:fldCharType="end"/>
    </w:r>
    <w:r w:rsidR="00B25007" w:rsidRPr="00DA4117">
      <w:t xml:space="preserve"> | </w:t>
    </w:r>
    <w:r w:rsidR="00B25007" w:rsidRPr="00E3556B">
      <w:t xml:space="preserve">Number </w:t>
    </w:r>
    <w:r w:rsidR="00B25007">
      <w:fldChar w:fldCharType="begin"/>
    </w:r>
    <w:r w:rsidR="00B25007">
      <w:instrText xml:space="preserve"> DOCPROPERTY  "Acta IMEKO Issue Number"  \#0 \* MERGEFORMAT </w:instrText>
    </w:r>
    <w:r w:rsidR="00B25007">
      <w:fldChar w:fldCharType="separate"/>
    </w:r>
    <w:r w:rsidR="00B25007">
      <w:t>4</w:t>
    </w:r>
    <w:r w:rsidR="00B25007">
      <w:fldChar w:fldCharType="end"/>
    </w:r>
    <w:r w:rsidR="00B25007">
      <w:t xml:space="preserve"> </w:t>
    </w:r>
    <w:r w:rsidR="00B25007" w:rsidRPr="00944C77">
      <w:t>|</w:t>
    </w:r>
    <w:r w:rsidR="00B25007" w:rsidRPr="00336A8C">
      <w:t xml:space="preserve"> </w:t>
    </w:r>
    <w:r w:rsidR="00B25007">
      <w:rPr>
        <w:rStyle w:val="PageNumber"/>
      </w:rPr>
      <w:fldChar w:fldCharType="begin"/>
    </w:r>
    <w:r w:rsidR="00B25007">
      <w:rPr>
        <w:rStyle w:val="PageNumber"/>
      </w:rPr>
      <w:instrText xml:space="preserve"> PAGE </w:instrText>
    </w:r>
    <w:r w:rsidR="00B25007">
      <w:rPr>
        <w:rStyle w:val="PageNumber"/>
      </w:rPr>
      <w:fldChar w:fldCharType="separate"/>
    </w:r>
    <w:r w:rsidR="00B25007">
      <w:rPr>
        <w:rStyle w:val="PageNumber"/>
        <w:noProof/>
      </w:rPr>
      <w:t>5</w:t>
    </w:r>
    <w:r w:rsidR="00B250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3C807" w14:textId="77777777" w:rsidR="00865CE1" w:rsidRDefault="00865CE1" w:rsidP="00340C7C">
      <w:r>
        <w:separator/>
      </w:r>
    </w:p>
    <w:p w14:paraId="46CDA349" w14:textId="77777777" w:rsidR="00865CE1" w:rsidRDefault="00865CE1" w:rsidP="00340C7C"/>
    <w:p w14:paraId="59FE1357" w14:textId="77777777" w:rsidR="00865CE1" w:rsidRDefault="00865CE1" w:rsidP="00340C7C"/>
    <w:p w14:paraId="0338D90F" w14:textId="77777777" w:rsidR="00865CE1" w:rsidRDefault="00865CE1" w:rsidP="00340C7C"/>
    <w:p w14:paraId="36EBCFDE" w14:textId="77777777" w:rsidR="00865CE1" w:rsidRDefault="00865CE1" w:rsidP="00340C7C"/>
  </w:footnote>
  <w:footnote w:type="continuationSeparator" w:id="0">
    <w:p w14:paraId="0890875E" w14:textId="77777777" w:rsidR="00865CE1" w:rsidRDefault="00865CE1" w:rsidP="00340C7C">
      <w:r>
        <w:continuationSeparator/>
      </w:r>
    </w:p>
    <w:p w14:paraId="2BA5D0E1" w14:textId="77777777" w:rsidR="00865CE1" w:rsidRDefault="00865CE1" w:rsidP="00340C7C"/>
    <w:p w14:paraId="134B1644" w14:textId="77777777" w:rsidR="00865CE1" w:rsidRDefault="00865CE1" w:rsidP="00340C7C"/>
    <w:p w14:paraId="42A1EFF7" w14:textId="77777777" w:rsidR="00865CE1" w:rsidRDefault="00865CE1" w:rsidP="00340C7C"/>
    <w:p w14:paraId="597FB896" w14:textId="77777777" w:rsidR="00865CE1" w:rsidRDefault="00865CE1" w:rsidP="00340C7C"/>
  </w:footnote>
  <w:footnote w:type="continuationNotice" w:id="1">
    <w:p w14:paraId="0ECE3BD0" w14:textId="77777777" w:rsidR="00865CE1" w:rsidRDefault="00865C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59B4F" w14:textId="77777777" w:rsidR="00B25007" w:rsidRPr="00962E1C" w:rsidRDefault="00865CE1" w:rsidP="006E2692">
    <w:pPr>
      <w:pStyle w:val="HeaderActaIMEKO"/>
      <w:rPr>
        <w:b/>
        <w:sz w:val="24"/>
        <w:szCs w:val="52"/>
      </w:rPr>
    </w:pPr>
    <w:r>
      <w:pict w14:anchorId="36BF6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alt="emblem_618x852" style="position:absolute;margin-left:478pt;margin-top:-4pt;width:36.25pt;height:50.4pt;z-index:251659264;visibility:visible;mso-wrap-edited:f;mso-width-percent:0;mso-height-percent:0;mso-width-percent:0;mso-height-percent:0">
          <v:imagedata r:id="rId1" o:title="emblem_618x852"/>
        </v:shape>
      </w:pict>
    </w:r>
    <w:r w:rsidR="00B25007" w:rsidRPr="00962E1C">
      <w:rPr>
        <w:b/>
        <w:sz w:val="24"/>
      </w:rPr>
      <w:t xml:space="preserve">ACTA </w:t>
    </w:r>
    <w:r w:rsidR="00B25007" w:rsidRPr="00962E1C">
      <w:rPr>
        <w:b/>
        <w:sz w:val="24"/>
        <w:szCs w:val="52"/>
      </w:rPr>
      <w:t>IMEKO</w:t>
    </w:r>
  </w:p>
  <w:p w14:paraId="1943E564" w14:textId="77777777" w:rsidR="00B25007" w:rsidRPr="009B01D7" w:rsidRDefault="00B25007" w:rsidP="009B01D7">
    <w:pPr>
      <w:pStyle w:val="HeaderDate"/>
      <w:rPr>
        <w:b/>
        <w:sz w:val="18"/>
        <w:lang w:val="pt-PT"/>
      </w:rPr>
    </w:pPr>
    <w:r w:rsidRPr="009B01D7">
      <w:rPr>
        <w:b/>
        <w:sz w:val="18"/>
        <w:lang w:val="pt-PT"/>
      </w:rPr>
      <w:t>ISSN: 2221-870X</w:t>
    </w:r>
  </w:p>
  <w:p w14:paraId="5CC3EFF0" w14:textId="14E85B4B" w:rsidR="00B25007" w:rsidRPr="003D3D75" w:rsidRDefault="00B25007" w:rsidP="009B01D7">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Pr>
        <w:i/>
        <w:sz w:val="18"/>
        <w:szCs w:val="18"/>
      </w:rPr>
      <w:t>December</w:t>
    </w:r>
    <w:r w:rsidRPr="003D3D75">
      <w:rPr>
        <w:i/>
        <w:sz w:val="18"/>
        <w:szCs w:val="18"/>
      </w:rPr>
      <w:fldChar w:fldCharType="end"/>
    </w:r>
    <w:r w:rsidRPr="003D3D75">
      <w:rPr>
        <w:i/>
        <w:sz w:val="18"/>
        <w:lang w:val="pt-PT"/>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Pr>
        <w:i/>
        <w:sz w:val="18"/>
        <w:szCs w:val="18"/>
      </w:rPr>
      <w:t>2020</w:t>
    </w:r>
    <w:r w:rsidRPr="003D3D75">
      <w:rPr>
        <w:i/>
        <w:sz w:val="18"/>
        <w:szCs w:val="18"/>
      </w:rPr>
      <w:fldChar w:fldCharType="end"/>
    </w:r>
    <w:r w:rsidRPr="003D3D75">
      <w:rPr>
        <w:i/>
        <w:sz w:val="18"/>
        <w:lang w:val="pt-PT"/>
      </w:rPr>
      <w:t xml:space="preserve">, </w:t>
    </w:r>
    <w:r w:rsidRPr="003D3D75">
      <w:rPr>
        <w:i/>
        <w:sz w:val="18"/>
        <w:szCs w:val="18"/>
        <w:lang w:val="pt-PT"/>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Pr>
        <w:i/>
        <w:sz w:val="18"/>
        <w:szCs w:val="18"/>
      </w:rPr>
      <w:t>9</w:t>
    </w:r>
    <w:r w:rsidRPr="00432465">
      <w:rPr>
        <w:i/>
        <w:sz w:val="18"/>
        <w:szCs w:val="18"/>
      </w:rPr>
      <w:fldChar w:fldCharType="end"/>
    </w:r>
    <w:r w:rsidRPr="003D3D75">
      <w:rPr>
        <w:i/>
        <w:sz w:val="18"/>
        <w:szCs w:val="18"/>
        <w:lang w:val="pt-PT"/>
      </w:rPr>
      <w:t xml:space="preserve">, Number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Pr>
        <w:i/>
        <w:sz w:val="18"/>
        <w:szCs w:val="18"/>
      </w:rPr>
      <w:t>4</w:t>
    </w:r>
    <w:r w:rsidRPr="00432465">
      <w:rPr>
        <w:i/>
        <w:sz w:val="18"/>
        <w:szCs w:val="18"/>
      </w:rPr>
      <w:fldChar w:fldCharType="end"/>
    </w:r>
    <w:r w:rsidRPr="003D3D75">
      <w:rPr>
        <w:i/>
        <w:sz w:val="18"/>
        <w:szCs w:val="18"/>
        <w:lang w:val="pt-PT"/>
      </w:rPr>
      <w:t xml:space="preserve">, </w:t>
    </w:r>
    <w:r w:rsidRPr="003D3D75">
      <w:rPr>
        <w:i/>
        <w:sz w:val="18"/>
        <w:szCs w:val="18"/>
        <w:lang w:val="pt-PT"/>
      </w:rPr>
      <w:fldChar w:fldCharType="begin"/>
    </w:r>
    <w:r w:rsidRPr="003D3D75">
      <w:rPr>
        <w:i/>
        <w:sz w:val="18"/>
        <w:szCs w:val="18"/>
        <w:lang w:val="pt-PT"/>
      </w:rPr>
      <w:instrText xml:space="preserve"> PAGE   \* MERGEFORMAT </w:instrText>
    </w:r>
    <w:r w:rsidRPr="003D3D75">
      <w:rPr>
        <w:i/>
        <w:sz w:val="18"/>
        <w:szCs w:val="18"/>
        <w:lang w:val="pt-PT"/>
      </w:rPr>
      <w:fldChar w:fldCharType="separate"/>
    </w:r>
    <w:r w:rsidRPr="003D3D75">
      <w:rPr>
        <w:i/>
        <w:noProof/>
        <w:sz w:val="18"/>
        <w:szCs w:val="18"/>
        <w:lang w:val="pt-PT"/>
      </w:rPr>
      <w:t>5</w:t>
    </w:r>
    <w:r w:rsidRPr="003D3D75">
      <w:rPr>
        <w:i/>
        <w:sz w:val="18"/>
        <w:szCs w:val="18"/>
        <w:lang w:val="pt-PT"/>
      </w:rPr>
      <w:fldChar w:fldCharType="end"/>
    </w:r>
    <w:r w:rsidRPr="003D3D75">
      <w:rPr>
        <w:i/>
        <w:sz w:val="18"/>
        <w:lang w:val="pt-PT"/>
      </w:rPr>
      <w:t xml:space="preserve"> -</w:t>
    </w:r>
    <w:r>
      <w:rPr>
        <w:i/>
        <w:sz w:val="18"/>
        <w:lang w:val="pt-PT"/>
      </w:rPr>
      <w:t xml:space="preserve"> </w:t>
    </w:r>
    <w:r w:rsidRPr="00C63E10">
      <w:rPr>
        <w:i/>
        <w:sz w:val="18"/>
        <w:lang w:val="pt-PT"/>
      </w:rPr>
      <w:fldChar w:fldCharType="begin"/>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PAGE   \* MERGEFORMAT </w:instrText>
    </w:r>
    <w:r w:rsidRPr="00C63E10">
      <w:rPr>
        <w:i/>
        <w:sz w:val="18"/>
        <w:szCs w:val="18"/>
        <w:lang w:val="pt-PT"/>
      </w:rPr>
      <w:fldChar w:fldCharType="separate"/>
    </w:r>
    <w:r w:rsidR="0023325E">
      <w:rPr>
        <w:i/>
        <w:noProof/>
        <w:sz w:val="18"/>
        <w:szCs w:val="18"/>
        <w:lang w:val="pt-PT"/>
      </w:rPr>
      <w:instrText>1</w:instrText>
    </w:r>
    <w:r w:rsidRPr="00C63E10">
      <w:rPr>
        <w:i/>
        <w:sz w:val="18"/>
        <w:szCs w:val="18"/>
        <w:lang w:val="pt-PT"/>
      </w:rPr>
      <w:fldChar w:fldCharType="end"/>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NUMPAGES   \* MERGEFORMAT </w:instrText>
    </w:r>
    <w:r w:rsidRPr="00C63E10">
      <w:rPr>
        <w:i/>
        <w:sz w:val="18"/>
        <w:szCs w:val="18"/>
        <w:lang w:val="pt-PT"/>
      </w:rPr>
      <w:fldChar w:fldCharType="separate"/>
    </w:r>
    <w:r w:rsidR="0023325E">
      <w:rPr>
        <w:i/>
        <w:noProof/>
        <w:sz w:val="18"/>
        <w:szCs w:val="18"/>
        <w:lang w:val="pt-PT"/>
      </w:rPr>
      <w:instrText>8</w:instrText>
    </w:r>
    <w:r w:rsidRPr="00C63E10">
      <w:rPr>
        <w:i/>
        <w:sz w:val="18"/>
        <w:szCs w:val="18"/>
        <w:lang w:val="pt-PT"/>
      </w:rPr>
      <w:fldChar w:fldCharType="end"/>
    </w:r>
    <w:r w:rsidRPr="00C63E10">
      <w:rPr>
        <w:i/>
        <w:sz w:val="18"/>
        <w:lang w:val="pt-PT"/>
      </w:rPr>
      <w:instrText xml:space="preserve"> - 1 \* MERGEFORMAT </w:instrText>
    </w:r>
    <w:r w:rsidRPr="00C63E10">
      <w:rPr>
        <w:i/>
        <w:sz w:val="18"/>
        <w:lang w:val="pt-PT"/>
      </w:rPr>
      <w:fldChar w:fldCharType="separate"/>
    </w:r>
    <w:r w:rsidR="0023325E">
      <w:rPr>
        <w:i/>
        <w:noProof/>
        <w:sz w:val="18"/>
        <w:lang w:val="pt-PT"/>
      </w:rPr>
      <w:t>8</w:t>
    </w:r>
    <w:r w:rsidRPr="00C63E10">
      <w:rPr>
        <w:i/>
        <w:sz w:val="18"/>
        <w:lang w:val="pt-PT"/>
      </w:rPr>
      <w:fldChar w:fldCharType="end"/>
    </w:r>
  </w:p>
  <w:p w14:paraId="63D8B662" w14:textId="77777777" w:rsidR="00B25007" w:rsidRPr="001638A5" w:rsidRDefault="00865CE1" w:rsidP="006E2692">
    <w:pPr>
      <w:pStyle w:val="HeaderSite"/>
    </w:pPr>
    <w:r>
      <w:rPr>
        <w:noProof/>
      </w:rPr>
      <w:pict w14:anchorId="370BA65C">
        <v:shapetype id="_x0000_t32" coordsize="21600,21600" o:spt="32" o:oned="t" path="m,l21600,21600e" filled="f">
          <v:path arrowok="t" fillok="f" o:connecttype="none"/>
          <o:lock v:ext="edit" shapetype="t"/>
        </v:shapetype>
        <v:shape id="AutoShape 2" o:spid="_x0000_s2050" type="#_x0000_t32" style="position:absolute;margin-left:-.1pt;margin-top:8.95pt;width:474.05pt;height:0;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" strokecolor="#002060" strokeweight="1.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E355C" w14:textId="77777777" w:rsidR="00B25007" w:rsidRDefault="00B25007"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174EE" w14:textId="77777777" w:rsidR="00B25007" w:rsidRPr="00920065" w:rsidRDefault="00B25007" w:rsidP="0092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204B4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A6B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F43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C226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06E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763B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A049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98A8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A6C2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6A4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0"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4"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6"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2"/>
  </w:num>
  <w:num w:numId="2">
    <w:abstractNumId w:val="26"/>
  </w:num>
  <w:num w:numId="3">
    <w:abstractNumId w:val="10"/>
  </w:num>
  <w:num w:numId="4">
    <w:abstractNumId w:val="14"/>
  </w:num>
  <w:num w:numId="5">
    <w:abstractNumId w:val="24"/>
  </w:num>
  <w:num w:numId="6">
    <w:abstractNumId w:val="12"/>
  </w:num>
  <w:num w:numId="7">
    <w:abstractNumId w:val="17"/>
  </w:num>
  <w:num w:numId="8">
    <w:abstractNumId w:val="27"/>
  </w:num>
  <w:num w:numId="9">
    <w:abstractNumId w:val="23"/>
  </w:num>
  <w:num w:numId="10">
    <w:abstractNumId w:val="15"/>
  </w:num>
  <w:num w:numId="11">
    <w:abstractNumId w:val="16"/>
  </w:num>
  <w:num w:numId="12">
    <w:abstractNumId w:val="21"/>
  </w:num>
  <w:num w:numId="13">
    <w:abstractNumId w:val="20"/>
  </w:num>
  <w:num w:numId="14">
    <w:abstractNumId w:val="13"/>
  </w:num>
  <w:num w:numId="15">
    <w:abstractNumId w:val="18"/>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1"/>
  </w:num>
  <w:num w:numId="19">
    <w:abstractNumId w:val="25"/>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7"/>
  </w:num>
  <w:num w:numId="31">
    <w:abstractNumId w:val="17"/>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2"/>
    <o:shapelayout v:ext="edit">
      <o:idmap v:ext="edit" data="2"/>
      <o:rules v:ext="edit">
        <o:r id="V:Rule1" type="connector" idref="#AutoShape 3"/>
        <o:r id="V:Rule2" type="connector" idref="#AutoShape 2"/>
      </o:rules>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AA"/>
    <w:rsid w:val="00000290"/>
    <w:rsid w:val="00001CC3"/>
    <w:rsid w:val="00001DFB"/>
    <w:rsid w:val="00003EC0"/>
    <w:rsid w:val="00004BE4"/>
    <w:rsid w:val="00006AE2"/>
    <w:rsid w:val="00010107"/>
    <w:rsid w:val="0001132D"/>
    <w:rsid w:val="000120C9"/>
    <w:rsid w:val="00013414"/>
    <w:rsid w:val="000135E3"/>
    <w:rsid w:val="00013ADE"/>
    <w:rsid w:val="000142C7"/>
    <w:rsid w:val="00014949"/>
    <w:rsid w:val="00016659"/>
    <w:rsid w:val="000172FD"/>
    <w:rsid w:val="000229D0"/>
    <w:rsid w:val="00023587"/>
    <w:rsid w:val="00023E1A"/>
    <w:rsid w:val="000246AD"/>
    <w:rsid w:val="00025D0F"/>
    <w:rsid w:val="00026518"/>
    <w:rsid w:val="000269AA"/>
    <w:rsid w:val="0002702C"/>
    <w:rsid w:val="000274C5"/>
    <w:rsid w:val="000279C3"/>
    <w:rsid w:val="00027A42"/>
    <w:rsid w:val="00030674"/>
    <w:rsid w:val="000308C5"/>
    <w:rsid w:val="000311B9"/>
    <w:rsid w:val="00032F2F"/>
    <w:rsid w:val="00033984"/>
    <w:rsid w:val="000340C3"/>
    <w:rsid w:val="000341C9"/>
    <w:rsid w:val="00034568"/>
    <w:rsid w:val="00034833"/>
    <w:rsid w:val="00034868"/>
    <w:rsid w:val="00037550"/>
    <w:rsid w:val="00037717"/>
    <w:rsid w:val="0004010B"/>
    <w:rsid w:val="00041803"/>
    <w:rsid w:val="00042319"/>
    <w:rsid w:val="000439FD"/>
    <w:rsid w:val="00043BD3"/>
    <w:rsid w:val="00044AB9"/>
    <w:rsid w:val="00045DC4"/>
    <w:rsid w:val="00046344"/>
    <w:rsid w:val="00047D6D"/>
    <w:rsid w:val="00047E2D"/>
    <w:rsid w:val="00047FD9"/>
    <w:rsid w:val="00050231"/>
    <w:rsid w:val="00051EF2"/>
    <w:rsid w:val="00052065"/>
    <w:rsid w:val="000520E0"/>
    <w:rsid w:val="00052376"/>
    <w:rsid w:val="00053F36"/>
    <w:rsid w:val="00054152"/>
    <w:rsid w:val="000548EE"/>
    <w:rsid w:val="0005597B"/>
    <w:rsid w:val="00055A1A"/>
    <w:rsid w:val="00055DC9"/>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485"/>
    <w:rsid w:val="00074633"/>
    <w:rsid w:val="0007539B"/>
    <w:rsid w:val="000755D8"/>
    <w:rsid w:val="00075CAB"/>
    <w:rsid w:val="00076859"/>
    <w:rsid w:val="00076D69"/>
    <w:rsid w:val="000771F0"/>
    <w:rsid w:val="0007720A"/>
    <w:rsid w:val="000772D6"/>
    <w:rsid w:val="000774EB"/>
    <w:rsid w:val="000802BD"/>
    <w:rsid w:val="0008103F"/>
    <w:rsid w:val="000838BD"/>
    <w:rsid w:val="00084338"/>
    <w:rsid w:val="0008457B"/>
    <w:rsid w:val="0008478A"/>
    <w:rsid w:val="000847B6"/>
    <w:rsid w:val="0008561E"/>
    <w:rsid w:val="00086AB4"/>
    <w:rsid w:val="00086C65"/>
    <w:rsid w:val="00087E02"/>
    <w:rsid w:val="0009060F"/>
    <w:rsid w:val="000918EC"/>
    <w:rsid w:val="00093235"/>
    <w:rsid w:val="00094964"/>
    <w:rsid w:val="000951A1"/>
    <w:rsid w:val="000961F7"/>
    <w:rsid w:val="000A13EC"/>
    <w:rsid w:val="000A30CA"/>
    <w:rsid w:val="000A3C79"/>
    <w:rsid w:val="000A3D59"/>
    <w:rsid w:val="000A521B"/>
    <w:rsid w:val="000A57F4"/>
    <w:rsid w:val="000A61B0"/>
    <w:rsid w:val="000A6C09"/>
    <w:rsid w:val="000A6F50"/>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3CE"/>
    <w:rsid w:val="000F54A9"/>
    <w:rsid w:val="000F6067"/>
    <w:rsid w:val="000F773B"/>
    <w:rsid w:val="000F7B87"/>
    <w:rsid w:val="000F7BE7"/>
    <w:rsid w:val="00100F6F"/>
    <w:rsid w:val="0010158C"/>
    <w:rsid w:val="00101BF9"/>
    <w:rsid w:val="00101FBF"/>
    <w:rsid w:val="00104B9D"/>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889"/>
    <w:rsid w:val="00117C2D"/>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AD6"/>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2B29"/>
    <w:rsid w:val="00153753"/>
    <w:rsid w:val="00153BF2"/>
    <w:rsid w:val="001547B6"/>
    <w:rsid w:val="00155F55"/>
    <w:rsid w:val="001600F4"/>
    <w:rsid w:val="00160222"/>
    <w:rsid w:val="001611EE"/>
    <w:rsid w:val="00162EBF"/>
    <w:rsid w:val="0016339D"/>
    <w:rsid w:val="001637FF"/>
    <w:rsid w:val="001638A5"/>
    <w:rsid w:val="00163D09"/>
    <w:rsid w:val="001642A3"/>
    <w:rsid w:val="00164B5E"/>
    <w:rsid w:val="00165C9A"/>
    <w:rsid w:val="0016728B"/>
    <w:rsid w:val="001709C4"/>
    <w:rsid w:val="00170C13"/>
    <w:rsid w:val="00170C62"/>
    <w:rsid w:val="00172726"/>
    <w:rsid w:val="00173685"/>
    <w:rsid w:val="00174C09"/>
    <w:rsid w:val="00174CB7"/>
    <w:rsid w:val="00176403"/>
    <w:rsid w:val="001777A9"/>
    <w:rsid w:val="001800A1"/>
    <w:rsid w:val="001806BC"/>
    <w:rsid w:val="00180ADD"/>
    <w:rsid w:val="0018144D"/>
    <w:rsid w:val="00181484"/>
    <w:rsid w:val="00181601"/>
    <w:rsid w:val="00182B2D"/>
    <w:rsid w:val="00183C27"/>
    <w:rsid w:val="00183FA3"/>
    <w:rsid w:val="00185A63"/>
    <w:rsid w:val="00186618"/>
    <w:rsid w:val="00187E53"/>
    <w:rsid w:val="00187F92"/>
    <w:rsid w:val="001900F3"/>
    <w:rsid w:val="001915A6"/>
    <w:rsid w:val="00191A01"/>
    <w:rsid w:val="00191E3A"/>
    <w:rsid w:val="001929C1"/>
    <w:rsid w:val="0019349A"/>
    <w:rsid w:val="001954EF"/>
    <w:rsid w:val="00195773"/>
    <w:rsid w:val="00196A06"/>
    <w:rsid w:val="001974FD"/>
    <w:rsid w:val="00197F92"/>
    <w:rsid w:val="001A17CE"/>
    <w:rsid w:val="001A240D"/>
    <w:rsid w:val="001A2B4C"/>
    <w:rsid w:val="001A3BCF"/>
    <w:rsid w:val="001A4376"/>
    <w:rsid w:val="001A4F7F"/>
    <w:rsid w:val="001A5AE0"/>
    <w:rsid w:val="001A60DA"/>
    <w:rsid w:val="001A6722"/>
    <w:rsid w:val="001B0F03"/>
    <w:rsid w:val="001B16ED"/>
    <w:rsid w:val="001B2701"/>
    <w:rsid w:val="001B2C08"/>
    <w:rsid w:val="001B40E6"/>
    <w:rsid w:val="001B42BF"/>
    <w:rsid w:val="001B4811"/>
    <w:rsid w:val="001B4F8C"/>
    <w:rsid w:val="001B54B4"/>
    <w:rsid w:val="001B6C74"/>
    <w:rsid w:val="001C01F3"/>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0A4C"/>
    <w:rsid w:val="001F2156"/>
    <w:rsid w:val="001F3243"/>
    <w:rsid w:val="001F358C"/>
    <w:rsid w:val="001F4FD0"/>
    <w:rsid w:val="001F5820"/>
    <w:rsid w:val="001F727F"/>
    <w:rsid w:val="001F75F9"/>
    <w:rsid w:val="00200083"/>
    <w:rsid w:val="00201AB5"/>
    <w:rsid w:val="00202427"/>
    <w:rsid w:val="002031D2"/>
    <w:rsid w:val="002041C2"/>
    <w:rsid w:val="0020466C"/>
    <w:rsid w:val="002057B9"/>
    <w:rsid w:val="002057DD"/>
    <w:rsid w:val="00205ABA"/>
    <w:rsid w:val="00205C76"/>
    <w:rsid w:val="00205D23"/>
    <w:rsid w:val="00207BFA"/>
    <w:rsid w:val="00207C02"/>
    <w:rsid w:val="0021083A"/>
    <w:rsid w:val="00210AC8"/>
    <w:rsid w:val="00211393"/>
    <w:rsid w:val="00212A7E"/>
    <w:rsid w:val="002133DB"/>
    <w:rsid w:val="00214484"/>
    <w:rsid w:val="00214658"/>
    <w:rsid w:val="00215A06"/>
    <w:rsid w:val="00216085"/>
    <w:rsid w:val="00216167"/>
    <w:rsid w:val="0021633B"/>
    <w:rsid w:val="0021691C"/>
    <w:rsid w:val="002169C9"/>
    <w:rsid w:val="0021739C"/>
    <w:rsid w:val="00217536"/>
    <w:rsid w:val="002178D0"/>
    <w:rsid w:val="00220721"/>
    <w:rsid w:val="00220928"/>
    <w:rsid w:val="00220BE9"/>
    <w:rsid w:val="00222485"/>
    <w:rsid w:val="0022278A"/>
    <w:rsid w:val="00222965"/>
    <w:rsid w:val="00222B00"/>
    <w:rsid w:val="002241BB"/>
    <w:rsid w:val="0022519F"/>
    <w:rsid w:val="002259F9"/>
    <w:rsid w:val="00225D9B"/>
    <w:rsid w:val="00226FAB"/>
    <w:rsid w:val="00227471"/>
    <w:rsid w:val="0023147F"/>
    <w:rsid w:val="0023183A"/>
    <w:rsid w:val="00231F76"/>
    <w:rsid w:val="002331C1"/>
    <w:rsid w:val="0023325E"/>
    <w:rsid w:val="002338D2"/>
    <w:rsid w:val="0023436F"/>
    <w:rsid w:val="00235B97"/>
    <w:rsid w:val="00235D98"/>
    <w:rsid w:val="00235DDB"/>
    <w:rsid w:val="00235FEC"/>
    <w:rsid w:val="002361F0"/>
    <w:rsid w:val="002372D0"/>
    <w:rsid w:val="00237EFB"/>
    <w:rsid w:val="00240B77"/>
    <w:rsid w:val="002416CF"/>
    <w:rsid w:val="0024244C"/>
    <w:rsid w:val="0024351F"/>
    <w:rsid w:val="00244037"/>
    <w:rsid w:val="0024493E"/>
    <w:rsid w:val="00245CB4"/>
    <w:rsid w:val="00245E13"/>
    <w:rsid w:val="0024602D"/>
    <w:rsid w:val="002502B8"/>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4948"/>
    <w:rsid w:val="00266161"/>
    <w:rsid w:val="00267379"/>
    <w:rsid w:val="00270527"/>
    <w:rsid w:val="00270A9B"/>
    <w:rsid w:val="00272061"/>
    <w:rsid w:val="0027332C"/>
    <w:rsid w:val="00274781"/>
    <w:rsid w:val="002764C1"/>
    <w:rsid w:val="002771A1"/>
    <w:rsid w:val="0028078C"/>
    <w:rsid w:val="00280A68"/>
    <w:rsid w:val="00280C6B"/>
    <w:rsid w:val="00282FD4"/>
    <w:rsid w:val="00283043"/>
    <w:rsid w:val="00284212"/>
    <w:rsid w:val="002862D6"/>
    <w:rsid w:val="002923BD"/>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A0"/>
    <w:rsid w:val="002A2283"/>
    <w:rsid w:val="002A2BFE"/>
    <w:rsid w:val="002A3D16"/>
    <w:rsid w:val="002A51F0"/>
    <w:rsid w:val="002A5A62"/>
    <w:rsid w:val="002A5B43"/>
    <w:rsid w:val="002A6340"/>
    <w:rsid w:val="002A730E"/>
    <w:rsid w:val="002A7FE0"/>
    <w:rsid w:val="002B04FC"/>
    <w:rsid w:val="002B0D1C"/>
    <w:rsid w:val="002B130A"/>
    <w:rsid w:val="002B181B"/>
    <w:rsid w:val="002B2136"/>
    <w:rsid w:val="002B2D24"/>
    <w:rsid w:val="002B2DDE"/>
    <w:rsid w:val="002B38D9"/>
    <w:rsid w:val="002B516E"/>
    <w:rsid w:val="002B529D"/>
    <w:rsid w:val="002B54BF"/>
    <w:rsid w:val="002B5EBA"/>
    <w:rsid w:val="002B7DBC"/>
    <w:rsid w:val="002C0334"/>
    <w:rsid w:val="002C0F4B"/>
    <w:rsid w:val="002C2143"/>
    <w:rsid w:val="002C2796"/>
    <w:rsid w:val="002C3029"/>
    <w:rsid w:val="002C329A"/>
    <w:rsid w:val="002C35E1"/>
    <w:rsid w:val="002C36D0"/>
    <w:rsid w:val="002C3CA5"/>
    <w:rsid w:val="002C56DA"/>
    <w:rsid w:val="002C5A7D"/>
    <w:rsid w:val="002C6349"/>
    <w:rsid w:val="002C656C"/>
    <w:rsid w:val="002C6C37"/>
    <w:rsid w:val="002C7B2D"/>
    <w:rsid w:val="002D035C"/>
    <w:rsid w:val="002D07AB"/>
    <w:rsid w:val="002D090B"/>
    <w:rsid w:val="002D0F1A"/>
    <w:rsid w:val="002D117B"/>
    <w:rsid w:val="002D26C9"/>
    <w:rsid w:val="002D3535"/>
    <w:rsid w:val="002D3E3A"/>
    <w:rsid w:val="002D4831"/>
    <w:rsid w:val="002D4DCC"/>
    <w:rsid w:val="002D5078"/>
    <w:rsid w:val="002D5373"/>
    <w:rsid w:val="002D64B1"/>
    <w:rsid w:val="002D6615"/>
    <w:rsid w:val="002D79B0"/>
    <w:rsid w:val="002E0BB1"/>
    <w:rsid w:val="002E2059"/>
    <w:rsid w:val="002E25AE"/>
    <w:rsid w:val="002E265C"/>
    <w:rsid w:val="002E3969"/>
    <w:rsid w:val="002E39AB"/>
    <w:rsid w:val="002E3E58"/>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2F77B5"/>
    <w:rsid w:val="003005D7"/>
    <w:rsid w:val="00300E50"/>
    <w:rsid w:val="00300EF8"/>
    <w:rsid w:val="003013DE"/>
    <w:rsid w:val="00301E3B"/>
    <w:rsid w:val="00302704"/>
    <w:rsid w:val="00302AD5"/>
    <w:rsid w:val="0030312D"/>
    <w:rsid w:val="0030393C"/>
    <w:rsid w:val="00304242"/>
    <w:rsid w:val="00304826"/>
    <w:rsid w:val="00304962"/>
    <w:rsid w:val="00304B22"/>
    <w:rsid w:val="00305A92"/>
    <w:rsid w:val="003061EF"/>
    <w:rsid w:val="00307577"/>
    <w:rsid w:val="0030788B"/>
    <w:rsid w:val="003100F8"/>
    <w:rsid w:val="003105C5"/>
    <w:rsid w:val="003108E2"/>
    <w:rsid w:val="00311EEB"/>
    <w:rsid w:val="00312087"/>
    <w:rsid w:val="0031457A"/>
    <w:rsid w:val="003147BA"/>
    <w:rsid w:val="00314BE0"/>
    <w:rsid w:val="00315C5B"/>
    <w:rsid w:val="00317636"/>
    <w:rsid w:val="003177F6"/>
    <w:rsid w:val="00320C95"/>
    <w:rsid w:val="0032125A"/>
    <w:rsid w:val="00321BA1"/>
    <w:rsid w:val="00322042"/>
    <w:rsid w:val="0032258B"/>
    <w:rsid w:val="0032275A"/>
    <w:rsid w:val="003230B2"/>
    <w:rsid w:val="00323B92"/>
    <w:rsid w:val="00324A6F"/>
    <w:rsid w:val="003260A3"/>
    <w:rsid w:val="0032692E"/>
    <w:rsid w:val="003275AD"/>
    <w:rsid w:val="00327712"/>
    <w:rsid w:val="003278DF"/>
    <w:rsid w:val="00327F00"/>
    <w:rsid w:val="00330227"/>
    <w:rsid w:val="0033116F"/>
    <w:rsid w:val="0033157C"/>
    <w:rsid w:val="003317B9"/>
    <w:rsid w:val="003322EC"/>
    <w:rsid w:val="00332347"/>
    <w:rsid w:val="00332AF8"/>
    <w:rsid w:val="00332F97"/>
    <w:rsid w:val="0033386E"/>
    <w:rsid w:val="003350C2"/>
    <w:rsid w:val="00335111"/>
    <w:rsid w:val="00336724"/>
    <w:rsid w:val="00336A8C"/>
    <w:rsid w:val="0033723D"/>
    <w:rsid w:val="00340C7C"/>
    <w:rsid w:val="00342F15"/>
    <w:rsid w:val="00343DD2"/>
    <w:rsid w:val="003454A8"/>
    <w:rsid w:val="00345E44"/>
    <w:rsid w:val="00346BEA"/>
    <w:rsid w:val="00346E56"/>
    <w:rsid w:val="003476F8"/>
    <w:rsid w:val="00347BEC"/>
    <w:rsid w:val="0035006F"/>
    <w:rsid w:val="0035042F"/>
    <w:rsid w:val="0035051D"/>
    <w:rsid w:val="00351A6C"/>
    <w:rsid w:val="00352607"/>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0545"/>
    <w:rsid w:val="00373013"/>
    <w:rsid w:val="00373773"/>
    <w:rsid w:val="003745B5"/>
    <w:rsid w:val="003746E4"/>
    <w:rsid w:val="00375D39"/>
    <w:rsid w:val="003767F3"/>
    <w:rsid w:val="00376C35"/>
    <w:rsid w:val="0037783B"/>
    <w:rsid w:val="00377DC5"/>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529C"/>
    <w:rsid w:val="00396452"/>
    <w:rsid w:val="003A1C32"/>
    <w:rsid w:val="003A1C57"/>
    <w:rsid w:val="003A1D75"/>
    <w:rsid w:val="003A22C0"/>
    <w:rsid w:val="003A283A"/>
    <w:rsid w:val="003A3620"/>
    <w:rsid w:val="003A36CA"/>
    <w:rsid w:val="003A395A"/>
    <w:rsid w:val="003A3D34"/>
    <w:rsid w:val="003A515B"/>
    <w:rsid w:val="003A5919"/>
    <w:rsid w:val="003A61DA"/>
    <w:rsid w:val="003A6374"/>
    <w:rsid w:val="003A7B3B"/>
    <w:rsid w:val="003B02B0"/>
    <w:rsid w:val="003B0D45"/>
    <w:rsid w:val="003B1A35"/>
    <w:rsid w:val="003B1A66"/>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0CA"/>
    <w:rsid w:val="003C4133"/>
    <w:rsid w:val="003C41CD"/>
    <w:rsid w:val="003C4DE2"/>
    <w:rsid w:val="003C6924"/>
    <w:rsid w:val="003C71F7"/>
    <w:rsid w:val="003D0A42"/>
    <w:rsid w:val="003D1947"/>
    <w:rsid w:val="003D1ABD"/>
    <w:rsid w:val="003D4A24"/>
    <w:rsid w:val="003D5683"/>
    <w:rsid w:val="003D6881"/>
    <w:rsid w:val="003D69C0"/>
    <w:rsid w:val="003D6D6B"/>
    <w:rsid w:val="003D720D"/>
    <w:rsid w:val="003D7B31"/>
    <w:rsid w:val="003E109F"/>
    <w:rsid w:val="003E1D0F"/>
    <w:rsid w:val="003E1D27"/>
    <w:rsid w:val="003E1E22"/>
    <w:rsid w:val="003E26F8"/>
    <w:rsid w:val="003E35D3"/>
    <w:rsid w:val="003E632E"/>
    <w:rsid w:val="003E6F71"/>
    <w:rsid w:val="003F0502"/>
    <w:rsid w:val="003F0841"/>
    <w:rsid w:val="003F0B69"/>
    <w:rsid w:val="003F1E47"/>
    <w:rsid w:val="003F1F9A"/>
    <w:rsid w:val="003F2E0C"/>
    <w:rsid w:val="003F4FA5"/>
    <w:rsid w:val="003F720F"/>
    <w:rsid w:val="003F73F3"/>
    <w:rsid w:val="003F79A1"/>
    <w:rsid w:val="00401273"/>
    <w:rsid w:val="0040236B"/>
    <w:rsid w:val="0040240B"/>
    <w:rsid w:val="004024BF"/>
    <w:rsid w:val="0040255F"/>
    <w:rsid w:val="004031BF"/>
    <w:rsid w:val="004036F5"/>
    <w:rsid w:val="00404396"/>
    <w:rsid w:val="004045A9"/>
    <w:rsid w:val="004052E0"/>
    <w:rsid w:val="00406696"/>
    <w:rsid w:val="0040767C"/>
    <w:rsid w:val="00407922"/>
    <w:rsid w:val="00407BA9"/>
    <w:rsid w:val="00410DE0"/>
    <w:rsid w:val="00410E9C"/>
    <w:rsid w:val="0041117B"/>
    <w:rsid w:val="004113EB"/>
    <w:rsid w:val="00411410"/>
    <w:rsid w:val="00413E14"/>
    <w:rsid w:val="00414145"/>
    <w:rsid w:val="004148F4"/>
    <w:rsid w:val="004156D6"/>
    <w:rsid w:val="00416DB5"/>
    <w:rsid w:val="0041779C"/>
    <w:rsid w:val="00421112"/>
    <w:rsid w:val="00421EAB"/>
    <w:rsid w:val="00422172"/>
    <w:rsid w:val="00422363"/>
    <w:rsid w:val="004255B5"/>
    <w:rsid w:val="0042567A"/>
    <w:rsid w:val="00425900"/>
    <w:rsid w:val="00426A7B"/>
    <w:rsid w:val="0043008B"/>
    <w:rsid w:val="00431213"/>
    <w:rsid w:val="00431D7D"/>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9A8"/>
    <w:rsid w:val="00454BDC"/>
    <w:rsid w:val="00455059"/>
    <w:rsid w:val="0045628D"/>
    <w:rsid w:val="00456568"/>
    <w:rsid w:val="0045699F"/>
    <w:rsid w:val="0045795D"/>
    <w:rsid w:val="00457B10"/>
    <w:rsid w:val="00457E53"/>
    <w:rsid w:val="00460068"/>
    <w:rsid w:val="00460774"/>
    <w:rsid w:val="00461F28"/>
    <w:rsid w:val="00463257"/>
    <w:rsid w:val="00463C39"/>
    <w:rsid w:val="004662AB"/>
    <w:rsid w:val="004662B4"/>
    <w:rsid w:val="0046739F"/>
    <w:rsid w:val="00470B73"/>
    <w:rsid w:val="00470DC3"/>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532F"/>
    <w:rsid w:val="00486774"/>
    <w:rsid w:val="00486A51"/>
    <w:rsid w:val="00487054"/>
    <w:rsid w:val="0048735D"/>
    <w:rsid w:val="004905C9"/>
    <w:rsid w:val="00492A3C"/>
    <w:rsid w:val="00493348"/>
    <w:rsid w:val="00494104"/>
    <w:rsid w:val="004958A3"/>
    <w:rsid w:val="00495FE2"/>
    <w:rsid w:val="00496421"/>
    <w:rsid w:val="00496C65"/>
    <w:rsid w:val="00496E0B"/>
    <w:rsid w:val="004973D2"/>
    <w:rsid w:val="004A0700"/>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2E42"/>
    <w:rsid w:val="004B645C"/>
    <w:rsid w:val="004B72CB"/>
    <w:rsid w:val="004C004D"/>
    <w:rsid w:val="004C00BA"/>
    <w:rsid w:val="004C0606"/>
    <w:rsid w:val="004C1D8E"/>
    <w:rsid w:val="004C2D43"/>
    <w:rsid w:val="004C3322"/>
    <w:rsid w:val="004C5196"/>
    <w:rsid w:val="004C606F"/>
    <w:rsid w:val="004C6789"/>
    <w:rsid w:val="004C71E2"/>
    <w:rsid w:val="004C751D"/>
    <w:rsid w:val="004C75D0"/>
    <w:rsid w:val="004C7D34"/>
    <w:rsid w:val="004C7D83"/>
    <w:rsid w:val="004D0293"/>
    <w:rsid w:val="004D0460"/>
    <w:rsid w:val="004D046D"/>
    <w:rsid w:val="004D0672"/>
    <w:rsid w:val="004D0F81"/>
    <w:rsid w:val="004D1071"/>
    <w:rsid w:val="004D1B59"/>
    <w:rsid w:val="004D32B3"/>
    <w:rsid w:val="004D4592"/>
    <w:rsid w:val="004D4D9B"/>
    <w:rsid w:val="004D5FD1"/>
    <w:rsid w:val="004D62F6"/>
    <w:rsid w:val="004D64A0"/>
    <w:rsid w:val="004D73EF"/>
    <w:rsid w:val="004E09CA"/>
    <w:rsid w:val="004E2869"/>
    <w:rsid w:val="004E31A9"/>
    <w:rsid w:val="004E34C6"/>
    <w:rsid w:val="004E4866"/>
    <w:rsid w:val="004E6E3F"/>
    <w:rsid w:val="004E73C2"/>
    <w:rsid w:val="004E7A10"/>
    <w:rsid w:val="004F169E"/>
    <w:rsid w:val="004F1DE2"/>
    <w:rsid w:val="004F23A6"/>
    <w:rsid w:val="004F2995"/>
    <w:rsid w:val="004F2AF4"/>
    <w:rsid w:val="004F2FF0"/>
    <w:rsid w:val="004F335F"/>
    <w:rsid w:val="004F3967"/>
    <w:rsid w:val="004F3D85"/>
    <w:rsid w:val="004F3E31"/>
    <w:rsid w:val="004F3E4D"/>
    <w:rsid w:val="004F3E8F"/>
    <w:rsid w:val="004F4AF8"/>
    <w:rsid w:val="004F4C6F"/>
    <w:rsid w:val="004F735D"/>
    <w:rsid w:val="004F7745"/>
    <w:rsid w:val="004F792D"/>
    <w:rsid w:val="00500EDF"/>
    <w:rsid w:val="005055D3"/>
    <w:rsid w:val="00505FA9"/>
    <w:rsid w:val="005104F5"/>
    <w:rsid w:val="005107FE"/>
    <w:rsid w:val="00512318"/>
    <w:rsid w:val="005129F2"/>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491F"/>
    <w:rsid w:val="005353BD"/>
    <w:rsid w:val="00537A3B"/>
    <w:rsid w:val="00540EA4"/>
    <w:rsid w:val="00542406"/>
    <w:rsid w:val="005426DB"/>
    <w:rsid w:val="00543384"/>
    <w:rsid w:val="00543405"/>
    <w:rsid w:val="00543FE6"/>
    <w:rsid w:val="00544288"/>
    <w:rsid w:val="0054517F"/>
    <w:rsid w:val="005451EE"/>
    <w:rsid w:val="005452AE"/>
    <w:rsid w:val="0054584C"/>
    <w:rsid w:val="00546FA2"/>
    <w:rsid w:val="00551418"/>
    <w:rsid w:val="005519BE"/>
    <w:rsid w:val="00553DC4"/>
    <w:rsid w:val="005546C3"/>
    <w:rsid w:val="00554C8E"/>
    <w:rsid w:val="00555796"/>
    <w:rsid w:val="00555AA9"/>
    <w:rsid w:val="00555C67"/>
    <w:rsid w:val="00555FAC"/>
    <w:rsid w:val="00556F2E"/>
    <w:rsid w:val="00557DD7"/>
    <w:rsid w:val="00557DFC"/>
    <w:rsid w:val="00557E23"/>
    <w:rsid w:val="00560245"/>
    <w:rsid w:val="00561305"/>
    <w:rsid w:val="00561558"/>
    <w:rsid w:val="0056291B"/>
    <w:rsid w:val="0056390E"/>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66AA"/>
    <w:rsid w:val="005771C4"/>
    <w:rsid w:val="005774FD"/>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A0365"/>
    <w:rsid w:val="005A055B"/>
    <w:rsid w:val="005A0C37"/>
    <w:rsid w:val="005A0CAB"/>
    <w:rsid w:val="005A1E28"/>
    <w:rsid w:val="005A1EAC"/>
    <w:rsid w:val="005A2708"/>
    <w:rsid w:val="005A3528"/>
    <w:rsid w:val="005A3778"/>
    <w:rsid w:val="005A39D7"/>
    <w:rsid w:val="005A4032"/>
    <w:rsid w:val="005A7F19"/>
    <w:rsid w:val="005B28EA"/>
    <w:rsid w:val="005B2BB7"/>
    <w:rsid w:val="005B374B"/>
    <w:rsid w:val="005B37DE"/>
    <w:rsid w:val="005B4DEC"/>
    <w:rsid w:val="005B588B"/>
    <w:rsid w:val="005B6D81"/>
    <w:rsid w:val="005C0258"/>
    <w:rsid w:val="005C0371"/>
    <w:rsid w:val="005C076B"/>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4D3F"/>
    <w:rsid w:val="005E559F"/>
    <w:rsid w:val="005E6EF4"/>
    <w:rsid w:val="005E6FBC"/>
    <w:rsid w:val="005E7377"/>
    <w:rsid w:val="005F0978"/>
    <w:rsid w:val="005F1B27"/>
    <w:rsid w:val="005F306F"/>
    <w:rsid w:val="005F3263"/>
    <w:rsid w:val="005F5A99"/>
    <w:rsid w:val="005F7544"/>
    <w:rsid w:val="005F75D6"/>
    <w:rsid w:val="005F778B"/>
    <w:rsid w:val="005F7916"/>
    <w:rsid w:val="006006B5"/>
    <w:rsid w:val="006008C3"/>
    <w:rsid w:val="0060279C"/>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696"/>
    <w:rsid w:val="00621B2E"/>
    <w:rsid w:val="0062249A"/>
    <w:rsid w:val="00622BB2"/>
    <w:rsid w:val="00622C45"/>
    <w:rsid w:val="00622D38"/>
    <w:rsid w:val="006240B0"/>
    <w:rsid w:val="0062532E"/>
    <w:rsid w:val="00626241"/>
    <w:rsid w:val="00626603"/>
    <w:rsid w:val="00626650"/>
    <w:rsid w:val="00630F3F"/>
    <w:rsid w:val="00631472"/>
    <w:rsid w:val="00631553"/>
    <w:rsid w:val="00631A22"/>
    <w:rsid w:val="00631B6D"/>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474FD"/>
    <w:rsid w:val="00650C8C"/>
    <w:rsid w:val="00650CCC"/>
    <w:rsid w:val="0065116C"/>
    <w:rsid w:val="006520CF"/>
    <w:rsid w:val="00652AC4"/>
    <w:rsid w:val="00653061"/>
    <w:rsid w:val="00653B4C"/>
    <w:rsid w:val="00653D63"/>
    <w:rsid w:val="00654A63"/>
    <w:rsid w:val="00655ADC"/>
    <w:rsid w:val="00655F7A"/>
    <w:rsid w:val="00657439"/>
    <w:rsid w:val="006575B5"/>
    <w:rsid w:val="00657C22"/>
    <w:rsid w:val="0066023D"/>
    <w:rsid w:val="00661AE3"/>
    <w:rsid w:val="006646E5"/>
    <w:rsid w:val="00665051"/>
    <w:rsid w:val="00665FA5"/>
    <w:rsid w:val="00666A75"/>
    <w:rsid w:val="00670552"/>
    <w:rsid w:val="00670DB3"/>
    <w:rsid w:val="0067121C"/>
    <w:rsid w:val="00671D02"/>
    <w:rsid w:val="00672BDE"/>
    <w:rsid w:val="00672C98"/>
    <w:rsid w:val="006736E3"/>
    <w:rsid w:val="0067389A"/>
    <w:rsid w:val="0067399E"/>
    <w:rsid w:val="00674114"/>
    <w:rsid w:val="00676F36"/>
    <w:rsid w:val="00677A5E"/>
    <w:rsid w:val="00680680"/>
    <w:rsid w:val="006816AF"/>
    <w:rsid w:val="00681D66"/>
    <w:rsid w:val="00683695"/>
    <w:rsid w:val="00683B1F"/>
    <w:rsid w:val="0068434F"/>
    <w:rsid w:val="00685263"/>
    <w:rsid w:val="0068552E"/>
    <w:rsid w:val="006856E7"/>
    <w:rsid w:val="00686543"/>
    <w:rsid w:val="00686CB1"/>
    <w:rsid w:val="00690871"/>
    <w:rsid w:val="00690A07"/>
    <w:rsid w:val="00691918"/>
    <w:rsid w:val="00692855"/>
    <w:rsid w:val="00692E86"/>
    <w:rsid w:val="006936F6"/>
    <w:rsid w:val="00693E3D"/>
    <w:rsid w:val="0069694F"/>
    <w:rsid w:val="006977C4"/>
    <w:rsid w:val="006A0D5F"/>
    <w:rsid w:val="006A0EF0"/>
    <w:rsid w:val="006A236F"/>
    <w:rsid w:val="006A2A2A"/>
    <w:rsid w:val="006A2C94"/>
    <w:rsid w:val="006A2E23"/>
    <w:rsid w:val="006A33A1"/>
    <w:rsid w:val="006A5D7A"/>
    <w:rsid w:val="006A608D"/>
    <w:rsid w:val="006B019B"/>
    <w:rsid w:val="006B1499"/>
    <w:rsid w:val="006B18C8"/>
    <w:rsid w:val="006B2024"/>
    <w:rsid w:val="006B2C9C"/>
    <w:rsid w:val="006B5817"/>
    <w:rsid w:val="006B5B71"/>
    <w:rsid w:val="006B6A89"/>
    <w:rsid w:val="006B7B7D"/>
    <w:rsid w:val="006C1512"/>
    <w:rsid w:val="006C21FC"/>
    <w:rsid w:val="006C22C2"/>
    <w:rsid w:val="006C32A1"/>
    <w:rsid w:val="006C4D47"/>
    <w:rsid w:val="006C5672"/>
    <w:rsid w:val="006C6886"/>
    <w:rsid w:val="006C6914"/>
    <w:rsid w:val="006C7A1A"/>
    <w:rsid w:val="006D0666"/>
    <w:rsid w:val="006D17F9"/>
    <w:rsid w:val="006D32A1"/>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DA7"/>
    <w:rsid w:val="007057C2"/>
    <w:rsid w:val="007059C2"/>
    <w:rsid w:val="00706763"/>
    <w:rsid w:val="00706C9F"/>
    <w:rsid w:val="00706E2B"/>
    <w:rsid w:val="00707653"/>
    <w:rsid w:val="0070766C"/>
    <w:rsid w:val="00710F50"/>
    <w:rsid w:val="00711093"/>
    <w:rsid w:val="00711AD1"/>
    <w:rsid w:val="00712071"/>
    <w:rsid w:val="007125BF"/>
    <w:rsid w:val="00712DCE"/>
    <w:rsid w:val="00713EF0"/>
    <w:rsid w:val="007149BE"/>
    <w:rsid w:val="00714F59"/>
    <w:rsid w:val="007155C6"/>
    <w:rsid w:val="00715891"/>
    <w:rsid w:val="00715897"/>
    <w:rsid w:val="00715D73"/>
    <w:rsid w:val="0071787B"/>
    <w:rsid w:val="00717AA8"/>
    <w:rsid w:val="00720921"/>
    <w:rsid w:val="00720B0E"/>
    <w:rsid w:val="0072111B"/>
    <w:rsid w:val="007212DA"/>
    <w:rsid w:val="007217DA"/>
    <w:rsid w:val="00723BBA"/>
    <w:rsid w:val="00724394"/>
    <w:rsid w:val="00726B00"/>
    <w:rsid w:val="00727691"/>
    <w:rsid w:val="0072774A"/>
    <w:rsid w:val="0073100F"/>
    <w:rsid w:val="00733536"/>
    <w:rsid w:val="00733DEF"/>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3E93"/>
    <w:rsid w:val="00744A8B"/>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307"/>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3B39"/>
    <w:rsid w:val="00794453"/>
    <w:rsid w:val="00794506"/>
    <w:rsid w:val="00794ED5"/>
    <w:rsid w:val="00795A77"/>
    <w:rsid w:val="00795DD1"/>
    <w:rsid w:val="0079688C"/>
    <w:rsid w:val="0079739F"/>
    <w:rsid w:val="0079764C"/>
    <w:rsid w:val="007A0998"/>
    <w:rsid w:val="007A0B31"/>
    <w:rsid w:val="007A153C"/>
    <w:rsid w:val="007A1E1E"/>
    <w:rsid w:val="007A4925"/>
    <w:rsid w:val="007A4C2F"/>
    <w:rsid w:val="007A5386"/>
    <w:rsid w:val="007A55B4"/>
    <w:rsid w:val="007A55BF"/>
    <w:rsid w:val="007A5966"/>
    <w:rsid w:val="007A68AE"/>
    <w:rsid w:val="007A7583"/>
    <w:rsid w:val="007B1350"/>
    <w:rsid w:val="007B19BE"/>
    <w:rsid w:val="007B1DA7"/>
    <w:rsid w:val="007B2127"/>
    <w:rsid w:val="007B2341"/>
    <w:rsid w:val="007B2813"/>
    <w:rsid w:val="007B2848"/>
    <w:rsid w:val="007B348D"/>
    <w:rsid w:val="007B4225"/>
    <w:rsid w:val="007B4A7C"/>
    <w:rsid w:val="007B53C4"/>
    <w:rsid w:val="007B5CF9"/>
    <w:rsid w:val="007B5E06"/>
    <w:rsid w:val="007B626E"/>
    <w:rsid w:val="007B72E2"/>
    <w:rsid w:val="007B7B3D"/>
    <w:rsid w:val="007C01C2"/>
    <w:rsid w:val="007C1111"/>
    <w:rsid w:val="007C12C8"/>
    <w:rsid w:val="007C1537"/>
    <w:rsid w:val="007C1BD2"/>
    <w:rsid w:val="007C262F"/>
    <w:rsid w:val="007C2EFC"/>
    <w:rsid w:val="007C378B"/>
    <w:rsid w:val="007C39CE"/>
    <w:rsid w:val="007C408F"/>
    <w:rsid w:val="007C41A0"/>
    <w:rsid w:val="007C4367"/>
    <w:rsid w:val="007C4B96"/>
    <w:rsid w:val="007C4F8A"/>
    <w:rsid w:val="007C5409"/>
    <w:rsid w:val="007C6478"/>
    <w:rsid w:val="007C703E"/>
    <w:rsid w:val="007C71F6"/>
    <w:rsid w:val="007C77CE"/>
    <w:rsid w:val="007C7953"/>
    <w:rsid w:val="007C799D"/>
    <w:rsid w:val="007D0F01"/>
    <w:rsid w:val="007D0F2F"/>
    <w:rsid w:val="007D0FAA"/>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D7D52"/>
    <w:rsid w:val="007E111B"/>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2114"/>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4EBC"/>
    <w:rsid w:val="00816C08"/>
    <w:rsid w:val="00817A1A"/>
    <w:rsid w:val="00820D81"/>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1E1E"/>
    <w:rsid w:val="00842046"/>
    <w:rsid w:val="0084214C"/>
    <w:rsid w:val="008433D9"/>
    <w:rsid w:val="008445E6"/>
    <w:rsid w:val="008457DC"/>
    <w:rsid w:val="00847342"/>
    <w:rsid w:val="008473A4"/>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5CE1"/>
    <w:rsid w:val="00866847"/>
    <w:rsid w:val="00867742"/>
    <w:rsid w:val="00870C26"/>
    <w:rsid w:val="00872CCB"/>
    <w:rsid w:val="00872F7C"/>
    <w:rsid w:val="00873596"/>
    <w:rsid w:val="00873675"/>
    <w:rsid w:val="00874C90"/>
    <w:rsid w:val="00876535"/>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689F"/>
    <w:rsid w:val="00896905"/>
    <w:rsid w:val="00896D52"/>
    <w:rsid w:val="008975B4"/>
    <w:rsid w:val="008A0831"/>
    <w:rsid w:val="008A0AE9"/>
    <w:rsid w:val="008A0E20"/>
    <w:rsid w:val="008A2D75"/>
    <w:rsid w:val="008A38A5"/>
    <w:rsid w:val="008A3DC6"/>
    <w:rsid w:val="008A3DF7"/>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7189"/>
    <w:rsid w:val="008B7889"/>
    <w:rsid w:val="008B7EBA"/>
    <w:rsid w:val="008C064A"/>
    <w:rsid w:val="008C196E"/>
    <w:rsid w:val="008C2A1C"/>
    <w:rsid w:val="008C3D1B"/>
    <w:rsid w:val="008C3ED9"/>
    <w:rsid w:val="008C451C"/>
    <w:rsid w:val="008C5130"/>
    <w:rsid w:val="008C551F"/>
    <w:rsid w:val="008C5DBD"/>
    <w:rsid w:val="008C6906"/>
    <w:rsid w:val="008C736D"/>
    <w:rsid w:val="008C7FC7"/>
    <w:rsid w:val="008D0391"/>
    <w:rsid w:val="008D0774"/>
    <w:rsid w:val="008D09F1"/>
    <w:rsid w:val="008D0D10"/>
    <w:rsid w:val="008D104F"/>
    <w:rsid w:val="008D144C"/>
    <w:rsid w:val="008D29A8"/>
    <w:rsid w:val="008D2FF2"/>
    <w:rsid w:val="008D3550"/>
    <w:rsid w:val="008D36C9"/>
    <w:rsid w:val="008D4DB8"/>
    <w:rsid w:val="008D5E20"/>
    <w:rsid w:val="008D699D"/>
    <w:rsid w:val="008D714E"/>
    <w:rsid w:val="008D7C54"/>
    <w:rsid w:val="008E1CE7"/>
    <w:rsid w:val="008E299B"/>
    <w:rsid w:val="008E308F"/>
    <w:rsid w:val="008E4DA9"/>
    <w:rsid w:val="008E4F8F"/>
    <w:rsid w:val="008E5310"/>
    <w:rsid w:val="008E5D4F"/>
    <w:rsid w:val="008E78AA"/>
    <w:rsid w:val="008E7999"/>
    <w:rsid w:val="008E7A2E"/>
    <w:rsid w:val="008F09E2"/>
    <w:rsid w:val="008F0E65"/>
    <w:rsid w:val="008F284F"/>
    <w:rsid w:val="008F2ED8"/>
    <w:rsid w:val="008F2FB6"/>
    <w:rsid w:val="008F36E8"/>
    <w:rsid w:val="008F39DC"/>
    <w:rsid w:val="008F3EE7"/>
    <w:rsid w:val="008F41EA"/>
    <w:rsid w:val="008F43EE"/>
    <w:rsid w:val="008F4C6C"/>
    <w:rsid w:val="008F7AF0"/>
    <w:rsid w:val="008F7C96"/>
    <w:rsid w:val="00900C5B"/>
    <w:rsid w:val="00901390"/>
    <w:rsid w:val="00901C0C"/>
    <w:rsid w:val="00901D92"/>
    <w:rsid w:val="009021D0"/>
    <w:rsid w:val="00902857"/>
    <w:rsid w:val="00902C13"/>
    <w:rsid w:val="00902C84"/>
    <w:rsid w:val="009037C3"/>
    <w:rsid w:val="009039A7"/>
    <w:rsid w:val="00903C55"/>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49BB"/>
    <w:rsid w:val="00915B32"/>
    <w:rsid w:val="009162A8"/>
    <w:rsid w:val="00916549"/>
    <w:rsid w:val="00917246"/>
    <w:rsid w:val="00920065"/>
    <w:rsid w:val="0092076B"/>
    <w:rsid w:val="0092096C"/>
    <w:rsid w:val="0092109F"/>
    <w:rsid w:val="009210B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17F"/>
    <w:rsid w:val="00953439"/>
    <w:rsid w:val="00954862"/>
    <w:rsid w:val="009551F1"/>
    <w:rsid w:val="00955B1A"/>
    <w:rsid w:val="00955B29"/>
    <w:rsid w:val="00955D49"/>
    <w:rsid w:val="00956044"/>
    <w:rsid w:val="00956112"/>
    <w:rsid w:val="00956178"/>
    <w:rsid w:val="009565AE"/>
    <w:rsid w:val="009570B1"/>
    <w:rsid w:val="009578CD"/>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4538"/>
    <w:rsid w:val="009745E1"/>
    <w:rsid w:val="0097491A"/>
    <w:rsid w:val="0097583C"/>
    <w:rsid w:val="00975B97"/>
    <w:rsid w:val="009775AC"/>
    <w:rsid w:val="00977C08"/>
    <w:rsid w:val="00977FAF"/>
    <w:rsid w:val="00983552"/>
    <w:rsid w:val="0098413B"/>
    <w:rsid w:val="009844C6"/>
    <w:rsid w:val="00984789"/>
    <w:rsid w:val="00985043"/>
    <w:rsid w:val="00985B58"/>
    <w:rsid w:val="00986B5B"/>
    <w:rsid w:val="009909D4"/>
    <w:rsid w:val="00991366"/>
    <w:rsid w:val="0099144B"/>
    <w:rsid w:val="009914A9"/>
    <w:rsid w:val="009915C4"/>
    <w:rsid w:val="009917DA"/>
    <w:rsid w:val="00992FF6"/>
    <w:rsid w:val="009934C8"/>
    <w:rsid w:val="00993CF2"/>
    <w:rsid w:val="00993F24"/>
    <w:rsid w:val="00994C05"/>
    <w:rsid w:val="00994CFA"/>
    <w:rsid w:val="0099525F"/>
    <w:rsid w:val="009954CE"/>
    <w:rsid w:val="009A0030"/>
    <w:rsid w:val="009A05E6"/>
    <w:rsid w:val="009A073A"/>
    <w:rsid w:val="009A0866"/>
    <w:rsid w:val="009A08A0"/>
    <w:rsid w:val="009A0C4B"/>
    <w:rsid w:val="009A0FE3"/>
    <w:rsid w:val="009A155F"/>
    <w:rsid w:val="009A1659"/>
    <w:rsid w:val="009A1703"/>
    <w:rsid w:val="009A1A73"/>
    <w:rsid w:val="009A1F77"/>
    <w:rsid w:val="009A24E7"/>
    <w:rsid w:val="009A4C5F"/>
    <w:rsid w:val="009A54D5"/>
    <w:rsid w:val="009A5C0C"/>
    <w:rsid w:val="009A6946"/>
    <w:rsid w:val="009B01D7"/>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69C"/>
    <w:rsid w:val="009C1AD3"/>
    <w:rsid w:val="009C2608"/>
    <w:rsid w:val="009C486E"/>
    <w:rsid w:val="009C5038"/>
    <w:rsid w:val="009C59AF"/>
    <w:rsid w:val="009C59DD"/>
    <w:rsid w:val="009C5F5E"/>
    <w:rsid w:val="009C6752"/>
    <w:rsid w:val="009C7B81"/>
    <w:rsid w:val="009D14CE"/>
    <w:rsid w:val="009D160B"/>
    <w:rsid w:val="009D16B4"/>
    <w:rsid w:val="009D1C12"/>
    <w:rsid w:val="009D26A7"/>
    <w:rsid w:val="009D27DB"/>
    <w:rsid w:val="009D2C13"/>
    <w:rsid w:val="009D2CE2"/>
    <w:rsid w:val="009D31FA"/>
    <w:rsid w:val="009D438C"/>
    <w:rsid w:val="009D475A"/>
    <w:rsid w:val="009D56E3"/>
    <w:rsid w:val="009D73F8"/>
    <w:rsid w:val="009E22F2"/>
    <w:rsid w:val="009E2707"/>
    <w:rsid w:val="009E3096"/>
    <w:rsid w:val="009E35EF"/>
    <w:rsid w:val="009E3827"/>
    <w:rsid w:val="009E55FC"/>
    <w:rsid w:val="009E70F9"/>
    <w:rsid w:val="009F1ACE"/>
    <w:rsid w:val="009F200F"/>
    <w:rsid w:val="009F227B"/>
    <w:rsid w:val="009F2C1D"/>
    <w:rsid w:val="009F3D62"/>
    <w:rsid w:val="009F4EBD"/>
    <w:rsid w:val="009F5071"/>
    <w:rsid w:val="009F55F4"/>
    <w:rsid w:val="009F67A2"/>
    <w:rsid w:val="009F753E"/>
    <w:rsid w:val="009F7863"/>
    <w:rsid w:val="00A003C3"/>
    <w:rsid w:val="00A00A18"/>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DE5"/>
    <w:rsid w:val="00A15D36"/>
    <w:rsid w:val="00A15D9A"/>
    <w:rsid w:val="00A1698B"/>
    <w:rsid w:val="00A169E5"/>
    <w:rsid w:val="00A1769E"/>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C52"/>
    <w:rsid w:val="00A36E60"/>
    <w:rsid w:val="00A3779B"/>
    <w:rsid w:val="00A40725"/>
    <w:rsid w:val="00A4079B"/>
    <w:rsid w:val="00A407EA"/>
    <w:rsid w:val="00A409D0"/>
    <w:rsid w:val="00A41453"/>
    <w:rsid w:val="00A41518"/>
    <w:rsid w:val="00A41938"/>
    <w:rsid w:val="00A42B78"/>
    <w:rsid w:val="00A43089"/>
    <w:rsid w:val="00A438BF"/>
    <w:rsid w:val="00A4411A"/>
    <w:rsid w:val="00A447C3"/>
    <w:rsid w:val="00A44B1A"/>
    <w:rsid w:val="00A458E1"/>
    <w:rsid w:val="00A461BD"/>
    <w:rsid w:val="00A4633C"/>
    <w:rsid w:val="00A5224F"/>
    <w:rsid w:val="00A52DFF"/>
    <w:rsid w:val="00A538F4"/>
    <w:rsid w:val="00A5735D"/>
    <w:rsid w:val="00A574B6"/>
    <w:rsid w:val="00A608CA"/>
    <w:rsid w:val="00A6096D"/>
    <w:rsid w:val="00A611F3"/>
    <w:rsid w:val="00A61BFE"/>
    <w:rsid w:val="00A61D39"/>
    <w:rsid w:val="00A62369"/>
    <w:rsid w:val="00A64411"/>
    <w:rsid w:val="00A64816"/>
    <w:rsid w:val="00A65266"/>
    <w:rsid w:val="00A661EB"/>
    <w:rsid w:val="00A66693"/>
    <w:rsid w:val="00A676DA"/>
    <w:rsid w:val="00A67B92"/>
    <w:rsid w:val="00A67E70"/>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F37"/>
    <w:rsid w:val="00A95311"/>
    <w:rsid w:val="00A956F3"/>
    <w:rsid w:val="00A96FC7"/>
    <w:rsid w:val="00A973C9"/>
    <w:rsid w:val="00A977EB"/>
    <w:rsid w:val="00A97805"/>
    <w:rsid w:val="00A97A9C"/>
    <w:rsid w:val="00AA0B93"/>
    <w:rsid w:val="00AA1255"/>
    <w:rsid w:val="00AA15FA"/>
    <w:rsid w:val="00AA1BE8"/>
    <w:rsid w:val="00AA26FD"/>
    <w:rsid w:val="00AA280A"/>
    <w:rsid w:val="00AA3890"/>
    <w:rsid w:val="00AA3FBA"/>
    <w:rsid w:val="00AA5542"/>
    <w:rsid w:val="00AA64E3"/>
    <w:rsid w:val="00AA7AAD"/>
    <w:rsid w:val="00AB1059"/>
    <w:rsid w:val="00AB1B87"/>
    <w:rsid w:val="00AB22C6"/>
    <w:rsid w:val="00AB3280"/>
    <w:rsid w:val="00AB40E5"/>
    <w:rsid w:val="00AB41D3"/>
    <w:rsid w:val="00AB5B9E"/>
    <w:rsid w:val="00AB717B"/>
    <w:rsid w:val="00AB7AB6"/>
    <w:rsid w:val="00AC09E1"/>
    <w:rsid w:val="00AC14AF"/>
    <w:rsid w:val="00AC16AF"/>
    <w:rsid w:val="00AC1976"/>
    <w:rsid w:val="00AC19D2"/>
    <w:rsid w:val="00AC37AF"/>
    <w:rsid w:val="00AC4147"/>
    <w:rsid w:val="00AC41F9"/>
    <w:rsid w:val="00AC45D9"/>
    <w:rsid w:val="00AC4642"/>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E2D"/>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8B8"/>
    <w:rsid w:val="00AF3E62"/>
    <w:rsid w:val="00AF3F37"/>
    <w:rsid w:val="00AF48D6"/>
    <w:rsid w:val="00AF4BB5"/>
    <w:rsid w:val="00AF4FEC"/>
    <w:rsid w:val="00AF5E7E"/>
    <w:rsid w:val="00AF5EF2"/>
    <w:rsid w:val="00AF712E"/>
    <w:rsid w:val="00B0176B"/>
    <w:rsid w:val="00B01F49"/>
    <w:rsid w:val="00B02C6D"/>
    <w:rsid w:val="00B043B2"/>
    <w:rsid w:val="00B0509E"/>
    <w:rsid w:val="00B06508"/>
    <w:rsid w:val="00B06EE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007"/>
    <w:rsid w:val="00B251C9"/>
    <w:rsid w:val="00B2543D"/>
    <w:rsid w:val="00B263A3"/>
    <w:rsid w:val="00B26660"/>
    <w:rsid w:val="00B26B2E"/>
    <w:rsid w:val="00B27A67"/>
    <w:rsid w:val="00B30817"/>
    <w:rsid w:val="00B30C1C"/>
    <w:rsid w:val="00B30E79"/>
    <w:rsid w:val="00B315F0"/>
    <w:rsid w:val="00B318DF"/>
    <w:rsid w:val="00B327DC"/>
    <w:rsid w:val="00B33C06"/>
    <w:rsid w:val="00B33D2E"/>
    <w:rsid w:val="00B34D18"/>
    <w:rsid w:val="00B36E6C"/>
    <w:rsid w:val="00B371A1"/>
    <w:rsid w:val="00B375BB"/>
    <w:rsid w:val="00B40230"/>
    <w:rsid w:val="00B40431"/>
    <w:rsid w:val="00B40A22"/>
    <w:rsid w:val="00B40EEA"/>
    <w:rsid w:val="00B417A6"/>
    <w:rsid w:val="00B41EB1"/>
    <w:rsid w:val="00B41FFC"/>
    <w:rsid w:val="00B4304A"/>
    <w:rsid w:val="00B432C1"/>
    <w:rsid w:val="00B43436"/>
    <w:rsid w:val="00B43F29"/>
    <w:rsid w:val="00B4432A"/>
    <w:rsid w:val="00B4606B"/>
    <w:rsid w:val="00B46741"/>
    <w:rsid w:val="00B46847"/>
    <w:rsid w:val="00B46A34"/>
    <w:rsid w:val="00B46B40"/>
    <w:rsid w:val="00B47225"/>
    <w:rsid w:val="00B473AC"/>
    <w:rsid w:val="00B517BD"/>
    <w:rsid w:val="00B51C5F"/>
    <w:rsid w:val="00B52683"/>
    <w:rsid w:val="00B526BC"/>
    <w:rsid w:val="00B52964"/>
    <w:rsid w:val="00B530F1"/>
    <w:rsid w:val="00B543A1"/>
    <w:rsid w:val="00B5478D"/>
    <w:rsid w:val="00B55626"/>
    <w:rsid w:val="00B5642C"/>
    <w:rsid w:val="00B5710F"/>
    <w:rsid w:val="00B572E0"/>
    <w:rsid w:val="00B61081"/>
    <w:rsid w:val="00B61314"/>
    <w:rsid w:val="00B61CD8"/>
    <w:rsid w:val="00B627A9"/>
    <w:rsid w:val="00B627F6"/>
    <w:rsid w:val="00B6383C"/>
    <w:rsid w:val="00B708C4"/>
    <w:rsid w:val="00B70F80"/>
    <w:rsid w:val="00B7248D"/>
    <w:rsid w:val="00B74685"/>
    <w:rsid w:val="00B74B25"/>
    <w:rsid w:val="00B74E56"/>
    <w:rsid w:val="00B75E3E"/>
    <w:rsid w:val="00B76CCD"/>
    <w:rsid w:val="00B76F04"/>
    <w:rsid w:val="00B7751E"/>
    <w:rsid w:val="00B778A1"/>
    <w:rsid w:val="00B80B48"/>
    <w:rsid w:val="00B80B83"/>
    <w:rsid w:val="00B828BA"/>
    <w:rsid w:val="00B82B00"/>
    <w:rsid w:val="00B83334"/>
    <w:rsid w:val="00B83F46"/>
    <w:rsid w:val="00B83FCE"/>
    <w:rsid w:val="00B85020"/>
    <w:rsid w:val="00B85C97"/>
    <w:rsid w:val="00B85FFB"/>
    <w:rsid w:val="00B8606F"/>
    <w:rsid w:val="00B8646D"/>
    <w:rsid w:val="00B86512"/>
    <w:rsid w:val="00B865EB"/>
    <w:rsid w:val="00B867D5"/>
    <w:rsid w:val="00B87C33"/>
    <w:rsid w:val="00B9097E"/>
    <w:rsid w:val="00B909AF"/>
    <w:rsid w:val="00B90A79"/>
    <w:rsid w:val="00B91F8A"/>
    <w:rsid w:val="00B92906"/>
    <w:rsid w:val="00B92A0C"/>
    <w:rsid w:val="00B941AB"/>
    <w:rsid w:val="00B9493B"/>
    <w:rsid w:val="00B95C35"/>
    <w:rsid w:val="00B96BEB"/>
    <w:rsid w:val="00B97F1D"/>
    <w:rsid w:val="00BA006A"/>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531"/>
    <w:rsid w:val="00BC1992"/>
    <w:rsid w:val="00BC1A95"/>
    <w:rsid w:val="00BC3330"/>
    <w:rsid w:val="00BC4C5A"/>
    <w:rsid w:val="00BC560F"/>
    <w:rsid w:val="00BC5D76"/>
    <w:rsid w:val="00BC602B"/>
    <w:rsid w:val="00BC6214"/>
    <w:rsid w:val="00BC6947"/>
    <w:rsid w:val="00BC6FEB"/>
    <w:rsid w:val="00BC72B7"/>
    <w:rsid w:val="00BC7330"/>
    <w:rsid w:val="00BC737B"/>
    <w:rsid w:val="00BC7526"/>
    <w:rsid w:val="00BD063D"/>
    <w:rsid w:val="00BD069E"/>
    <w:rsid w:val="00BD0C43"/>
    <w:rsid w:val="00BD120F"/>
    <w:rsid w:val="00BD1AA7"/>
    <w:rsid w:val="00BD1B4F"/>
    <w:rsid w:val="00BD273E"/>
    <w:rsid w:val="00BD2A09"/>
    <w:rsid w:val="00BD3A80"/>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32E4"/>
    <w:rsid w:val="00C14446"/>
    <w:rsid w:val="00C15906"/>
    <w:rsid w:val="00C16878"/>
    <w:rsid w:val="00C16A63"/>
    <w:rsid w:val="00C170EA"/>
    <w:rsid w:val="00C17D1F"/>
    <w:rsid w:val="00C17D2E"/>
    <w:rsid w:val="00C20914"/>
    <w:rsid w:val="00C224BF"/>
    <w:rsid w:val="00C23041"/>
    <w:rsid w:val="00C2374E"/>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5BFF"/>
    <w:rsid w:val="00C36087"/>
    <w:rsid w:val="00C3663C"/>
    <w:rsid w:val="00C37788"/>
    <w:rsid w:val="00C37DD1"/>
    <w:rsid w:val="00C4029E"/>
    <w:rsid w:val="00C403A2"/>
    <w:rsid w:val="00C42163"/>
    <w:rsid w:val="00C42F76"/>
    <w:rsid w:val="00C446BD"/>
    <w:rsid w:val="00C44EC7"/>
    <w:rsid w:val="00C44FFB"/>
    <w:rsid w:val="00C45381"/>
    <w:rsid w:val="00C46098"/>
    <w:rsid w:val="00C465CE"/>
    <w:rsid w:val="00C46B2C"/>
    <w:rsid w:val="00C46E02"/>
    <w:rsid w:val="00C477BC"/>
    <w:rsid w:val="00C47E3A"/>
    <w:rsid w:val="00C50EF4"/>
    <w:rsid w:val="00C5117C"/>
    <w:rsid w:val="00C51C55"/>
    <w:rsid w:val="00C53FA2"/>
    <w:rsid w:val="00C544F5"/>
    <w:rsid w:val="00C548CC"/>
    <w:rsid w:val="00C54F30"/>
    <w:rsid w:val="00C56343"/>
    <w:rsid w:val="00C56AD5"/>
    <w:rsid w:val="00C56D2F"/>
    <w:rsid w:val="00C57592"/>
    <w:rsid w:val="00C57B1F"/>
    <w:rsid w:val="00C601D6"/>
    <w:rsid w:val="00C61F8A"/>
    <w:rsid w:val="00C62930"/>
    <w:rsid w:val="00C62FCC"/>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7D7"/>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02F"/>
    <w:rsid w:val="00C862CF"/>
    <w:rsid w:val="00C87059"/>
    <w:rsid w:val="00C87094"/>
    <w:rsid w:val="00C91728"/>
    <w:rsid w:val="00C918A1"/>
    <w:rsid w:val="00C91AF7"/>
    <w:rsid w:val="00C92A53"/>
    <w:rsid w:val="00C92C4B"/>
    <w:rsid w:val="00C933A1"/>
    <w:rsid w:val="00C94103"/>
    <w:rsid w:val="00C94286"/>
    <w:rsid w:val="00C94565"/>
    <w:rsid w:val="00C9504E"/>
    <w:rsid w:val="00C96380"/>
    <w:rsid w:val="00C96BA2"/>
    <w:rsid w:val="00C96DE2"/>
    <w:rsid w:val="00C97F23"/>
    <w:rsid w:val="00CA00A4"/>
    <w:rsid w:val="00CA061A"/>
    <w:rsid w:val="00CA1E3C"/>
    <w:rsid w:val="00CA32E6"/>
    <w:rsid w:val="00CA34B7"/>
    <w:rsid w:val="00CA37E3"/>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8AF"/>
    <w:rsid w:val="00CC0E88"/>
    <w:rsid w:val="00CC1018"/>
    <w:rsid w:val="00CC2885"/>
    <w:rsid w:val="00CC3682"/>
    <w:rsid w:val="00CC3CAA"/>
    <w:rsid w:val="00CC4CBA"/>
    <w:rsid w:val="00CC67A8"/>
    <w:rsid w:val="00CC67C6"/>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127C"/>
    <w:rsid w:val="00CE18B6"/>
    <w:rsid w:val="00CE3540"/>
    <w:rsid w:val="00CE3C69"/>
    <w:rsid w:val="00CE505A"/>
    <w:rsid w:val="00CE5F7D"/>
    <w:rsid w:val="00CE6843"/>
    <w:rsid w:val="00CE6A42"/>
    <w:rsid w:val="00CE6A93"/>
    <w:rsid w:val="00CE70E0"/>
    <w:rsid w:val="00CF09E2"/>
    <w:rsid w:val="00CF276C"/>
    <w:rsid w:val="00CF3F1C"/>
    <w:rsid w:val="00CF4552"/>
    <w:rsid w:val="00CF4845"/>
    <w:rsid w:val="00CF4F09"/>
    <w:rsid w:val="00CF54CB"/>
    <w:rsid w:val="00CF6358"/>
    <w:rsid w:val="00CF70C0"/>
    <w:rsid w:val="00D01A65"/>
    <w:rsid w:val="00D0234C"/>
    <w:rsid w:val="00D02A35"/>
    <w:rsid w:val="00D02C89"/>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1711C"/>
    <w:rsid w:val="00D1787E"/>
    <w:rsid w:val="00D213FA"/>
    <w:rsid w:val="00D222B5"/>
    <w:rsid w:val="00D23431"/>
    <w:rsid w:val="00D23B3F"/>
    <w:rsid w:val="00D2557C"/>
    <w:rsid w:val="00D25B19"/>
    <w:rsid w:val="00D261E4"/>
    <w:rsid w:val="00D268E3"/>
    <w:rsid w:val="00D26EC1"/>
    <w:rsid w:val="00D27C94"/>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5BBC"/>
    <w:rsid w:val="00D4604B"/>
    <w:rsid w:val="00D471AE"/>
    <w:rsid w:val="00D479C7"/>
    <w:rsid w:val="00D47E15"/>
    <w:rsid w:val="00D50B06"/>
    <w:rsid w:val="00D51BC9"/>
    <w:rsid w:val="00D528DE"/>
    <w:rsid w:val="00D5598B"/>
    <w:rsid w:val="00D55BD9"/>
    <w:rsid w:val="00D5724C"/>
    <w:rsid w:val="00D5729A"/>
    <w:rsid w:val="00D573C7"/>
    <w:rsid w:val="00D57710"/>
    <w:rsid w:val="00D5777B"/>
    <w:rsid w:val="00D577A1"/>
    <w:rsid w:val="00D57A32"/>
    <w:rsid w:val="00D57DD9"/>
    <w:rsid w:val="00D616D6"/>
    <w:rsid w:val="00D61844"/>
    <w:rsid w:val="00D61B3A"/>
    <w:rsid w:val="00D61F6E"/>
    <w:rsid w:val="00D62C0E"/>
    <w:rsid w:val="00D63896"/>
    <w:rsid w:val="00D63F71"/>
    <w:rsid w:val="00D64061"/>
    <w:rsid w:val="00D651AF"/>
    <w:rsid w:val="00D652BE"/>
    <w:rsid w:val="00D65A66"/>
    <w:rsid w:val="00D665B2"/>
    <w:rsid w:val="00D6761E"/>
    <w:rsid w:val="00D676B2"/>
    <w:rsid w:val="00D679E0"/>
    <w:rsid w:val="00D70149"/>
    <w:rsid w:val="00D701B2"/>
    <w:rsid w:val="00D70D2B"/>
    <w:rsid w:val="00D70E4F"/>
    <w:rsid w:val="00D717B8"/>
    <w:rsid w:val="00D72546"/>
    <w:rsid w:val="00D73673"/>
    <w:rsid w:val="00D73EB1"/>
    <w:rsid w:val="00D74409"/>
    <w:rsid w:val="00D74BE3"/>
    <w:rsid w:val="00D751B9"/>
    <w:rsid w:val="00D751DB"/>
    <w:rsid w:val="00D81042"/>
    <w:rsid w:val="00D81363"/>
    <w:rsid w:val="00D81D30"/>
    <w:rsid w:val="00D81E5D"/>
    <w:rsid w:val="00D825E6"/>
    <w:rsid w:val="00D82B0E"/>
    <w:rsid w:val="00D836D0"/>
    <w:rsid w:val="00D83C11"/>
    <w:rsid w:val="00D8420E"/>
    <w:rsid w:val="00D8434A"/>
    <w:rsid w:val="00D84735"/>
    <w:rsid w:val="00D849D3"/>
    <w:rsid w:val="00D84AA2"/>
    <w:rsid w:val="00D84ED0"/>
    <w:rsid w:val="00D85435"/>
    <w:rsid w:val="00D85CF6"/>
    <w:rsid w:val="00D85FCF"/>
    <w:rsid w:val="00D8668C"/>
    <w:rsid w:val="00D866A2"/>
    <w:rsid w:val="00D86769"/>
    <w:rsid w:val="00D8679D"/>
    <w:rsid w:val="00D86AD0"/>
    <w:rsid w:val="00D877B3"/>
    <w:rsid w:val="00D8799B"/>
    <w:rsid w:val="00D87F02"/>
    <w:rsid w:val="00D87F7E"/>
    <w:rsid w:val="00D9009F"/>
    <w:rsid w:val="00D90F28"/>
    <w:rsid w:val="00D91621"/>
    <w:rsid w:val="00D9192B"/>
    <w:rsid w:val="00D926C1"/>
    <w:rsid w:val="00D930FD"/>
    <w:rsid w:val="00D9318F"/>
    <w:rsid w:val="00D9354D"/>
    <w:rsid w:val="00D93759"/>
    <w:rsid w:val="00D939B3"/>
    <w:rsid w:val="00D93C19"/>
    <w:rsid w:val="00D952BC"/>
    <w:rsid w:val="00D96565"/>
    <w:rsid w:val="00D967C5"/>
    <w:rsid w:val="00D976B9"/>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028"/>
    <w:rsid w:val="00DB75BD"/>
    <w:rsid w:val="00DC008A"/>
    <w:rsid w:val="00DC1D13"/>
    <w:rsid w:val="00DC2273"/>
    <w:rsid w:val="00DC37E3"/>
    <w:rsid w:val="00DC57A9"/>
    <w:rsid w:val="00DD0469"/>
    <w:rsid w:val="00DD052A"/>
    <w:rsid w:val="00DD0BF6"/>
    <w:rsid w:val="00DD2252"/>
    <w:rsid w:val="00DD3735"/>
    <w:rsid w:val="00DD5539"/>
    <w:rsid w:val="00DD6832"/>
    <w:rsid w:val="00DD6D40"/>
    <w:rsid w:val="00DD6D9B"/>
    <w:rsid w:val="00DD7BBF"/>
    <w:rsid w:val="00DE2194"/>
    <w:rsid w:val="00DE3018"/>
    <w:rsid w:val="00DE40B7"/>
    <w:rsid w:val="00DE4BC2"/>
    <w:rsid w:val="00DE4F6F"/>
    <w:rsid w:val="00DE51DE"/>
    <w:rsid w:val="00DE5EB8"/>
    <w:rsid w:val="00DE6762"/>
    <w:rsid w:val="00DE71B1"/>
    <w:rsid w:val="00DF03D2"/>
    <w:rsid w:val="00DF04EA"/>
    <w:rsid w:val="00DF11EB"/>
    <w:rsid w:val="00DF2C77"/>
    <w:rsid w:val="00DF2E68"/>
    <w:rsid w:val="00DF63A7"/>
    <w:rsid w:val="00DF68DF"/>
    <w:rsid w:val="00DF6ACB"/>
    <w:rsid w:val="00DF6FBD"/>
    <w:rsid w:val="00DF7F81"/>
    <w:rsid w:val="00E00EEA"/>
    <w:rsid w:val="00E02A81"/>
    <w:rsid w:val="00E03855"/>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E50"/>
    <w:rsid w:val="00E16045"/>
    <w:rsid w:val="00E1624B"/>
    <w:rsid w:val="00E165C9"/>
    <w:rsid w:val="00E16EFB"/>
    <w:rsid w:val="00E17BD8"/>
    <w:rsid w:val="00E20BA5"/>
    <w:rsid w:val="00E20E5B"/>
    <w:rsid w:val="00E212F4"/>
    <w:rsid w:val="00E2163C"/>
    <w:rsid w:val="00E2262A"/>
    <w:rsid w:val="00E227D4"/>
    <w:rsid w:val="00E23F52"/>
    <w:rsid w:val="00E243B0"/>
    <w:rsid w:val="00E25B17"/>
    <w:rsid w:val="00E276E0"/>
    <w:rsid w:val="00E307E8"/>
    <w:rsid w:val="00E30AC4"/>
    <w:rsid w:val="00E31ECE"/>
    <w:rsid w:val="00E3208A"/>
    <w:rsid w:val="00E32187"/>
    <w:rsid w:val="00E32559"/>
    <w:rsid w:val="00E32D94"/>
    <w:rsid w:val="00E32EC2"/>
    <w:rsid w:val="00E334AB"/>
    <w:rsid w:val="00E34577"/>
    <w:rsid w:val="00E363B7"/>
    <w:rsid w:val="00E365B3"/>
    <w:rsid w:val="00E3664F"/>
    <w:rsid w:val="00E37114"/>
    <w:rsid w:val="00E372F0"/>
    <w:rsid w:val="00E37CA5"/>
    <w:rsid w:val="00E40571"/>
    <w:rsid w:val="00E40F2D"/>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40D6"/>
    <w:rsid w:val="00E74D86"/>
    <w:rsid w:val="00E76897"/>
    <w:rsid w:val="00E776D1"/>
    <w:rsid w:val="00E800FD"/>
    <w:rsid w:val="00E81DE0"/>
    <w:rsid w:val="00E82567"/>
    <w:rsid w:val="00E829FF"/>
    <w:rsid w:val="00E837A1"/>
    <w:rsid w:val="00E843AE"/>
    <w:rsid w:val="00E85AE5"/>
    <w:rsid w:val="00E86150"/>
    <w:rsid w:val="00E87245"/>
    <w:rsid w:val="00E874B3"/>
    <w:rsid w:val="00E87A12"/>
    <w:rsid w:val="00E87BA3"/>
    <w:rsid w:val="00E87F28"/>
    <w:rsid w:val="00E91A46"/>
    <w:rsid w:val="00E91ABC"/>
    <w:rsid w:val="00E9399C"/>
    <w:rsid w:val="00E94235"/>
    <w:rsid w:val="00E94DBA"/>
    <w:rsid w:val="00E94E47"/>
    <w:rsid w:val="00E94FC0"/>
    <w:rsid w:val="00E95071"/>
    <w:rsid w:val="00E96D5B"/>
    <w:rsid w:val="00EA086D"/>
    <w:rsid w:val="00EA183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45FF"/>
    <w:rsid w:val="00EB6F38"/>
    <w:rsid w:val="00EB6F84"/>
    <w:rsid w:val="00EC0965"/>
    <w:rsid w:val="00EC1184"/>
    <w:rsid w:val="00EC3D09"/>
    <w:rsid w:val="00EC3DF4"/>
    <w:rsid w:val="00EC44B8"/>
    <w:rsid w:val="00EC4C52"/>
    <w:rsid w:val="00EC4E03"/>
    <w:rsid w:val="00EC4E95"/>
    <w:rsid w:val="00EC530F"/>
    <w:rsid w:val="00EC5C7B"/>
    <w:rsid w:val="00EC7E4C"/>
    <w:rsid w:val="00ED00BA"/>
    <w:rsid w:val="00ED45ED"/>
    <w:rsid w:val="00ED570B"/>
    <w:rsid w:val="00ED5B87"/>
    <w:rsid w:val="00ED7821"/>
    <w:rsid w:val="00EE0A5B"/>
    <w:rsid w:val="00EE1040"/>
    <w:rsid w:val="00EE153B"/>
    <w:rsid w:val="00EE22FA"/>
    <w:rsid w:val="00EE2529"/>
    <w:rsid w:val="00EE25D7"/>
    <w:rsid w:val="00EE2E08"/>
    <w:rsid w:val="00EE34EB"/>
    <w:rsid w:val="00EE4D63"/>
    <w:rsid w:val="00EE5209"/>
    <w:rsid w:val="00EE5A79"/>
    <w:rsid w:val="00EE7742"/>
    <w:rsid w:val="00EF1328"/>
    <w:rsid w:val="00EF1FBF"/>
    <w:rsid w:val="00EF1FFE"/>
    <w:rsid w:val="00EF30B3"/>
    <w:rsid w:val="00EF328D"/>
    <w:rsid w:val="00EF34B7"/>
    <w:rsid w:val="00EF3C0C"/>
    <w:rsid w:val="00EF3D80"/>
    <w:rsid w:val="00EF43B8"/>
    <w:rsid w:val="00EF45DB"/>
    <w:rsid w:val="00EF5642"/>
    <w:rsid w:val="00EF65A3"/>
    <w:rsid w:val="00EF662C"/>
    <w:rsid w:val="00EF6B57"/>
    <w:rsid w:val="00EF6E05"/>
    <w:rsid w:val="00EF7AEF"/>
    <w:rsid w:val="00F00719"/>
    <w:rsid w:val="00F007A0"/>
    <w:rsid w:val="00F0286A"/>
    <w:rsid w:val="00F034A6"/>
    <w:rsid w:val="00F038BA"/>
    <w:rsid w:val="00F039A6"/>
    <w:rsid w:val="00F03EC3"/>
    <w:rsid w:val="00F04A95"/>
    <w:rsid w:val="00F05D2F"/>
    <w:rsid w:val="00F06285"/>
    <w:rsid w:val="00F0780A"/>
    <w:rsid w:val="00F07C07"/>
    <w:rsid w:val="00F119BB"/>
    <w:rsid w:val="00F12131"/>
    <w:rsid w:val="00F1250A"/>
    <w:rsid w:val="00F12D34"/>
    <w:rsid w:val="00F13A39"/>
    <w:rsid w:val="00F13C8F"/>
    <w:rsid w:val="00F14CC7"/>
    <w:rsid w:val="00F14DD2"/>
    <w:rsid w:val="00F14FD5"/>
    <w:rsid w:val="00F14FDA"/>
    <w:rsid w:val="00F15A52"/>
    <w:rsid w:val="00F15DF2"/>
    <w:rsid w:val="00F1645B"/>
    <w:rsid w:val="00F17A11"/>
    <w:rsid w:val="00F20023"/>
    <w:rsid w:val="00F20292"/>
    <w:rsid w:val="00F20489"/>
    <w:rsid w:val="00F21388"/>
    <w:rsid w:val="00F21C57"/>
    <w:rsid w:val="00F23578"/>
    <w:rsid w:val="00F236AD"/>
    <w:rsid w:val="00F23B3E"/>
    <w:rsid w:val="00F243BD"/>
    <w:rsid w:val="00F2612E"/>
    <w:rsid w:val="00F2713B"/>
    <w:rsid w:val="00F27471"/>
    <w:rsid w:val="00F30605"/>
    <w:rsid w:val="00F30782"/>
    <w:rsid w:val="00F31E34"/>
    <w:rsid w:val="00F32185"/>
    <w:rsid w:val="00F32B7C"/>
    <w:rsid w:val="00F32BE8"/>
    <w:rsid w:val="00F3540E"/>
    <w:rsid w:val="00F36523"/>
    <w:rsid w:val="00F3670B"/>
    <w:rsid w:val="00F36C97"/>
    <w:rsid w:val="00F37461"/>
    <w:rsid w:val="00F37FFE"/>
    <w:rsid w:val="00F40BCF"/>
    <w:rsid w:val="00F41202"/>
    <w:rsid w:val="00F41233"/>
    <w:rsid w:val="00F4297C"/>
    <w:rsid w:val="00F42BC5"/>
    <w:rsid w:val="00F42C1D"/>
    <w:rsid w:val="00F44C90"/>
    <w:rsid w:val="00F4500F"/>
    <w:rsid w:val="00F457A8"/>
    <w:rsid w:val="00F45ABA"/>
    <w:rsid w:val="00F45E53"/>
    <w:rsid w:val="00F46780"/>
    <w:rsid w:val="00F5066B"/>
    <w:rsid w:val="00F5066E"/>
    <w:rsid w:val="00F50BFE"/>
    <w:rsid w:val="00F528DB"/>
    <w:rsid w:val="00F52BF3"/>
    <w:rsid w:val="00F53742"/>
    <w:rsid w:val="00F54BD0"/>
    <w:rsid w:val="00F5504B"/>
    <w:rsid w:val="00F56A1A"/>
    <w:rsid w:val="00F578C3"/>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4165"/>
    <w:rsid w:val="00F75CF9"/>
    <w:rsid w:val="00F761AD"/>
    <w:rsid w:val="00F76462"/>
    <w:rsid w:val="00F773E9"/>
    <w:rsid w:val="00F80E91"/>
    <w:rsid w:val="00F8242D"/>
    <w:rsid w:val="00F8274A"/>
    <w:rsid w:val="00F835A3"/>
    <w:rsid w:val="00F8446F"/>
    <w:rsid w:val="00F8479D"/>
    <w:rsid w:val="00F84D21"/>
    <w:rsid w:val="00F84D57"/>
    <w:rsid w:val="00F853EF"/>
    <w:rsid w:val="00F853FE"/>
    <w:rsid w:val="00F85856"/>
    <w:rsid w:val="00F863CE"/>
    <w:rsid w:val="00F90431"/>
    <w:rsid w:val="00F90B42"/>
    <w:rsid w:val="00F9381E"/>
    <w:rsid w:val="00F94956"/>
    <w:rsid w:val="00F95000"/>
    <w:rsid w:val="00F95777"/>
    <w:rsid w:val="00F96B90"/>
    <w:rsid w:val="00F96EBE"/>
    <w:rsid w:val="00F96ECA"/>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A42"/>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2522"/>
    <w:rsid w:val="00FD2AE2"/>
    <w:rsid w:val="00FD2D5A"/>
    <w:rsid w:val="00FD50A1"/>
    <w:rsid w:val="00FD695B"/>
    <w:rsid w:val="00FD6BB9"/>
    <w:rsid w:val="00FD7859"/>
    <w:rsid w:val="00FE0FA7"/>
    <w:rsid w:val="00FE240D"/>
    <w:rsid w:val="00FE53E8"/>
    <w:rsid w:val="00FE5DDA"/>
    <w:rsid w:val="00FE5E1B"/>
    <w:rsid w:val="00FE7553"/>
    <w:rsid w:val="00FE7932"/>
    <w:rsid w:val="00FE7B5A"/>
    <w:rsid w:val="00FF026C"/>
    <w:rsid w:val="00FF055D"/>
    <w:rsid w:val="00FF100C"/>
    <w:rsid w:val="00FF2279"/>
    <w:rsid w:val="00FF351A"/>
    <w:rsid w:val="00FF3958"/>
    <w:rsid w:val="00FF57E5"/>
    <w:rsid w:val="00FF66CD"/>
    <w:rsid w:val="00FF7A75"/>
    <w:rsid w:val="00FF7F91"/>
  </w:rsids>
  <m:mathPr>
    <m:mathFont m:val="Cambria Math"/>
    <m:brkBin m:val="before"/>
    <m:brkBinSub m:val="--"/>
    <m:smallFrac/>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259F21"/>
  <w15:docId w15:val="{0AF917D5-FD58-49B9-BFDB-812760C8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uiPriority="99"/>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8C3"/>
    <w:pPr>
      <w:ind w:firstLine="238"/>
      <w:jc w:val="both"/>
    </w:pPr>
    <w:rPr>
      <w:rFonts w:ascii="Garamond" w:hAnsi="Garamond"/>
      <w:szCs w:val="24"/>
      <w:lang w:val="en-GB" w:eastAsia="en-US"/>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
    <w:link w:val="Level1TitleCarcter"/>
    <w:qFormat/>
    <w:rsid w:val="00905FD1"/>
    <w:pPr>
      <w:keepNext/>
      <w:keepLines/>
      <w:numPr>
        <w:numId w:val="15"/>
      </w:numPr>
      <w:spacing w:before="240" w:after="120"/>
    </w:pPr>
    <w:rPr>
      <w:rFonts w:ascii="Calibri" w:hAnsi="Calibri"/>
      <w:b/>
      <w:bCs/>
      <w:caps/>
      <w:kern w:val="32"/>
      <w:szCs w:val="32"/>
      <w:lang w:val="en-GB" w:eastAsia="en-US"/>
    </w:rPr>
  </w:style>
  <w:style w:type="paragraph" w:customStyle="1" w:styleId="Level2Title">
    <w:name w:val="Level2Title"/>
    <w:next w:val="Normal"/>
    <w:link w:val="Level2TitleCarcter"/>
    <w:qFormat/>
    <w:rsid w:val="00AF213F"/>
    <w:pPr>
      <w:numPr>
        <w:ilvl w:val="1"/>
        <w:numId w:val="15"/>
      </w:numPr>
      <w:spacing w:before="120" w:after="60"/>
    </w:pPr>
    <w:rPr>
      <w:rFonts w:ascii="Calibri" w:hAnsi="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numPr>
        <w:numId w:val="7"/>
      </w:numPr>
      <w:tabs>
        <w:tab w:val="left" w:pos="397"/>
      </w:tabs>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Simple1">
    <w:name w:val="Table Simple 1"/>
    <w:basedOn w:val="TableNormal"/>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rPr>
      <w:rFonts w:ascii="Times New Roman" w:hAnsi="Times New Roman"/>
      <w:sz w:val="22"/>
      <w:lang w:val="en-US"/>
    </w:r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sz w:val="16"/>
      <w:szCs w:val="16"/>
      <w:lang w:val="en-US"/>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rPr>
      <w:rFonts w:ascii="Minion Pro" w:hAnsi="Minion Pro"/>
    </w:r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table" w:customStyle="1" w:styleId="Tabellasemplice-31">
    <w:name w:val="Tabella semplice - 31"/>
    <w:basedOn w:val="TableNormal"/>
    <w:uiPriority w:val="43"/>
    <w:rsid w:val="005A0365"/>
    <w:rPr>
      <w:rFonts w:asciiTheme="minorHAnsi" w:eastAsiaTheme="minorEastAsia" w:hAnsiTheme="minorHAnsi" w:cstheme="minorBidi"/>
      <w:sz w:val="22"/>
      <w:szCs w:val="22"/>
      <w:lang w:val="it-IT" w:eastAsia="ko-K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5A0365"/>
    <w:rPr>
      <w:sz w:val="16"/>
      <w:szCs w:val="16"/>
    </w:rPr>
  </w:style>
  <w:style w:type="paragraph" w:styleId="CommentText">
    <w:name w:val="annotation text"/>
    <w:basedOn w:val="Normal"/>
    <w:link w:val="CommentTextChar"/>
    <w:uiPriority w:val="99"/>
    <w:semiHidden/>
    <w:unhideWhenUsed/>
    <w:rsid w:val="00F12D34"/>
    <w:pPr>
      <w:spacing w:after="200"/>
      <w:ind w:firstLine="0"/>
      <w:jc w:val="left"/>
    </w:pPr>
    <w:rPr>
      <w:rFonts w:asciiTheme="minorHAnsi" w:eastAsiaTheme="minorEastAsia" w:hAnsiTheme="minorHAnsi" w:cstheme="minorBidi"/>
      <w:szCs w:val="20"/>
      <w:lang w:eastAsia="ko-KR"/>
    </w:rPr>
  </w:style>
  <w:style w:type="character" w:customStyle="1" w:styleId="CommentTextChar">
    <w:name w:val="Comment Text Char"/>
    <w:basedOn w:val="DefaultParagraphFont"/>
    <w:link w:val="CommentText"/>
    <w:uiPriority w:val="99"/>
    <w:semiHidden/>
    <w:rsid w:val="00F12D34"/>
    <w:rPr>
      <w:rFonts w:asciiTheme="minorHAnsi" w:eastAsiaTheme="minorEastAsia" w:hAnsiTheme="minorHAnsi" w:cstheme="minorBidi"/>
      <w:lang w:val="en-GB" w:eastAsia="ko-KR"/>
    </w:rPr>
  </w:style>
  <w:style w:type="paragraph" w:styleId="FootnoteText">
    <w:name w:val="footnote text"/>
    <w:basedOn w:val="Normal"/>
    <w:link w:val="FootnoteTextChar"/>
    <w:uiPriority w:val="99"/>
    <w:semiHidden/>
    <w:unhideWhenUsed/>
    <w:rsid w:val="005A0365"/>
    <w:pPr>
      <w:ind w:firstLine="0"/>
      <w:jc w:val="left"/>
    </w:pPr>
    <w:rPr>
      <w:rFonts w:asciiTheme="minorHAnsi" w:eastAsiaTheme="minorEastAsia" w:hAnsiTheme="minorHAnsi" w:cstheme="minorBidi"/>
      <w:szCs w:val="20"/>
      <w:lang w:val="it-IT" w:eastAsia="ko-KR"/>
    </w:rPr>
  </w:style>
  <w:style w:type="character" w:customStyle="1" w:styleId="FootnoteTextChar">
    <w:name w:val="Footnote Text Char"/>
    <w:basedOn w:val="DefaultParagraphFont"/>
    <w:link w:val="FootnoteText"/>
    <w:uiPriority w:val="99"/>
    <w:semiHidden/>
    <w:rsid w:val="005A0365"/>
    <w:rPr>
      <w:rFonts w:asciiTheme="minorHAnsi" w:eastAsiaTheme="minorEastAsia" w:hAnsiTheme="minorHAnsi" w:cstheme="minorBidi"/>
      <w:lang w:val="it-IT" w:eastAsia="ko-KR"/>
    </w:rPr>
  </w:style>
  <w:style w:type="character" w:styleId="FootnoteReference">
    <w:name w:val="footnote reference"/>
    <w:basedOn w:val="DefaultParagraphFont"/>
    <w:uiPriority w:val="99"/>
    <w:semiHidden/>
    <w:unhideWhenUsed/>
    <w:rsid w:val="005A0365"/>
    <w:rPr>
      <w:vertAlign w:val="superscript"/>
    </w:rPr>
  </w:style>
  <w:style w:type="table" w:customStyle="1" w:styleId="Tabellasemplice-21">
    <w:name w:val="Tabella semplice - 21"/>
    <w:basedOn w:val="TableNormal"/>
    <w:next w:val="Tabellasemplice-22"/>
    <w:uiPriority w:val="42"/>
    <w:rsid w:val="00D9354D"/>
    <w:rPr>
      <w:rFonts w:ascii="Calibri" w:eastAsia="Malgun Gothic" w:hAnsi="Calibri"/>
      <w:sz w:val="22"/>
      <w:szCs w:val="22"/>
      <w:lang w:val="it-IT" w:eastAsia="ko-K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lasemplice-22">
    <w:name w:val="Tabella semplice - 22"/>
    <w:basedOn w:val="TableNormal"/>
    <w:uiPriority w:val="42"/>
    <w:rsid w:val="00D9354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220">
    <w:name w:val="Tabella semplice - 22"/>
    <w:basedOn w:val="TableNormal"/>
    <w:next w:val="Tabellasemplice-22"/>
    <w:uiPriority w:val="42"/>
    <w:rsid w:val="00D9354D"/>
    <w:rPr>
      <w:rFonts w:ascii="Calibri" w:eastAsia="Malgun Gothic" w:hAnsi="Calibri"/>
      <w:sz w:val="22"/>
      <w:szCs w:val="22"/>
      <w:lang w:val="it-IT" w:eastAsia="ko-K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gliatabellachiara1">
    <w:name w:val="Griglia tabella chiara1"/>
    <w:basedOn w:val="TableNormal"/>
    <w:uiPriority w:val="40"/>
    <w:rsid w:val="00B375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51">
    <w:name w:val="Tabella semplice 51"/>
    <w:basedOn w:val="TableNormal"/>
    <w:uiPriority w:val="45"/>
    <w:rsid w:val="002502B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semplice41">
    <w:name w:val="Tabella semplice 41"/>
    <w:basedOn w:val="TableNormal"/>
    <w:uiPriority w:val="44"/>
    <w:rsid w:val="002502B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semiHidden/>
    <w:unhideWhenUsed/>
    <w:rsid w:val="00665FA5"/>
    <w:pPr>
      <w:spacing w:after="0"/>
      <w:ind w:firstLine="238"/>
      <w:jc w:val="both"/>
    </w:pPr>
    <w:rPr>
      <w:rFonts w:ascii="Garamond" w:eastAsia="Times New Roman" w:hAnsi="Garamond" w:cs="Times New Roman"/>
      <w:b/>
      <w:bCs/>
      <w:lang w:eastAsia="en-US"/>
    </w:rPr>
  </w:style>
  <w:style w:type="character" w:customStyle="1" w:styleId="CommentSubjectChar">
    <w:name w:val="Comment Subject Char"/>
    <w:basedOn w:val="CommentTextChar"/>
    <w:link w:val="CommentSubject"/>
    <w:semiHidden/>
    <w:rsid w:val="00665FA5"/>
    <w:rPr>
      <w:rFonts w:ascii="Garamond" w:eastAsiaTheme="minorEastAsia" w:hAnsi="Garamond" w:cstheme="minorBidi"/>
      <w:b/>
      <w:bCs/>
      <w:lang w:val="en-GB" w:eastAsia="en-US"/>
    </w:rPr>
  </w:style>
  <w:style w:type="character" w:styleId="Strong">
    <w:name w:val="Strong"/>
    <w:basedOn w:val="DefaultParagraphFont"/>
    <w:uiPriority w:val="22"/>
    <w:qFormat/>
    <w:rsid w:val="00774307"/>
    <w:rPr>
      <w:b/>
      <w:bCs/>
    </w:rPr>
  </w:style>
  <w:style w:type="paragraph" w:styleId="Revision">
    <w:name w:val="Revision"/>
    <w:hidden/>
    <w:uiPriority w:val="99"/>
    <w:semiHidden/>
    <w:rsid w:val="004B645C"/>
    <w:rPr>
      <w:rFonts w:ascii="Garamond" w:hAnsi="Garamond"/>
      <w:szCs w:val="24"/>
      <w:lang w:val="en-GB" w:eastAsia="en-US"/>
    </w:rPr>
  </w:style>
  <w:style w:type="paragraph" w:styleId="EndnoteText">
    <w:name w:val="endnote text"/>
    <w:basedOn w:val="Normal"/>
    <w:link w:val="EndnoteTextChar"/>
    <w:uiPriority w:val="99"/>
    <w:unhideWhenUsed/>
    <w:rsid w:val="00A36C52"/>
    <w:pPr>
      <w:spacing w:line="480" w:lineRule="auto"/>
      <w:ind w:firstLine="426"/>
    </w:pPr>
    <w:rPr>
      <w:rFonts w:ascii="Times New Roman" w:eastAsiaTheme="minorHAnsi" w:hAnsi="Times New Roman"/>
      <w:szCs w:val="20"/>
    </w:rPr>
  </w:style>
  <w:style w:type="character" w:customStyle="1" w:styleId="EndnoteTextChar">
    <w:name w:val="Endnote Text Char"/>
    <w:basedOn w:val="DefaultParagraphFont"/>
    <w:link w:val="EndnoteText"/>
    <w:uiPriority w:val="99"/>
    <w:rsid w:val="00A36C52"/>
    <w:rPr>
      <w:rFonts w:eastAsiaTheme="minorHAnsi"/>
      <w:lang w:val="en-GB" w:eastAsia="en-US"/>
    </w:rPr>
  </w:style>
  <w:style w:type="character" w:styleId="EndnoteReference">
    <w:name w:val="endnote reference"/>
    <w:basedOn w:val="DefaultParagraphFont"/>
    <w:uiPriority w:val="99"/>
    <w:semiHidden/>
    <w:unhideWhenUsed/>
    <w:rsid w:val="00A36C52"/>
    <w:rPr>
      <w:vertAlign w:val="superscript"/>
    </w:rPr>
  </w:style>
  <w:style w:type="paragraph" w:styleId="NormalWeb">
    <w:name w:val="Normal (Web)"/>
    <w:basedOn w:val="Normal"/>
    <w:uiPriority w:val="99"/>
    <w:unhideWhenUsed/>
    <w:rsid w:val="00CF4552"/>
    <w:pPr>
      <w:spacing w:before="100" w:beforeAutospacing="1" w:after="100" w:afterAutospacing="1"/>
      <w:ind w:firstLine="0"/>
      <w:jc w:val="left"/>
    </w:pPr>
    <w:rPr>
      <w:rFonts w:ascii="Times New Roman" w:hAnsi="Times New Roman"/>
      <w:sz w:val="24"/>
      <w:lang w:val="it-IT" w:eastAsia="ko-KR"/>
    </w:rPr>
  </w:style>
  <w:style w:type="character" w:styleId="Hyperlink">
    <w:name w:val="Hyperlink"/>
    <w:basedOn w:val="DefaultParagraphFont"/>
    <w:unhideWhenUsed/>
    <w:rsid w:val="002B130A"/>
    <w:rPr>
      <w:color w:val="0563C1" w:themeColor="hyperlink"/>
      <w:u w:val="single"/>
    </w:rPr>
  </w:style>
  <w:style w:type="character" w:styleId="UnresolvedMention">
    <w:name w:val="Unresolved Mention"/>
    <w:basedOn w:val="DefaultParagraphFont"/>
    <w:uiPriority w:val="99"/>
    <w:semiHidden/>
    <w:unhideWhenUsed/>
    <w:rsid w:val="002B1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ano.fratocchi@univaq.it" TargetMode="Externa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bizlib247.wordpress.com/2011/06/19/which-business-and-management-journal-database-is-best/" TargetMode="External"/><Relationship Id="rId2" Type="http://schemas.openxmlformats.org/officeDocument/2006/relationships/numbering" Target="numbering.xml"/><Relationship Id="rId16" Type="http://schemas.openxmlformats.org/officeDocument/2006/relationships/hyperlink" Target="https://doi.org/10.1016/j.pursup.2018.12.00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9658B-1FAA-476A-B3D9-75C6D6D8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D:\Ablage\WebProjekte\acta.imeko.org\Template Acta IMEKOv2.doc.dot</Template>
  <TotalTime>0</TotalTime>
  <Pages>8</Pages>
  <Words>7721</Words>
  <Characters>44013</Characters>
  <Application>Microsoft Office Word</Application>
  <DocSecurity>0</DocSecurity>
  <Lines>366</Lines>
  <Paragraphs>103</Paragraphs>
  <ScaleCrop>false</ScaleCrop>
  <HeadingPairs>
    <vt:vector size="8" baseType="variant">
      <vt:variant>
        <vt:lpstr>Title</vt:lpstr>
      </vt:variant>
      <vt:variant>
        <vt:i4>1</vt:i4>
      </vt:variant>
      <vt:variant>
        <vt:lpstr>Titel</vt:lpstr>
      </vt:variant>
      <vt:variant>
        <vt:i4>1</vt:i4>
      </vt:variant>
      <vt:variant>
        <vt:lpstr>Titolo</vt:lpstr>
      </vt:variant>
      <vt:variant>
        <vt:i4>1</vt:i4>
      </vt:variant>
      <vt:variant>
        <vt:lpstr>Título</vt:lpstr>
      </vt:variant>
      <vt:variant>
        <vt:i4>1</vt:i4>
      </vt:variant>
    </vt:vector>
  </HeadingPairs>
  <TitlesOfParts>
    <vt:vector size="4" baseType="lpstr">
      <vt:lpstr>Industry 4.0 technologies and manufacturing back-shoring: A European perspective</vt:lpstr>
      <vt:lpstr>Industry 4.0 technologies and manufacturing back-shoring: A European perspective</vt:lpstr>
      <vt:lpstr>Acta IMEKO, Title</vt:lpstr>
      <vt:lpstr>Acta IMEKO, Title</vt:lpstr>
    </vt:vector>
  </TitlesOfParts>
  <Company>IMEKO - The International Measurement Confederation</Company>
  <LinksUpToDate>false</LinksUpToDate>
  <CharactersWithSpaces>51631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4.0 technologies and manufacturing back-shoring: A European perspective</dc:title>
  <dc:subject>Acta IMEKO 9 (2020) 4</dc:subject>
  <dc:creator>Luciano Fratocchi;Cristina Di Stefano</dc:creator>
  <cp:keywords>reshoring; Industry 4.0; manufacturing</cp:keywords>
  <cp:lastModifiedBy>Proofed</cp:lastModifiedBy>
  <cp:revision>2</cp:revision>
  <cp:lastPrinted>2020-01-24T14:49:00Z</cp:lastPrinted>
  <dcterms:created xsi:type="dcterms:W3CDTF">2020-11-25T17:48:00Z</dcterms:created>
  <dcterms:modified xsi:type="dcterms:W3CDTF">2020-11-25T17:48:00Z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Mendeley Document_1">
    <vt:lpwstr>True</vt:lpwstr>
  </property>
  <property fmtid="{D5CDD505-2E9C-101B-9397-08002B2CF9AE}" pid="8" name="Mendeley Unique User Id_1">
    <vt:lpwstr>d9851b87-1b2f-3062-954c-65fceb1610a7</vt:lpwstr>
  </property>
  <property fmtid="{D5CDD505-2E9C-101B-9397-08002B2CF9AE}" pid="9" name="Mendeley Citation Style_1">
    <vt:lpwstr>http://www.zotero.org/styles/elsevier-harvard</vt:lpwstr>
  </property>
  <property fmtid="{D5CDD505-2E9C-101B-9397-08002B2CF9AE}" pid="10" name="Mendeley Recent Style Id 0_1">
    <vt:lpwstr>http://www.zotero.org/styles/apa</vt:lpwstr>
  </property>
  <property fmtid="{D5CDD505-2E9C-101B-9397-08002B2CF9AE}" pid="11" name="Mendeley Recent Style Name 0_1">
    <vt:lpwstr>American Psychological Association 6th edition</vt:lpwstr>
  </property>
  <property fmtid="{D5CDD505-2E9C-101B-9397-08002B2CF9AE}" pid="12" name="Mendeley Recent Style Id 1_1">
    <vt:lpwstr>http://www.zotero.org/styles/harvard-cite-them-right</vt:lpwstr>
  </property>
  <property fmtid="{D5CDD505-2E9C-101B-9397-08002B2CF9AE}" pid="13" name="Mendeley Recent Style Name 1_1">
    <vt:lpwstr>Cite Them Right 10th edition - Harvard</vt:lpwstr>
  </property>
  <property fmtid="{D5CDD505-2E9C-101B-9397-08002B2CF9AE}" pid="14" name="Mendeley Recent Style Id 2_1">
    <vt:lpwstr>http://www.zotero.org/styles/elsevier-harvard</vt:lpwstr>
  </property>
  <property fmtid="{D5CDD505-2E9C-101B-9397-08002B2CF9AE}" pid="15" name="Mendeley Recent Style Name 2_1">
    <vt:lpwstr>Elsevier - Harvard (with titles)</vt:lpwstr>
  </property>
  <property fmtid="{D5CDD505-2E9C-101B-9397-08002B2CF9AE}" pid="16" name="Mendeley Recent Style Id 3_1">
    <vt:lpwstr>http://www.zotero.org/styles/emerald-harvard</vt:lpwstr>
  </property>
  <property fmtid="{D5CDD505-2E9C-101B-9397-08002B2CF9AE}" pid="17" name="Mendeley Recent Style Name 3_1">
    <vt:lpwstr>Emerald - Harvard</vt:lpwstr>
  </property>
  <property fmtid="{D5CDD505-2E9C-101B-9397-08002B2CF9AE}" pid="18" name="Mendeley Recent Style Id 4_1">
    <vt:lpwstr>http://www.zotero.org/styles/harvard1</vt:lpwstr>
  </property>
  <property fmtid="{D5CDD505-2E9C-101B-9397-08002B2CF9AE}" pid="19" name="Mendeley Recent Style Name 4_1">
    <vt:lpwstr>Harvard reference format 1 (deprecated)</vt:lpwstr>
  </property>
  <property fmtid="{D5CDD505-2E9C-101B-9397-08002B2CF9AE}" pid="20" name="Mendeley Recent Style Id 5_1">
    <vt:lpwstr>http://www.zotero.org/styles/ieee</vt:lpwstr>
  </property>
  <property fmtid="{D5CDD505-2E9C-101B-9397-08002B2CF9AE}" pid="21" name="Mendeley Recent Style Name 5_1">
    <vt:lpwstr>IEEE</vt:lpwstr>
  </property>
  <property fmtid="{D5CDD505-2E9C-101B-9397-08002B2CF9AE}" pid="22" name="Mendeley Recent Style Id 6_1">
    <vt:lpwstr>http://www.zotero.org/styles/modern-humanities-research-association</vt:lpwstr>
  </property>
  <property fmtid="{D5CDD505-2E9C-101B-9397-08002B2CF9AE}" pid="23" name="Mendeley Recent Style Name 6_1">
    <vt:lpwstr>Modern Humanities Research Association 3rd edition (note with bibliography)</vt:lpwstr>
  </property>
  <property fmtid="{D5CDD505-2E9C-101B-9397-08002B2CF9AE}" pid="24" name="Mendeley Recent Style Id 7_1">
    <vt:lpwstr>http://www.zotero.org/styles/modern-language-association</vt:lpwstr>
  </property>
  <property fmtid="{D5CDD505-2E9C-101B-9397-08002B2CF9AE}" pid="25" name="Mendeley Recent Style Name 7_1">
    <vt:lpwstr>Modern Language Association 8th edition</vt:lpwstr>
  </property>
  <property fmtid="{D5CDD505-2E9C-101B-9397-08002B2CF9AE}" pid="26" name="Mendeley Recent Style Id 8_1">
    <vt:lpwstr>http://www.zotero.org/styles/nature</vt:lpwstr>
  </property>
  <property fmtid="{D5CDD505-2E9C-101B-9397-08002B2CF9AE}" pid="27" name="Mendeley Recent Style Name 8_1">
    <vt:lpwstr>Nature</vt:lpwstr>
  </property>
  <property fmtid="{D5CDD505-2E9C-101B-9397-08002B2CF9AE}" pid="28" name="Mendeley Recent Style Id 9_1">
    <vt:lpwstr>http://www.zotero.org/styles/vancouver</vt:lpwstr>
  </property>
  <property fmtid="{D5CDD505-2E9C-101B-9397-08002B2CF9AE}" pid="29" name="Mendeley Recent Style Name 9_1">
    <vt:lpwstr>Vancouver</vt:lpwstr>
  </property>
  <property fmtid="{D5CDD505-2E9C-101B-9397-08002B2CF9AE}" pid="30" name="Acta IMEKO Issue Year">
    <vt:lpwstr>2020</vt:lpwstr>
  </property>
  <property fmtid="{D5CDD505-2E9C-101B-9397-08002B2CF9AE}" pid="31" name="Acta IMEKO Issue Volume">
    <vt:lpwstr>9</vt:lpwstr>
  </property>
  <property fmtid="{D5CDD505-2E9C-101B-9397-08002B2CF9AE}" pid="32" name="Acta IMEKO Issue Number">
    <vt:lpwstr>4</vt:lpwstr>
  </property>
  <property fmtid="{D5CDD505-2E9C-101B-9397-08002B2CF9AE}" pid="33" name="Acta IMEKO Issue Month">
    <vt:lpwstr>December</vt:lpwstr>
  </property>
  <property fmtid="{D5CDD505-2E9C-101B-9397-08002B2CF9AE}" pid="34" name="Acta IMEKO Article Number">
    <vt:lpwstr>3</vt:lpwstr>
  </property>
  <property fmtid="{D5CDD505-2E9C-101B-9397-08002B2CF9AE}" pid="35" name="Acta IMEKO Article Authors">
    <vt:lpwstr>Luciano Fratocchi, Cristina Di Stefano</vt:lpwstr>
  </property>
  <property fmtid="{D5CDD505-2E9C-101B-9397-08002B2CF9AE}" pid="36" name="Acta IMEKO Section Editor">
    <vt:lpwstr>Leopoldo Angrisani, University of Naples "Federico II", Italy</vt:lpwstr>
  </property>
  <property fmtid="{D5CDD505-2E9C-101B-9397-08002B2CF9AE}" pid="37" name="Acta IMEKO Received MonthDayYear">
    <vt:lpwstr>October 11, 2019</vt:lpwstr>
  </property>
  <property fmtid="{D5CDD505-2E9C-101B-9397-08002B2CF9AE}" pid="38" name="Acta IMEKO InFinalForm MonthDayYear">
    <vt:lpwstr>August 7, 2020</vt:lpwstr>
  </property>
</Properties>
</file>