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8051A" w14:textId="77777777" w:rsidR="00E447B8" w:rsidRPr="00E235A7" w:rsidRDefault="00E447B8" w:rsidP="00E447B8">
      <w:pPr>
        <w:rPr>
          <w:lang w:val="en-GB"/>
        </w:rPr>
      </w:pPr>
      <w:r w:rsidRPr="00E235A7">
        <w:rPr>
          <w:lang w:val="en-GB"/>
        </w:rPr>
        <w:t xml:space="preserve">Changes in article Measurement technologies for permanent magnets </w:t>
      </w:r>
    </w:p>
    <w:p w14:paraId="0908A797" w14:textId="77777777" w:rsidR="00793AF9" w:rsidRPr="00E235A7" w:rsidRDefault="00793AF9">
      <w:pPr>
        <w:rPr>
          <w:lang w:val="en-GB"/>
        </w:rPr>
      </w:pPr>
    </w:p>
    <w:tbl>
      <w:tblPr>
        <w:tblStyle w:val="Tabellenraster"/>
        <w:tblW w:w="0" w:type="auto"/>
        <w:tblLook w:val="04A0" w:firstRow="1" w:lastRow="0" w:firstColumn="1" w:lastColumn="0" w:noHBand="0" w:noVBand="1"/>
      </w:tblPr>
      <w:tblGrid>
        <w:gridCol w:w="1095"/>
        <w:gridCol w:w="7967"/>
      </w:tblGrid>
      <w:tr w:rsidR="00E447B8" w:rsidRPr="00E235A7" w14:paraId="0DF18417" w14:textId="77777777" w:rsidTr="00E447B8">
        <w:tc>
          <w:tcPr>
            <w:tcW w:w="1101" w:type="dxa"/>
          </w:tcPr>
          <w:p w14:paraId="2C1209F9" w14:textId="1180599B" w:rsidR="00E447B8" w:rsidRPr="00E235A7" w:rsidRDefault="00E447B8">
            <w:pPr>
              <w:rPr>
                <w:lang w:val="en-GB"/>
              </w:rPr>
            </w:pPr>
            <w:r w:rsidRPr="00E235A7">
              <w:rPr>
                <w:lang w:val="en-GB"/>
              </w:rPr>
              <w:t>Page</w:t>
            </w:r>
            <w:r w:rsidR="00235EC5">
              <w:rPr>
                <w:lang w:val="en-GB"/>
              </w:rPr>
              <w:t xml:space="preserve"> / column</w:t>
            </w:r>
          </w:p>
        </w:tc>
        <w:tc>
          <w:tcPr>
            <w:tcW w:w="8111" w:type="dxa"/>
          </w:tcPr>
          <w:p w14:paraId="4B155F30" w14:textId="77777777" w:rsidR="00E447B8" w:rsidRPr="00E235A7" w:rsidRDefault="00E447B8">
            <w:pPr>
              <w:rPr>
                <w:lang w:val="en-GB"/>
              </w:rPr>
            </w:pPr>
            <w:r w:rsidRPr="00E235A7">
              <w:rPr>
                <w:lang w:val="en-GB"/>
              </w:rPr>
              <w:t>Change</w:t>
            </w:r>
          </w:p>
        </w:tc>
      </w:tr>
      <w:tr w:rsidR="00E447B8" w:rsidRPr="00E235A7" w14:paraId="2B06DF6A" w14:textId="77777777" w:rsidTr="00E447B8">
        <w:tc>
          <w:tcPr>
            <w:tcW w:w="1101" w:type="dxa"/>
          </w:tcPr>
          <w:p w14:paraId="05651D0F" w14:textId="5A6CBFC6" w:rsidR="00E447B8" w:rsidRPr="00E235A7" w:rsidRDefault="00235EC5">
            <w:pPr>
              <w:rPr>
                <w:lang w:val="en-GB"/>
              </w:rPr>
            </w:pPr>
            <w:r>
              <w:rPr>
                <w:lang w:val="en-GB"/>
              </w:rPr>
              <w:t>1 / 1</w:t>
            </w:r>
          </w:p>
        </w:tc>
        <w:tc>
          <w:tcPr>
            <w:tcW w:w="8111" w:type="dxa"/>
          </w:tcPr>
          <w:p w14:paraId="13186C7E" w14:textId="77700436" w:rsidR="00E447B8" w:rsidRPr="00E235A7" w:rsidRDefault="00235EC5">
            <w:pPr>
              <w:rPr>
                <w:lang w:val="en-GB"/>
              </w:rPr>
            </w:pPr>
            <w:r>
              <w:rPr>
                <w:lang w:val="en-GB"/>
              </w:rPr>
              <w:t>Deletion of “the”</w:t>
            </w:r>
          </w:p>
        </w:tc>
      </w:tr>
      <w:tr w:rsidR="00E447B8" w:rsidRPr="00E235A7" w14:paraId="67E0882C" w14:textId="77777777" w:rsidTr="00E447B8">
        <w:tc>
          <w:tcPr>
            <w:tcW w:w="1101" w:type="dxa"/>
          </w:tcPr>
          <w:p w14:paraId="41B59D7B" w14:textId="01600E4A" w:rsidR="00E447B8" w:rsidRPr="00E235A7" w:rsidRDefault="00235EC5">
            <w:pPr>
              <w:rPr>
                <w:lang w:val="en-GB"/>
              </w:rPr>
            </w:pPr>
            <w:r>
              <w:rPr>
                <w:lang w:val="en-GB"/>
              </w:rPr>
              <w:t>1 / 1</w:t>
            </w:r>
          </w:p>
        </w:tc>
        <w:tc>
          <w:tcPr>
            <w:tcW w:w="8111" w:type="dxa"/>
          </w:tcPr>
          <w:p w14:paraId="6F674575" w14:textId="6F25D921" w:rsidR="00E447B8" w:rsidRPr="00E235A7" w:rsidRDefault="00235EC5">
            <w:pPr>
              <w:rPr>
                <w:lang w:val="en-GB"/>
              </w:rPr>
            </w:pPr>
            <w:r>
              <w:rPr>
                <w:lang w:val="en-GB"/>
              </w:rPr>
              <w:t>Change from “on order” to “to obtain”</w:t>
            </w:r>
          </w:p>
        </w:tc>
      </w:tr>
      <w:tr w:rsidR="00E447B8" w:rsidRPr="00E235A7" w14:paraId="6C59BE94" w14:textId="77777777" w:rsidTr="00E447B8">
        <w:tc>
          <w:tcPr>
            <w:tcW w:w="1101" w:type="dxa"/>
          </w:tcPr>
          <w:p w14:paraId="2BD4E4C4" w14:textId="1BA4CF9A" w:rsidR="00E447B8" w:rsidRPr="00E235A7" w:rsidRDefault="00235EC5">
            <w:pPr>
              <w:rPr>
                <w:lang w:val="en-GB"/>
              </w:rPr>
            </w:pPr>
            <w:r>
              <w:rPr>
                <w:lang w:val="en-GB"/>
              </w:rPr>
              <w:t>1 / 2</w:t>
            </w:r>
          </w:p>
        </w:tc>
        <w:tc>
          <w:tcPr>
            <w:tcW w:w="8111" w:type="dxa"/>
          </w:tcPr>
          <w:p w14:paraId="2158F272" w14:textId="5B08D1FE" w:rsidR="00E447B8" w:rsidRPr="00E235A7" w:rsidRDefault="00235EC5">
            <w:pPr>
              <w:rPr>
                <w:lang w:val="en-GB"/>
              </w:rPr>
            </w:pPr>
            <w:r>
              <w:rPr>
                <w:lang w:val="en-GB"/>
              </w:rPr>
              <w:t>Change from “presented” to “discussed”</w:t>
            </w:r>
          </w:p>
        </w:tc>
      </w:tr>
      <w:tr w:rsidR="00E447B8" w:rsidRPr="00E235A7" w14:paraId="2C22796D" w14:textId="77777777" w:rsidTr="00E447B8">
        <w:tc>
          <w:tcPr>
            <w:tcW w:w="1101" w:type="dxa"/>
          </w:tcPr>
          <w:p w14:paraId="49F11253" w14:textId="4D4A723F" w:rsidR="00E447B8" w:rsidRPr="00E235A7" w:rsidRDefault="00235EC5">
            <w:pPr>
              <w:rPr>
                <w:lang w:val="en-GB"/>
              </w:rPr>
            </w:pPr>
            <w:r>
              <w:rPr>
                <w:lang w:val="en-GB"/>
              </w:rPr>
              <w:t>3 / 1</w:t>
            </w:r>
          </w:p>
        </w:tc>
        <w:tc>
          <w:tcPr>
            <w:tcW w:w="8111" w:type="dxa"/>
          </w:tcPr>
          <w:p w14:paraId="4058DCFC" w14:textId="3E503D9C" w:rsidR="00E447B8" w:rsidRPr="00E235A7" w:rsidRDefault="00235EC5">
            <w:pPr>
              <w:rPr>
                <w:lang w:val="en-GB"/>
              </w:rPr>
            </w:pPr>
            <w:r>
              <w:rPr>
                <w:lang w:val="en-GB"/>
              </w:rPr>
              <w:t>Change from “Despite the fact that” to “Even though”</w:t>
            </w:r>
          </w:p>
        </w:tc>
      </w:tr>
      <w:tr w:rsidR="00E447B8" w:rsidRPr="00E235A7" w14:paraId="50498758" w14:textId="77777777" w:rsidTr="00E447B8">
        <w:tc>
          <w:tcPr>
            <w:tcW w:w="1101" w:type="dxa"/>
          </w:tcPr>
          <w:p w14:paraId="4199282F" w14:textId="2EE0443D" w:rsidR="00E447B8" w:rsidRPr="00E235A7" w:rsidRDefault="00235EC5">
            <w:pPr>
              <w:rPr>
                <w:lang w:val="en-GB"/>
              </w:rPr>
            </w:pPr>
            <w:r>
              <w:rPr>
                <w:lang w:val="en-GB"/>
              </w:rPr>
              <w:t>3 / 2</w:t>
            </w:r>
          </w:p>
        </w:tc>
        <w:tc>
          <w:tcPr>
            <w:tcW w:w="8111" w:type="dxa"/>
          </w:tcPr>
          <w:p w14:paraId="2BA767E5" w14:textId="318F9F98" w:rsidR="00E447B8" w:rsidRPr="00E235A7" w:rsidRDefault="00235EC5">
            <w:pPr>
              <w:rPr>
                <w:lang w:val="en-GB"/>
              </w:rPr>
            </w:pPr>
            <w:r>
              <w:rPr>
                <w:lang w:val="en-GB"/>
              </w:rPr>
              <w:t>Change from “Foner or Vibrating Sample Magnetometer” to “Foner or vibrating sample magnetometer (VSM)”</w:t>
            </w:r>
          </w:p>
        </w:tc>
      </w:tr>
      <w:tr w:rsidR="00235EC5" w:rsidRPr="00E235A7" w14:paraId="7F5BBE39" w14:textId="77777777" w:rsidTr="00E447B8">
        <w:tc>
          <w:tcPr>
            <w:tcW w:w="1101" w:type="dxa"/>
          </w:tcPr>
          <w:p w14:paraId="7435C979" w14:textId="2D46F455" w:rsidR="00235EC5" w:rsidRDefault="00235EC5">
            <w:pPr>
              <w:rPr>
                <w:lang w:val="en-GB"/>
              </w:rPr>
            </w:pPr>
            <w:r>
              <w:rPr>
                <w:lang w:val="en-GB"/>
              </w:rPr>
              <w:t>3 / 2</w:t>
            </w:r>
          </w:p>
        </w:tc>
        <w:tc>
          <w:tcPr>
            <w:tcW w:w="8111" w:type="dxa"/>
          </w:tcPr>
          <w:p w14:paraId="4E7F292F" w14:textId="6233F80D" w:rsidR="00235EC5" w:rsidRDefault="00235EC5">
            <w:pPr>
              <w:rPr>
                <w:lang w:val="en-GB"/>
              </w:rPr>
            </w:pPr>
            <w:r>
              <w:rPr>
                <w:lang w:val="en-GB"/>
              </w:rPr>
              <w:t>Adding of mostly and changing of “</w:t>
            </w:r>
            <w:proofErr w:type="spellStart"/>
            <w:r>
              <w:rPr>
                <w:lang w:val="en-GB"/>
              </w:rPr>
              <w:t>centers</w:t>
            </w:r>
            <w:proofErr w:type="spellEnd"/>
            <w:r>
              <w:rPr>
                <w:lang w:val="en-GB"/>
              </w:rPr>
              <w:t>” in “centres”</w:t>
            </w:r>
          </w:p>
        </w:tc>
      </w:tr>
      <w:tr w:rsidR="00235EC5" w:rsidRPr="00E235A7" w14:paraId="1B6AD3FD" w14:textId="77777777" w:rsidTr="00E447B8">
        <w:tc>
          <w:tcPr>
            <w:tcW w:w="1101" w:type="dxa"/>
          </w:tcPr>
          <w:p w14:paraId="23C1D456" w14:textId="6B581EC8" w:rsidR="00235EC5" w:rsidRDefault="00693183">
            <w:pPr>
              <w:rPr>
                <w:lang w:val="en-GB"/>
              </w:rPr>
            </w:pPr>
            <w:r>
              <w:rPr>
                <w:lang w:val="en-GB"/>
              </w:rPr>
              <w:t>4 / 1</w:t>
            </w:r>
          </w:p>
        </w:tc>
        <w:tc>
          <w:tcPr>
            <w:tcW w:w="8111" w:type="dxa"/>
          </w:tcPr>
          <w:p w14:paraId="554A9EF1" w14:textId="5F251DD2" w:rsidR="00693183" w:rsidRPr="00693183" w:rsidRDefault="00693183" w:rsidP="00693183">
            <w:pPr>
              <w:rPr>
                <w:lang w:val="en-GB"/>
              </w:rPr>
            </w:pPr>
            <w:r>
              <w:rPr>
                <w:lang w:val="en-GB"/>
              </w:rPr>
              <w:t xml:space="preserve">Adding </w:t>
            </w:r>
            <w:proofErr w:type="gramStart"/>
            <w:r>
              <w:rPr>
                <w:lang w:val="en-GB"/>
              </w:rPr>
              <w:t>of  “</w:t>
            </w:r>
            <w:proofErr w:type="gramEnd"/>
            <w:r w:rsidRPr="00693183">
              <w:rPr>
                <w:lang w:val="en-GB"/>
              </w:rPr>
              <w:t>To collect data like mentioned before, different calculations and integration must be conducted, important parameters are the coil constant, the demagnetization factor and the volume of the analyzed magnet. Based on the easily comprehensible measurement process, insert the magnet between both coils and reset the measured Field to zero, afterwards the magnet is rotate by 180°. By turning the magnet inside the coils, the magnetic field is turned by 180°, too, as a result the HHC can measure the signal completely [18].</w:t>
            </w:r>
            <w:r>
              <w:rPr>
                <w:lang w:val="en-GB"/>
              </w:rPr>
              <w:t>” In chapter 4.4</w:t>
            </w:r>
          </w:p>
          <w:p w14:paraId="5DFBAEB9" w14:textId="69E1DE20" w:rsidR="00235EC5" w:rsidRPr="00693183" w:rsidRDefault="00235EC5">
            <w:pPr>
              <w:rPr>
                <w:lang w:val="en-GB"/>
              </w:rPr>
            </w:pPr>
          </w:p>
        </w:tc>
      </w:tr>
      <w:tr w:rsidR="00693183" w:rsidRPr="00E235A7" w14:paraId="297DC07B" w14:textId="77777777" w:rsidTr="00E447B8">
        <w:tc>
          <w:tcPr>
            <w:tcW w:w="1101" w:type="dxa"/>
          </w:tcPr>
          <w:p w14:paraId="3EF5D279" w14:textId="67BE48C9" w:rsidR="00693183" w:rsidRDefault="00693183">
            <w:pPr>
              <w:rPr>
                <w:lang w:val="en-GB"/>
              </w:rPr>
            </w:pPr>
            <w:r>
              <w:rPr>
                <w:lang w:val="en-GB"/>
              </w:rPr>
              <w:t>4 / 1</w:t>
            </w:r>
          </w:p>
        </w:tc>
        <w:tc>
          <w:tcPr>
            <w:tcW w:w="8111" w:type="dxa"/>
          </w:tcPr>
          <w:p w14:paraId="78315E66" w14:textId="77777777" w:rsidR="00693183" w:rsidRDefault="00693183" w:rsidP="00693183">
            <w:pPr>
              <w:rPr>
                <w:lang w:val="en-GB"/>
              </w:rPr>
            </w:pPr>
            <w:r>
              <w:rPr>
                <w:lang w:val="en-GB"/>
              </w:rPr>
              <w:t>Adding of chapter 4.5 Hall probe</w:t>
            </w:r>
          </w:p>
          <w:p w14:paraId="18FF5855" w14:textId="77777777" w:rsidR="00693183" w:rsidRDefault="00693183" w:rsidP="00693183">
            <w:pPr>
              <w:rPr>
                <w:lang w:val="en-US"/>
              </w:rPr>
            </w:pPr>
            <w:r>
              <w:rPr>
                <w:lang w:val="en-US"/>
              </w:rPr>
              <w:t>The Hall Probe is used to measure the magnetic field strength or flux density, as well as being deployed as a sensor device in various applications. The inherent Hall Generator consists of a semiconducting material and is passed by a control current. If a magnetic field is applied perpendicularly to the measurement surface of the Hall Probe, the Lorentz Force is acting upon the moving charge carriers passing the generator. The Lorentz Force is expressed as:</w:t>
            </w:r>
          </w:p>
          <w:p w14:paraId="16EC704D" w14:textId="77777777" w:rsidR="00693183" w:rsidRDefault="00693183" w:rsidP="00693183">
            <w:pPr>
              <w:rPr>
                <w:lang w:val="en-US"/>
              </w:rPr>
            </w:pPr>
          </w:p>
          <w:p w14:paraId="079CEF07" w14:textId="77777777" w:rsidR="00693183" w:rsidRPr="00CD78C5" w:rsidRDefault="00693183" w:rsidP="00693183">
            <w:pPr>
              <w:pStyle w:val="Equation"/>
              <w:rPr>
                <w:lang w:val="en-US"/>
              </w:rPr>
            </w:pPr>
            <m:oMath>
              <m:sSub>
                <m:sSubPr>
                  <m:ctrlPr>
                    <w:rPr>
                      <w:rFonts w:ascii="Cambria Math" w:hAnsi="Cambria Math"/>
                      <w:lang w:val="en-US"/>
                    </w:rPr>
                  </m:ctrlPr>
                </m:sSubPr>
                <m:e>
                  <m:r>
                    <w:rPr>
                      <w:rFonts w:ascii="Cambria Math" w:hAnsi="Cambria Math"/>
                      <w:lang w:val="en-US"/>
                    </w:rPr>
                    <m:t>F</m:t>
                  </m:r>
                </m:e>
                <m:sub>
                  <m:r>
                    <w:rPr>
                      <w:rFonts w:ascii="Cambria Math" w:hAnsi="Cambria Math"/>
                      <w:lang w:val="en-US"/>
                    </w:rPr>
                    <m:t>L</m:t>
                  </m:r>
                </m:sub>
              </m:sSub>
              <m:r>
                <m:rPr>
                  <m:sty m:val="p"/>
                </m:rPr>
                <w:rPr>
                  <w:rFonts w:ascii="Cambria Math" w:hAnsi="Cambria Math"/>
                  <w:lang w:val="en-US"/>
                </w:rPr>
                <m:t>=</m:t>
              </m:r>
              <m:r>
                <w:rPr>
                  <w:rFonts w:ascii="Cambria Math" w:hAnsi="Cambria Math"/>
                  <w:lang w:val="en-US"/>
                </w:rPr>
                <m:t>q</m:t>
              </m:r>
              <m:r>
                <m:rPr>
                  <m:sty m:val="p"/>
                </m:rPr>
                <w:rPr>
                  <w:rFonts w:ascii="Cambria Math" w:hAnsi="Cambria Math"/>
                  <w:lang w:val="en-US"/>
                </w:rPr>
                <m:t xml:space="preserve"> (</m:t>
              </m:r>
              <m:r>
                <w:rPr>
                  <w:rFonts w:ascii="Cambria Math" w:hAnsi="Cambria Math"/>
                  <w:lang w:val="en-US"/>
                </w:rPr>
                <m:t>v</m:t>
              </m:r>
              <m:r>
                <m:rPr>
                  <m:sty m:val="p"/>
                </m:rPr>
                <w:rPr>
                  <w:rFonts w:ascii="Cambria Math" w:hAnsi="Cambria Math"/>
                  <w:lang w:val="en-US"/>
                </w:rPr>
                <m:t>×</m:t>
              </m:r>
              <m:r>
                <w:rPr>
                  <w:rFonts w:ascii="Cambria Math" w:hAnsi="Cambria Math"/>
                  <w:lang w:val="en-US"/>
                </w:rPr>
                <m:t>B</m:t>
              </m:r>
              <m:r>
                <m:rPr>
                  <m:sty m:val="p"/>
                </m:rPr>
                <w:rPr>
                  <w:rFonts w:ascii="Cambria Math" w:hAnsi="Cambria Math"/>
                  <w:lang w:val="en-US"/>
                </w:rPr>
                <m:t>)</m:t>
              </m:r>
            </m:oMath>
            <w:r>
              <w:rPr>
                <w:lang w:val="en-US"/>
              </w:rPr>
              <w:tab/>
              <w:t>(4)</w:t>
            </w:r>
          </w:p>
          <w:p w14:paraId="2A8A83BC" w14:textId="77777777" w:rsidR="00693183" w:rsidRDefault="00693183" w:rsidP="00693183">
            <w:pPr>
              <w:rPr>
                <w:lang w:val="en-US"/>
              </w:rPr>
            </w:pPr>
          </w:p>
          <w:p w14:paraId="1EEC92E0" w14:textId="77777777" w:rsidR="00693183" w:rsidRDefault="00693183" w:rsidP="00693183">
            <w:pPr>
              <w:rPr>
                <w:lang w:val="en-US"/>
              </w:rPr>
            </w:pPr>
            <w:r>
              <w:rPr>
                <w:lang w:val="en-US"/>
              </w:rPr>
              <w:t>where q is the particle charge, v is the particle velocity and B is the magnetic flux density.</w:t>
            </w:r>
          </w:p>
          <w:p w14:paraId="74CB4B1A" w14:textId="77777777" w:rsidR="00693183" w:rsidRDefault="00693183" w:rsidP="00693183">
            <w:pPr>
              <w:rPr>
                <w:lang w:val="en-US"/>
              </w:rPr>
            </w:pPr>
            <w:r>
              <w:rPr>
                <w:lang w:val="en-US"/>
              </w:rPr>
              <w:t>The resulting force is pushing the charge carriers sideways, thus enabling the measurement of the corresponding Hall Voltage U</w:t>
            </w:r>
            <w:r>
              <w:rPr>
                <w:vertAlign w:val="subscript"/>
                <w:lang w:val="en-US"/>
              </w:rPr>
              <w:t>H</w:t>
            </w:r>
            <w:r>
              <w:rPr>
                <w:lang w:val="en-US"/>
              </w:rPr>
              <w:t>, which is expressed by:</w:t>
            </w:r>
          </w:p>
          <w:p w14:paraId="360D1956" w14:textId="77777777" w:rsidR="00693183" w:rsidRDefault="00693183" w:rsidP="00693183">
            <w:pPr>
              <w:rPr>
                <w:lang w:val="en-US"/>
              </w:rPr>
            </w:pPr>
          </w:p>
          <w:p w14:paraId="2F91B982" w14:textId="77777777" w:rsidR="00693183" w:rsidRDefault="00693183" w:rsidP="00693183">
            <w:pPr>
              <w:pStyle w:val="Equation"/>
              <w:rPr>
                <w:lang w:val="en-US"/>
              </w:rPr>
            </w:pPr>
            <m:oMath>
              <m:sSub>
                <m:sSubPr>
                  <m:ctrlPr>
                    <w:rPr>
                      <w:rFonts w:ascii="Cambria Math" w:hAnsi="Cambria Math"/>
                      <w:lang w:val="en-US"/>
                    </w:rPr>
                  </m:ctrlPr>
                </m:sSubPr>
                <m:e>
                  <m:r>
                    <w:rPr>
                      <w:rFonts w:ascii="Cambria Math" w:hAnsi="Cambria Math"/>
                      <w:lang w:val="en-US"/>
                    </w:rPr>
                    <m:t>U</m:t>
                  </m:r>
                </m:e>
                <m:sub>
                  <m:r>
                    <w:rPr>
                      <w:rFonts w:ascii="Cambria Math" w:hAnsi="Cambria Math"/>
                      <w:lang w:val="en-US"/>
                    </w:rPr>
                    <m:t>H</m:t>
                  </m:r>
                </m:sub>
              </m:sSub>
              <m:r>
                <m:rPr>
                  <m:sty m:val="p"/>
                </m:rPr>
                <w:rPr>
                  <w:rFonts w:ascii="Cambria Math" w:hAnsi="Cambria Math"/>
                  <w:lang w:val="en-US"/>
                </w:rPr>
                <m:t xml:space="preserve">= </m:t>
              </m:r>
              <m:sSub>
                <m:sSubPr>
                  <m:ctrlPr>
                    <w:rPr>
                      <w:rFonts w:ascii="Cambria Math" w:hAnsi="Cambria Math"/>
                      <w:lang w:val="en-US"/>
                    </w:rPr>
                  </m:ctrlPr>
                </m:sSubPr>
                <m:e>
                  <m:r>
                    <w:rPr>
                      <w:rFonts w:ascii="Cambria Math" w:hAnsi="Cambria Math"/>
                      <w:lang w:val="en-US"/>
                    </w:rPr>
                    <m:t>R</m:t>
                  </m:r>
                </m:e>
                <m:sub>
                  <m:r>
                    <w:rPr>
                      <w:rFonts w:ascii="Cambria Math" w:hAnsi="Cambria Math"/>
                      <w:lang w:val="en-US"/>
                    </w:rPr>
                    <m:t>H</m:t>
                  </m:r>
                </m:sub>
              </m:sSub>
              <m:r>
                <m:rPr>
                  <m:sty m:val="p"/>
                </m:rPr>
                <w:rPr>
                  <w:rFonts w:ascii="Cambria Math" w:hAnsi="Cambria Math"/>
                  <w:lang w:val="en-US"/>
                </w:rPr>
                <m:t xml:space="preserve">× </m:t>
              </m:r>
              <m:f>
                <m:fPr>
                  <m:ctrlPr>
                    <w:rPr>
                      <w:rFonts w:ascii="Cambria Math" w:hAnsi="Cambria Math"/>
                      <w:lang w:val="en-US"/>
                    </w:rPr>
                  </m:ctrlPr>
                </m:fPr>
                <m:num>
                  <m:r>
                    <w:rPr>
                      <w:rFonts w:ascii="Cambria Math" w:hAnsi="Cambria Math"/>
                      <w:lang w:val="en-US"/>
                    </w:rPr>
                    <m:t>I</m:t>
                  </m:r>
                  <m:r>
                    <m:rPr>
                      <m:sty m:val="p"/>
                    </m:rPr>
                    <w:rPr>
                      <w:rFonts w:ascii="Cambria Math" w:hAnsi="Cambria Math"/>
                      <w:lang w:val="en-US"/>
                    </w:rPr>
                    <m:t>×</m:t>
                  </m:r>
                  <m:r>
                    <w:rPr>
                      <w:rFonts w:ascii="Cambria Math" w:hAnsi="Cambria Math"/>
                      <w:lang w:val="en-US"/>
                    </w:rPr>
                    <m:t>B</m:t>
                  </m:r>
                </m:num>
                <m:den>
                  <m:r>
                    <w:rPr>
                      <w:rFonts w:ascii="Cambria Math" w:hAnsi="Cambria Math"/>
                      <w:lang w:val="en-US"/>
                    </w:rPr>
                    <m:t>d</m:t>
                  </m:r>
                </m:den>
              </m:f>
            </m:oMath>
            <w:r>
              <w:rPr>
                <w:lang w:val="en-US"/>
              </w:rPr>
              <w:tab/>
              <w:t>(5)</w:t>
            </w:r>
          </w:p>
          <w:p w14:paraId="04866BB9" w14:textId="77777777" w:rsidR="00693183" w:rsidRDefault="00693183" w:rsidP="00693183">
            <w:pPr>
              <w:rPr>
                <w:lang w:val="en-US"/>
              </w:rPr>
            </w:pPr>
          </w:p>
          <w:p w14:paraId="33DF543A" w14:textId="77777777" w:rsidR="00693183" w:rsidRDefault="00693183" w:rsidP="00693183">
            <w:pPr>
              <w:rPr>
                <w:lang w:val="en-US"/>
              </w:rPr>
            </w:pPr>
            <w:r>
              <w:rPr>
                <w:lang w:val="en-US"/>
              </w:rPr>
              <w:t>where R</w:t>
            </w:r>
            <w:r>
              <w:rPr>
                <w:vertAlign w:val="subscript"/>
                <w:lang w:val="en-US"/>
              </w:rPr>
              <w:t>H</w:t>
            </w:r>
            <w:r>
              <w:rPr>
                <w:lang w:val="en-US"/>
              </w:rPr>
              <w:t xml:space="preserve"> is the Hall constant, I </w:t>
            </w:r>
            <w:proofErr w:type="gramStart"/>
            <w:r>
              <w:rPr>
                <w:lang w:val="en-US"/>
              </w:rPr>
              <w:t>is</w:t>
            </w:r>
            <w:proofErr w:type="gramEnd"/>
            <w:r>
              <w:rPr>
                <w:lang w:val="en-US"/>
              </w:rPr>
              <w:t xml:space="preserve"> the passing control current, B is the magnetic flux density and d is the thickness of the Hall Generator [19, 20]</w:t>
            </w:r>
          </w:p>
          <w:p w14:paraId="19AEFB81" w14:textId="77777777" w:rsidR="00693183" w:rsidRDefault="00693183" w:rsidP="00693183">
            <w:pPr>
              <w:rPr>
                <w:lang w:val="en-US"/>
              </w:rPr>
            </w:pPr>
            <w:r>
              <w:rPr>
                <w:lang w:val="en-US"/>
              </w:rPr>
              <w:t xml:space="preserve">During the measurement with Hall probes, the user </w:t>
            </w:r>
            <w:proofErr w:type="gramStart"/>
            <w:r>
              <w:rPr>
                <w:lang w:val="en-US"/>
              </w:rPr>
              <w:t>has to</w:t>
            </w:r>
            <w:proofErr w:type="gramEnd"/>
            <w:r>
              <w:rPr>
                <w:lang w:val="en-US"/>
              </w:rPr>
              <w:t xml:space="preserve"> consider the sensitivity of the measuring device. The volume of the Hall generator itself is of crucial importance, as indicated in (5). The flux density B itself is a temperature-dependent parameter. [21]</w:t>
            </w:r>
          </w:p>
          <w:p w14:paraId="7798518F" w14:textId="4DACC5E9" w:rsidR="00693183" w:rsidRDefault="00693183" w:rsidP="00693183">
            <w:pPr>
              <w:rPr>
                <w:lang w:val="en-GB"/>
              </w:rPr>
            </w:pPr>
          </w:p>
        </w:tc>
      </w:tr>
      <w:tr w:rsidR="00693183" w:rsidRPr="00E235A7" w14:paraId="2FC0B6E6" w14:textId="77777777" w:rsidTr="00E447B8">
        <w:tc>
          <w:tcPr>
            <w:tcW w:w="1101" w:type="dxa"/>
          </w:tcPr>
          <w:p w14:paraId="5D79273F" w14:textId="28C4BAE5" w:rsidR="00693183" w:rsidRDefault="00693183">
            <w:pPr>
              <w:rPr>
                <w:lang w:val="en-GB"/>
              </w:rPr>
            </w:pPr>
            <w:r>
              <w:rPr>
                <w:lang w:val="en-GB"/>
              </w:rPr>
              <w:t>4 / 2</w:t>
            </w:r>
          </w:p>
        </w:tc>
        <w:tc>
          <w:tcPr>
            <w:tcW w:w="8111" w:type="dxa"/>
          </w:tcPr>
          <w:p w14:paraId="4C51EE76" w14:textId="77777777" w:rsidR="00693183" w:rsidRDefault="00864FF3" w:rsidP="00693183">
            <w:pPr>
              <w:rPr>
                <w:lang w:val="en-GB"/>
              </w:rPr>
            </w:pPr>
            <w:r>
              <w:rPr>
                <w:lang w:val="en-GB"/>
              </w:rPr>
              <w:t>Addition in Chapter 4.7 3D Mapper</w:t>
            </w:r>
          </w:p>
          <w:p w14:paraId="72B86B44" w14:textId="77777777" w:rsidR="00864FF3" w:rsidRPr="00012C90" w:rsidRDefault="00864FF3" w:rsidP="00864FF3">
            <w:pPr>
              <w:rPr>
                <w:lang w:val="en-US"/>
              </w:rPr>
            </w:pPr>
            <w:r w:rsidRPr="00012C90">
              <w:rPr>
                <w:lang w:val="en-US"/>
              </w:rPr>
              <w:t>Most beneficial of such 3D mappers is the measurement of complete systems on the one hand and on the other hand the visualization of all magnetic components. Therefore, it is possible to evaluate e.g. the field distribution in a magnetic system or to analyze the magnetic pole symmetry in a multiple magnet. All these measurements are performed with a 3-axis hall probe.</w:t>
            </w:r>
            <w:r>
              <w:rPr>
                <w:lang w:val="en-US"/>
              </w:rPr>
              <w:t xml:space="preserve"> </w:t>
            </w:r>
            <w:r w:rsidRPr="00012C90">
              <w:rPr>
                <w:lang w:val="en-US"/>
              </w:rPr>
              <w:t xml:space="preserve">Besides </w:t>
            </w:r>
            <w:r w:rsidRPr="00012C90">
              <w:rPr>
                <w:lang w:val="en-US"/>
              </w:rPr>
              <w:lastRenderedPageBreak/>
              <w:t>the magnetic measurements such kind of measurement equipment can be used with other sensors, for example to detected cracks within the magnet-body or to measure the dimensions of the analyzed samples. The sensors can be changed via a plug-and-play system and the measured data can be combined to one system for a detailed analysis.</w:t>
            </w:r>
          </w:p>
          <w:p w14:paraId="27F7F888" w14:textId="77777777" w:rsidR="00864FF3" w:rsidRDefault="00864FF3" w:rsidP="00864FF3">
            <w:pPr>
              <w:rPr>
                <w:lang w:val="en-US"/>
              </w:rPr>
            </w:pPr>
            <w:r w:rsidRPr="00012C90">
              <w:rPr>
                <w:lang w:val="en-US"/>
              </w:rPr>
              <w:t xml:space="preserve">The so called </w:t>
            </w:r>
            <w:proofErr w:type="spellStart"/>
            <w:r w:rsidRPr="00012C90">
              <w:rPr>
                <w:lang w:val="en-US"/>
              </w:rPr>
              <w:t>defectoscope</w:t>
            </w:r>
            <w:proofErr w:type="spellEnd"/>
            <w:r w:rsidRPr="00012C90">
              <w:rPr>
                <w:lang w:val="en-US"/>
              </w:rPr>
              <w:t xml:space="preserve"> can identify cracks and inhomogeneities within magnetized and unmagnetized magnets by using an eddy current measurement probe. The probe measures the eddy-current distribution and create a visual scan of the surface to show the defects</w:t>
            </w:r>
            <w:r>
              <w:rPr>
                <w:lang w:val="en-US"/>
              </w:rPr>
              <w:t xml:space="preserve"> [25,26].</w:t>
            </w:r>
          </w:p>
          <w:p w14:paraId="0BE37308" w14:textId="7AA2A2F1" w:rsidR="00864FF3" w:rsidRPr="00864FF3" w:rsidRDefault="00864FF3" w:rsidP="00693183">
            <w:pPr>
              <w:rPr>
                <w:lang w:val="en-US"/>
              </w:rPr>
            </w:pPr>
          </w:p>
        </w:tc>
      </w:tr>
      <w:tr w:rsidR="00864FF3" w:rsidRPr="00E235A7" w14:paraId="67ED2F20" w14:textId="77777777" w:rsidTr="00E447B8">
        <w:tc>
          <w:tcPr>
            <w:tcW w:w="1101" w:type="dxa"/>
          </w:tcPr>
          <w:p w14:paraId="4FEF75E8" w14:textId="75A1B565" w:rsidR="00864FF3" w:rsidRDefault="00864FF3">
            <w:pPr>
              <w:rPr>
                <w:lang w:val="en-GB"/>
              </w:rPr>
            </w:pPr>
            <w:r>
              <w:rPr>
                <w:lang w:val="en-GB"/>
              </w:rPr>
              <w:lastRenderedPageBreak/>
              <w:t>5 / 1</w:t>
            </w:r>
          </w:p>
        </w:tc>
        <w:tc>
          <w:tcPr>
            <w:tcW w:w="8111" w:type="dxa"/>
          </w:tcPr>
          <w:p w14:paraId="2DBC73C8" w14:textId="77777777" w:rsidR="00864FF3" w:rsidRDefault="00864FF3" w:rsidP="00693183">
            <w:pPr>
              <w:rPr>
                <w:lang w:val="en-GB"/>
              </w:rPr>
            </w:pPr>
            <w:r>
              <w:rPr>
                <w:lang w:val="en-GB"/>
              </w:rPr>
              <w:t>Adding of chapter “Measurement results”</w:t>
            </w:r>
          </w:p>
          <w:p w14:paraId="31B298D2" w14:textId="77777777" w:rsidR="00864FF3" w:rsidRPr="00E30F21" w:rsidRDefault="00864FF3" w:rsidP="00864FF3">
            <w:pPr>
              <w:rPr>
                <w:lang w:val="en-US"/>
              </w:rPr>
            </w:pPr>
            <w:r w:rsidRPr="00E30F21">
              <w:rPr>
                <w:lang w:val="en-US"/>
              </w:rPr>
              <w:t xml:space="preserve">All explained measurement technologies have the same in common, they are used to examine the magnetic properties of a magnet or a magnetic system in an open or closed circuit. The compliance of the special magnetic properties are important indicators for the quality monitoring for magnet suppliers and essential for customer applications. The choice of the measurement technology is according to the parameter which are evaluated and the framework which is given. Generally, the measured results can be divided into two. The first group is for mass production where the parts are only differentiated between good and no good items and sorted accordingly. So, no there is no further evaluation of the collected data. These kind of measurement methods are very cost sensitive and high output of analyzed permanent magnets is required. </w:t>
            </w:r>
          </w:p>
          <w:p w14:paraId="2B9D8FF9" w14:textId="77777777" w:rsidR="00864FF3" w:rsidRPr="00B6036A" w:rsidRDefault="00864FF3" w:rsidP="00864FF3">
            <w:pPr>
              <w:rPr>
                <w:lang w:val="en-US"/>
              </w:rPr>
            </w:pPr>
            <w:r w:rsidRPr="00E30F21">
              <w:rPr>
                <w:lang w:val="en-US"/>
              </w:rPr>
              <w:t xml:space="preserve">The second group is the </w:t>
            </w:r>
            <w:proofErr w:type="gramStart"/>
            <w:r w:rsidRPr="00E30F21">
              <w:rPr>
                <w:lang w:val="en-US"/>
              </w:rPr>
              <w:t>polar opposite</w:t>
            </w:r>
            <w:proofErr w:type="gramEnd"/>
            <w:r w:rsidRPr="00E30F21">
              <w:rPr>
                <w:lang w:val="en-US"/>
              </w:rPr>
              <w:t>, the elicitation of measurement results for research and development purpose. These data are analyzed in a very detailed way, as they are required for further improvement and modifications of the material or the application</w:t>
            </w:r>
          </w:p>
          <w:p w14:paraId="308B37EC" w14:textId="26267DFF" w:rsidR="00864FF3" w:rsidRPr="00864FF3" w:rsidRDefault="00864FF3" w:rsidP="00693183">
            <w:pPr>
              <w:rPr>
                <w:lang w:val="en-US"/>
              </w:rPr>
            </w:pPr>
          </w:p>
        </w:tc>
      </w:tr>
      <w:tr w:rsidR="00864FF3" w:rsidRPr="00E235A7" w14:paraId="423B7442" w14:textId="77777777" w:rsidTr="00E447B8">
        <w:tc>
          <w:tcPr>
            <w:tcW w:w="1101" w:type="dxa"/>
          </w:tcPr>
          <w:p w14:paraId="2A9E2610" w14:textId="332837A2" w:rsidR="00864FF3" w:rsidRDefault="00864FF3">
            <w:pPr>
              <w:rPr>
                <w:lang w:val="en-GB"/>
              </w:rPr>
            </w:pPr>
            <w:r>
              <w:rPr>
                <w:lang w:val="en-GB"/>
              </w:rPr>
              <w:t>7 / 2</w:t>
            </w:r>
          </w:p>
        </w:tc>
        <w:tc>
          <w:tcPr>
            <w:tcW w:w="8111" w:type="dxa"/>
          </w:tcPr>
          <w:p w14:paraId="27AC8D18" w14:textId="77777777" w:rsidR="00864FF3" w:rsidRDefault="00864FF3" w:rsidP="00693183">
            <w:pPr>
              <w:rPr>
                <w:lang w:val="en-GB"/>
              </w:rPr>
            </w:pPr>
            <w:r>
              <w:rPr>
                <w:lang w:val="en-GB"/>
              </w:rPr>
              <w:t xml:space="preserve">Adding further literature </w:t>
            </w:r>
          </w:p>
          <w:p w14:paraId="21AD8712" w14:textId="77777777" w:rsidR="00864FF3" w:rsidRDefault="00864FF3" w:rsidP="00864FF3">
            <w:pPr>
              <w:ind w:left="718" w:hanging="480"/>
              <w:rPr>
                <w:lang w:val="en-US"/>
              </w:rPr>
            </w:pPr>
            <w:r w:rsidRPr="00A038EC">
              <w:rPr>
                <w:lang w:val="en-US"/>
              </w:rPr>
              <w:t>[2</w:t>
            </w:r>
            <w:r>
              <w:rPr>
                <w:lang w:val="en-US"/>
              </w:rPr>
              <w:t>5</w:t>
            </w:r>
            <w:r w:rsidRPr="00A038EC">
              <w:rPr>
                <w:lang w:val="en-US"/>
              </w:rPr>
              <w:t>]</w:t>
            </w:r>
            <w:r w:rsidRPr="00A038EC">
              <w:rPr>
                <w:lang w:val="en-US"/>
              </w:rPr>
              <w:tab/>
            </w:r>
            <w:hyperlink r:id="rId6" w:history="1">
              <w:r w:rsidRPr="00A038EC">
                <w:rPr>
                  <w:lang w:val="en-US"/>
                </w:rPr>
                <w:t>You</w:t>
              </w:r>
              <w:r>
                <w:rPr>
                  <w:lang w:val="en-US"/>
                </w:rPr>
                <w:t xml:space="preserve"> </w:t>
              </w:r>
              <w:proofErr w:type="spellStart"/>
              <w:r w:rsidRPr="00A038EC">
                <w:rPr>
                  <w:lang w:val="en-US"/>
                </w:rPr>
                <w:t>Guang</w:t>
              </w:r>
              <w:proofErr w:type="spellEnd"/>
              <w:r w:rsidRPr="00A038EC">
                <w:rPr>
                  <w:lang w:val="en-US"/>
                </w:rPr>
                <w:t xml:space="preserve"> Guo</w:t>
              </w:r>
            </w:hyperlink>
            <w:r w:rsidRPr="00A038EC">
              <w:rPr>
                <w:lang w:val="en-US"/>
              </w:rPr>
              <w:t>; </w:t>
            </w:r>
            <w:hyperlink r:id="rId7" w:history="1">
              <w:r w:rsidRPr="00A038EC">
                <w:rPr>
                  <w:lang w:val="en-US"/>
                </w:rPr>
                <w:t> Jian Guo Zhu</w:t>
              </w:r>
            </w:hyperlink>
            <w:r w:rsidRPr="00A038EC">
              <w:rPr>
                <w:lang w:val="en-US"/>
              </w:rPr>
              <w:t>; </w:t>
            </w:r>
            <w:hyperlink r:id="rId8" w:history="1">
              <w:r w:rsidRPr="00A038EC">
                <w:rPr>
                  <w:lang w:val="en-US"/>
                </w:rPr>
                <w:t> </w:t>
              </w:r>
              <w:proofErr w:type="spellStart"/>
              <w:r w:rsidRPr="00A038EC">
                <w:rPr>
                  <w:lang w:val="en-US"/>
                </w:rPr>
                <w:t>Zhi</w:t>
              </w:r>
              <w:proofErr w:type="spellEnd"/>
              <w:r w:rsidRPr="00A038EC">
                <w:rPr>
                  <w:lang w:val="en-US"/>
                </w:rPr>
                <w:t xml:space="preserve"> Wei Lin</w:t>
              </w:r>
            </w:hyperlink>
            <w:r w:rsidRPr="00A038EC">
              <w:rPr>
                <w:lang w:val="en-US"/>
              </w:rPr>
              <w:t>;  </w:t>
            </w:r>
            <w:proofErr w:type="spellStart"/>
            <w:r w:rsidRPr="00A038EC">
              <w:rPr>
                <w:lang w:val="en-US"/>
              </w:rPr>
              <w:t>Jin</w:t>
            </w:r>
            <w:proofErr w:type="spellEnd"/>
            <w:r w:rsidRPr="00A038EC">
              <w:rPr>
                <w:lang w:val="en-US"/>
              </w:rPr>
              <w:t xml:space="preserve"> Jiang Zhong, </w:t>
            </w:r>
            <w:hyperlink r:id="rId9" w:history="1">
              <w:r w:rsidRPr="00A038EC">
                <w:rPr>
                  <w:lang w:val="en-US"/>
                </w:rPr>
                <w:t>IEEE Transactions on Magnetics</w:t>
              </w:r>
            </w:hyperlink>
            <w:r w:rsidRPr="00A038EC">
              <w:rPr>
                <w:lang w:val="en-US"/>
              </w:rPr>
              <w:t>  </w:t>
            </w:r>
            <w:hyperlink r:id="rId10" w:history="1">
              <w:r w:rsidRPr="00A038EC">
                <w:rPr>
                  <w:lang w:val="en-US"/>
                </w:rPr>
                <w:t>Volume: 41 Issue: 10</w:t>
              </w:r>
            </w:hyperlink>
            <w:r>
              <w:rPr>
                <w:lang w:val="en-US"/>
              </w:rPr>
              <w:t>, 2005</w:t>
            </w:r>
            <w:r w:rsidRPr="00A038EC">
              <w:rPr>
                <w:lang w:val="en-US"/>
              </w:rPr>
              <w:t xml:space="preserve"> Measurement and modeling of core losses of soft magnetic composites under 3-D magnetic excitations in rotating motors</w:t>
            </w:r>
          </w:p>
          <w:p w14:paraId="19237D9B" w14:textId="77777777" w:rsidR="00864FF3" w:rsidRPr="00A038EC" w:rsidRDefault="00864FF3" w:rsidP="00864FF3">
            <w:pPr>
              <w:ind w:left="718" w:hanging="480"/>
              <w:rPr>
                <w:lang w:val="en-US"/>
              </w:rPr>
            </w:pPr>
            <w:r>
              <w:rPr>
                <w:lang w:val="en-US"/>
              </w:rPr>
              <w:t>[26]</w:t>
            </w:r>
            <w:r>
              <w:rPr>
                <w:lang w:val="en-US"/>
              </w:rPr>
              <w:tab/>
            </w:r>
            <w:hyperlink r:id="rId11" w:history="1">
              <w:r w:rsidRPr="00A038EC">
                <w:rPr>
                  <w:lang w:val="en-US"/>
                </w:rPr>
                <w:t>W. Xin</w:t>
              </w:r>
            </w:hyperlink>
            <w:r>
              <w:rPr>
                <w:lang w:val="en-US"/>
              </w:rPr>
              <w:t xml:space="preserve"> </w:t>
            </w:r>
            <w:hyperlink r:id="rId12" w:history="1">
              <w:r w:rsidRPr="00A038EC">
                <w:rPr>
                  <w:lang w:val="en-US"/>
                </w:rPr>
                <w:t>K. Ding</w:t>
              </w:r>
            </w:hyperlink>
            <w:r>
              <w:rPr>
                <w:lang w:val="en-US"/>
              </w:rPr>
              <w:t xml:space="preserve"> </w:t>
            </w:r>
            <w:r w:rsidRPr="00A038EC">
              <w:rPr>
                <w:lang w:val="en-US"/>
              </w:rPr>
              <w:t>Chinese Journal of Scientific Instrument 38(6):1474-1481 2017 Magnetic measurement method on structure fatigue damage based on the material magnetic characteristics</w:t>
            </w:r>
          </w:p>
          <w:p w14:paraId="1026F96D" w14:textId="25C8E958" w:rsidR="00864FF3" w:rsidRPr="00864FF3" w:rsidRDefault="00864FF3" w:rsidP="00693183">
            <w:pPr>
              <w:rPr>
                <w:lang w:val="en-US"/>
              </w:rPr>
            </w:pPr>
          </w:p>
        </w:tc>
      </w:tr>
    </w:tbl>
    <w:p w14:paraId="2FDA1BED" w14:textId="77777777" w:rsidR="00E447B8" w:rsidRPr="00E235A7" w:rsidRDefault="00E447B8">
      <w:pPr>
        <w:rPr>
          <w:lang w:val="en-GB"/>
        </w:rPr>
      </w:pPr>
      <w:bookmarkStart w:id="0" w:name="_GoBack"/>
      <w:bookmarkEnd w:id="0"/>
    </w:p>
    <w:sectPr w:rsidR="00E447B8" w:rsidRPr="00E235A7">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911A57" w14:textId="77777777" w:rsidR="00E235A7" w:rsidRDefault="00E235A7" w:rsidP="00E235A7">
      <w:r>
        <w:separator/>
      </w:r>
    </w:p>
  </w:endnote>
  <w:endnote w:type="continuationSeparator" w:id="0">
    <w:p w14:paraId="66E70CB4" w14:textId="77777777" w:rsidR="00E235A7" w:rsidRDefault="00E235A7" w:rsidP="00E23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BE720" w14:textId="77777777" w:rsidR="00E235A7" w:rsidRDefault="00E235A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7259395"/>
      <w:docPartObj>
        <w:docPartGallery w:val="Page Numbers (Bottom of Page)"/>
        <w:docPartUnique/>
      </w:docPartObj>
    </w:sdtPr>
    <w:sdtEndPr/>
    <w:sdtContent>
      <w:sdt>
        <w:sdtPr>
          <w:id w:val="-1769616900"/>
          <w:docPartObj>
            <w:docPartGallery w:val="Page Numbers (Top of Page)"/>
            <w:docPartUnique/>
          </w:docPartObj>
        </w:sdtPr>
        <w:sdtEndPr/>
        <w:sdtContent>
          <w:p w14:paraId="37C26B4F" w14:textId="2EAC97FC" w:rsidR="00E235A7" w:rsidRDefault="00E235A7">
            <w:pPr>
              <w:pStyle w:val="Fuzeile"/>
              <w:jc w:val="right"/>
            </w:pPr>
            <w:r>
              <w:rPr>
                <w:lang w:val="de-DE"/>
              </w:rPr>
              <w:t xml:space="preserve">Page </w:t>
            </w:r>
            <w:r>
              <w:rPr>
                <w:b/>
                <w:bCs/>
                <w:szCs w:val="24"/>
              </w:rPr>
              <w:fldChar w:fldCharType="begin"/>
            </w:r>
            <w:r>
              <w:rPr>
                <w:b/>
                <w:bCs/>
              </w:rPr>
              <w:instrText>PAGE</w:instrText>
            </w:r>
            <w:r>
              <w:rPr>
                <w:b/>
                <w:bCs/>
                <w:szCs w:val="24"/>
              </w:rPr>
              <w:fldChar w:fldCharType="separate"/>
            </w:r>
            <w:r w:rsidR="00BB548E">
              <w:rPr>
                <w:b/>
                <w:bCs/>
                <w:noProof/>
              </w:rPr>
              <w:t>1</w:t>
            </w:r>
            <w:r>
              <w:rPr>
                <w:b/>
                <w:bCs/>
                <w:szCs w:val="24"/>
              </w:rPr>
              <w:fldChar w:fldCharType="end"/>
            </w:r>
            <w:r>
              <w:rPr>
                <w:lang w:val="de-DE"/>
              </w:rPr>
              <w:t xml:space="preserve"> of </w:t>
            </w:r>
            <w:r>
              <w:rPr>
                <w:b/>
                <w:bCs/>
                <w:szCs w:val="24"/>
              </w:rPr>
              <w:fldChar w:fldCharType="begin"/>
            </w:r>
            <w:r>
              <w:rPr>
                <w:b/>
                <w:bCs/>
              </w:rPr>
              <w:instrText>NUMPAGES</w:instrText>
            </w:r>
            <w:r>
              <w:rPr>
                <w:b/>
                <w:bCs/>
                <w:szCs w:val="24"/>
              </w:rPr>
              <w:fldChar w:fldCharType="separate"/>
            </w:r>
            <w:r w:rsidR="00BB548E">
              <w:rPr>
                <w:b/>
                <w:bCs/>
                <w:noProof/>
              </w:rPr>
              <w:t>1</w:t>
            </w:r>
            <w:r>
              <w:rPr>
                <w:b/>
                <w:bCs/>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A5681" w14:textId="77777777" w:rsidR="00E235A7" w:rsidRDefault="00E235A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5135C0" w14:textId="77777777" w:rsidR="00E235A7" w:rsidRDefault="00E235A7" w:rsidP="00E235A7">
      <w:r>
        <w:separator/>
      </w:r>
    </w:p>
  </w:footnote>
  <w:footnote w:type="continuationSeparator" w:id="0">
    <w:p w14:paraId="4B6A4153" w14:textId="77777777" w:rsidR="00E235A7" w:rsidRDefault="00E235A7" w:rsidP="00E235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85BD5" w14:textId="77777777" w:rsidR="00E235A7" w:rsidRDefault="00E235A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7F487" w14:textId="18558163" w:rsidR="00E235A7" w:rsidRDefault="00E235A7">
    <w:pPr>
      <w:pStyle w:val="Kopfzeile"/>
    </w:pPr>
    <w:r>
      <w:rPr>
        <w:lang w:val="en-GB"/>
      </w:rPr>
      <w:t>Monday, 05 March 2018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464C3" w14:textId="77777777" w:rsidR="00E235A7" w:rsidRDefault="00E235A7">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7B8"/>
    <w:rsid w:val="001A0DBA"/>
    <w:rsid w:val="00235EC5"/>
    <w:rsid w:val="00693183"/>
    <w:rsid w:val="00793AF9"/>
    <w:rsid w:val="00864FF3"/>
    <w:rsid w:val="00A54699"/>
    <w:rsid w:val="00BB548E"/>
    <w:rsid w:val="00E235A7"/>
    <w:rsid w:val="00E447B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23FB1"/>
  <w15:chartTrackingRefBased/>
  <w15:docId w15:val="{97D2AE5F-8BA6-4516-A92C-2B01A51B7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E447B8"/>
    <w:pPr>
      <w:widowControl w:val="0"/>
      <w:suppressAutoHyphens/>
      <w:spacing w:after="0" w:line="240" w:lineRule="auto"/>
    </w:pPr>
    <w:rPr>
      <w:rFonts w:ascii="Times New Roman" w:eastAsia="SimSun" w:hAnsi="Times New Roman" w:cs="Mangal"/>
      <w:kern w:val="1"/>
      <w:sz w:val="24"/>
      <w:szCs w:val="24"/>
      <w:lang w:val="it-IT" w:eastAsia="zh-CN" w:bidi="hi-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E447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E235A7"/>
    <w:pPr>
      <w:tabs>
        <w:tab w:val="center" w:pos="4536"/>
        <w:tab w:val="right" w:pos="9072"/>
      </w:tabs>
    </w:pPr>
    <w:rPr>
      <w:szCs w:val="21"/>
    </w:rPr>
  </w:style>
  <w:style w:type="character" w:customStyle="1" w:styleId="KopfzeileZchn">
    <w:name w:val="Kopfzeile Zchn"/>
    <w:basedOn w:val="Absatz-Standardschriftart"/>
    <w:link w:val="Kopfzeile"/>
    <w:uiPriority w:val="99"/>
    <w:rsid w:val="00E235A7"/>
    <w:rPr>
      <w:rFonts w:ascii="Times New Roman" w:eastAsia="SimSun" w:hAnsi="Times New Roman" w:cs="Mangal"/>
      <w:kern w:val="1"/>
      <w:sz w:val="24"/>
      <w:szCs w:val="21"/>
      <w:lang w:val="it-IT" w:eastAsia="zh-CN" w:bidi="hi-IN"/>
    </w:rPr>
  </w:style>
  <w:style w:type="paragraph" w:styleId="Fuzeile">
    <w:name w:val="footer"/>
    <w:basedOn w:val="Standard"/>
    <w:link w:val="FuzeileZchn"/>
    <w:uiPriority w:val="99"/>
    <w:unhideWhenUsed/>
    <w:rsid w:val="00E235A7"/>
    <w:pPr>
      <w:tabs>
        <w:tab w:val="center" w:pos="4536"/>
        <w:tab w:val="right" w:pos="9072"/>
      </w:tabs>
    </w:pPr>
    <w:rPr>
      <w:szCs w:val="21"/>
    </w:rPr>
  </w:style>
  <w:style w:type="character" w:customStyle="1" w:styleId="FuzeileZchn">
    <w:name w:val="Fußzeile Zchn"/>
    <w:basedOn w:val="Absatz-Standardschriftart"/>
    <w:link w:val="Fuzeile"/>
    <w:uiPriority w:val="99"/>
    <w:rsid w:val="00E235A7"/>
    <w:rPr>
      <w:rFonts w:ascii="Times New Roman" w:eastAsia="SimSun" w:hAnsi="Times New Roman" w:cs="Mangal"/>
      <w:kern w:val="1"/>
      <w:sz w:val="24"/>
      <w:szCs w:val="21"/>
      <w:lang w:val="it-IT" w:eastAsia="zh-CN" w:bidi="hi-IN"/>
    </w:rPr>
  </w:style>
  <w:style w:type="paragraph" w:customStyle="1" w:styleId="Equation">
    <w:name w:val="Equation"/>
    <w:basedOn w:val="Standard"/>
    <w:uiPriority w:val="99"/>
    <w:rsid w:val="00693183"/>
    <w:pPr>
      <w:widowControl/>
      <w:tabs>
        <w:tab w:val="right" w:pos="4961"/>
      </w:tabs>
      <w:suppressAutoHyphens w:val="0"/>
      <w:spacing w:before="60" w:after="60"/>
      <w:jc w:val="both"/>
    </w:pPr>
    <w:rPr>
      <w:rFonts w:ascii="Garamond" w:eastAsia="Times New Roman" w:hAnsi="Garamond" w:cs="Times New Roman"/>
      <w:kern w:val="0"/>
      <w:sz w:val="20"/>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eeexplore.ieee.org/search/searchresult.jsp?searchWithin=%22Authors%22:.QT.%20Zhi%20Wei%20Lin.QT.&amp;newsearch=true"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ieeexplore.ieee.org/search/searchresult.jsp?searchWithin=%22Authors%22:.QT.%20Jian%20Guo%20Zhu.QT.&amp;newsearch=true" TargetMode="External"/><Relationship Id="rId12" Type="http://schemas.openxmlformats.org/officeDocument/2006/relationships/hyperlink" Target="https://www.researchgate.net/scientific-contributions/2133145953_K_Ding?_sg=wTTkXUtt7p0IQ77qt3SHeyIZ2nBoL_5P1ZvjR76uygZgArroQcBiHwHZhdxdVqzHpy2T0-4.Cb5ljSZ2Q4OASJVRIHkYfWGeY_BCBD1B07sk155qnZMxJWHtZSmtslXR7RAPpQlFOkOKMe7jTg77Tdd2F_Twvw" TargetMode="External"/><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ieeexplore.ieee.org/search/searchresult.jsp?searchWithin=%22Authors%22:.QT.%20YouGuang%20Guo.QT.&amp;newsearch=true" TargetMode="External"/><Relationship Id="rId11" Type="http://schemas.openxmlformats.org/officeDocument/2006/relationships/hyperlink" Target="https://www.researchgate.net/scientific-contributions/2133130714_W_Xin?_sg=wTTkXUtt7p0IQ77qt3SHeyIZ2nBoL_5P1ZvjR76uygZgArroQcBiHwHZhdxdVqzHpy2T0-4.Cb5ljSZ2Q4OASJVRIHkYfWGeY_BCBD1B07sk155qnZMxJWHtZSmtslXR7RAPpQlFOkOKMe7jTg77Tdd2F_Twvw"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ieeexplore.ieee.org/xpl/tocresult.jsp?isnumber=32516"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ieeexplore.ieee.org/xpl/RecentIssue.jsp?punumber=20" TargetMode="External"/><Relationship Id="rId14" Type="http://schemas.openxmlformats.org/officeDocument/2006/relationships/header" Target="head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810</Words>
  <Characters>5106</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Möwius</dc:creator>
  <cp:keywords/>
  <dc:description/>
  <cp:lastModifiedBy>Stefan Moewius</cp:lastModifiedBy>
  <cp:revision>3</cp:revision>
  <dcterms:created xsi:type="dcterms:W3CDTF">2018-03-05T12:50:00Z</dcterms:created>
  <dcterms:modified xsi:type="dcterms:W3CDTF">2018-03-26T09:40:00Z</dcterms:modified>
</cp:coreProperties>
</file>