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54" w:rsidRPr="00AD34E9" w:rsidRDefault="001D7F54" w:rsidP="00AD34E9">
      <w:pPr>
        <w:pStyle w:val="Header1"/>
        <w:rPr>
          <w:i w:val="0"/>
          <w:sz w:val="18"/>
          <w:szCs w:val="18"/>
        </w:rPr>
      </w:pPr>
      <w:r w:rsidRPr="00AD34E9">
        <w:rPr>
          <w:i w:val="0"/>
          <w:sz w:val="18"/>
          <w:szCs w:val="18"/>
        </w:rPr>
        <w:t>XXI IMEKO World Congress “</w:t>
      </w:r>
      <w:r w:rsidRPr="00AD34E9">
        <w:rPr>
          <w:i w:val="0"/>
          <w:color w:val="424242"/>
          <w:sz w:val="18"/>
          <w:szCs w:val="18"/>
          <w:shd w:val="clear" w:color="auto" w:fill="FFFFFF"/>
        </w:rPr>
        <w:t>Measurement in Research and Industry”</w:t>
      </w:r>
    </w:p>
    <w:p w:rsidR="001D7F54" w:rsidRPr="00AD34E9" w:rsidRDefault="001D7F54" w:rsidP="00AD34E9">
      <w:pPr>
        <w:pStyle w:val="Header1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August 30 </w:t>
      </w:r>
      <w:r w:rsidRPr="00AD34E9">
        <w:rPr>
          <w:i w:val="0"/>
          <w:sz w:val="18"/>
          <w:szCs w:val="18"/>
        </w:rPr>
        <w:sym w:font="Symbol" w:char="F02D"/>
      </w:r>
      <w:r>
        <w:rPr>
          <w:i w:val="0"/>
          <w:sz w:val="18"/>
          <w:szCs w:val="18"/>
        </w:rPr>
        <w:t xml:space="preserve"> September 4</w:t>
      </w:r>
      <w:r w:rsidRPr="00AD34E9">
        <w:rPr>
          <w:i w:val="0"/>
          <w:sz w:val="18"/>
          <w:szCs w:val="18"/>
        </w:rPr>
        <w:t>, 20</w:t>
      </w:r>
      <w:r>
        <w:rPr>
          <w:i w:val="0"/>
          <w:sz w:val="18"/>
          <w:szCs w:val="18"/>
        </w:rPr>
        <w:t>15</w:t>
      </w:r>
      <w:r w:rsidRPr="00AD34E9">
        <w:rPr>
          <w:i w:val="0"/>
          <w:sz w:val="18"/>
          <w:szCs w:val="18"/>
        </w:rPr>
        <w:t xml:space="preserve">, </w:t>
      </w:r>
      <w:r>
        <w:rPr>
          <w:i w:val="0"/>
          <w:sz w:val="18"/>
          <w:szCs w:val="18"/>
        </w:rPr>
        <w:t>Prague</w:t>
      </w:r>
      <w:r w:rsidRPr="00AD34E9">
        <w:rPr>
          <w:i w:val="0"/>
          <w:sz w:val="18"/>
          <w:szCs w:val="18"/>
        </w:rPr>
        <w:t xml:space="preserve">, </w:t>
      </w:r>
      <w:r w:rsidR="001575CE">
        <w:rPr>
          <w:i w:val="0"/>
          <w:sz w:val="18"/>
          <w:szCs w:val="18"/>
        </w:rPr>
        <w:t>Czech R</w:t>
      </w:r>
      <w:r>
        <w:rPr>
          <w:i w:val="0"/>
          <w:sz w:val="18"/>
          <w:szCs w:val="18"/>
        </w:rPr>
        <w:t>epublic</w:t>
      </w:r>
    </w:p>
    <w:p w:rsidR="001D7F54" w:rsidRDefault="001D7F54" w:rsidP="00AD34E9">
      <w:pPr>
        <w:pStyle w:val="Title1"/>
      </w:pPr>
    </w:p>
    <w:p w:rsidR="00666B13" w:rsidRDefault="00666B13" w:rsidP="00666B13">
      <w:pPr>
        <w:pStyle w:val="Title1"/>
      </w:pPr>
      <w:r>
        <w:t>EFFECTS OF BAFFLE IN AN INTEGRATING SPHERE ON THE TOTAL LUMINOUS FLUX MEASUREMENT OF A LINE</w:t>
      </w:r>
      <w:r w:rsidR="001E5976">
        <w:t xml:space="preserve">AR </w:t>
      </w:r>
      <w:r>
        <w:t>SHAPE LAMP</w:t>
      </w:r>
    </w:p>
    <w:p w:rsidR="001D7F54" w:rsidRPr="001E5976" w:rsidRDefault="001D7F54" w:rsidP="0024647C">
      <w:pPr>
        <w:pStyle w:val="a4"/>
        <w:rPr>
          <w:lang w:val="en-GB"/>
        </w:rPr>
      </w:pPr>
    </w:p>
    <w:p w:rsidR="001D7F54" w:rsidRDefault="00666B13" w:rsidP="00B663B0">
      <w:pPr>
        <w:pStyle w:val="Author"/>
      </w:pPr>
      <w:proofErr w:type="spellStart"/>
      <w:r>
        <w:rPr>
          <w:u w:val="single"/>
        </w:rPr>
        <w:t>Kamol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Wasapinyokul</w:t>
      </w:r>
      <w:proofErr w:type="spellEnd"/>
      <w:r w:rsidR="001D7F54">
        <w:rPr>
          <w:i w:val="0"/>
        </w:rPr>
        <w:t xml:space="preserve">, </w:t>
      </w:r>
      <w:proofErr w:type="spellStart"/>
      <w:r>
        <w:t>Santhad</w:t>
      </w:r>
      <w:proofErr w:type="spellEnd"/>
      <w:r>
        <w:t xml:space="preserve"> </w:t>
      </w:r>
      <w:proofErr w:type="spellStart"/>
      <w:r>
        <w:t>Chuwongin</w:t>
      </w:r>
      <w:proofErr w:type="spellEnd"/>
      <w:r>
        <w:rPr>
          <w:i w:val="0"/>
        </w:rPr>
        <w:t xml:space="preserve">, </w:t>
      </w:r>
      <w:proofErr w:type="spellStart"/>
      <w:r w:rsidR="00460228">
        <w:rPr>
          <w:iCs/>
        </w:rPr>
        <w:t>Soontorn</w:t>
      </w:r>
      <w:proofErr w:type="spellEnd"/>
      <w:r w:rsidR="00460228">
        <w:rPr>
          <w:iCs/>
        </w:rPr>
        <w:t xml:space="preserve"> </w:t>
      </w:r>
      <w:proofErr w:type="spellStart"/>
      <w:r w:rsidR="00460228">
        <w:rPr>
          <w:iCs/>
        </w:rPr>
        <w:t>Chanyawadee</w:t>
      </w:r>
      <w:proofErr w:type="spellEnd"/>
      <w:r w:rsidR="00460228" w:rsidRPr="00460228">
        <w:rPr>
          <w:i w:val="0"/>
        </w:rPr>
        <w:t>,</w:t>
      </w:r>
      <w:r w:rsidR="00460228">
        <w:rPr>
          <w:iCs/>
        </w:rPr>
        <w:t xml:space="preserve"> </w:t>
      </w:r>
      <w:proofErr w:type="spellStart"/>
      <w:r w:rsidR="00460228">
        <w:rPr>
          <w:iCs/>
        </w:rPr>
        <w:t>R</w:t>
      </w:r>
      <w:r>
        <w:rPr>
          <w:iCs/>
        </w:rPr>
        <w:t>ojana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Leecharoen</w:t>
      </w:r>
      <w:proofErr w:type="spellEnd"/>
      <w:r>
        <w:rPr>
          <w:i w:val="0"/>
        </w:rPr>
        <w:t>,</w:t>
      </w:r>
      <w:r>
        <w:rPr>
          <w:iCs/>
        </w:rPr>
        <w:t xml:space="preserve"> </w:t>
      </w:r>
      <w:proofErr w:type="spellStart"/>
      <w:r>
        <w:rPr>
          <w:iCs/>
        </w:rPr>
        <w:t>Ajchara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Charoens</w:t>
      </w:r>
      <w:r w:rsidR="00E56B25">
        <w:rPr>
          <w:iCs/>
        </w:rPr>
        <w:t>oo</w:t>
      </w:r>
      <w:r>
        <w:rPr>
          <w:iCs/>
        </w:rPr>
        <w:t>k</w:t>
      </w:r>
      <w:proofErr w:type="spellEnd"/>
    </w:p>
    <w:p w:rsidR="001D7F54" w:rsidRDefault="001D7F54" w:rsidP="00B663B0">
      <w:pPr>
        <w:pStyle w:val="Author"/>
      </w:pPr>
    </w:p>
    <w:p w:rsidR="001D7F54" w:rsidRDefault="00666B13" w:rsidP="00B663B0">
      <w:pPr>
        <w:pStyle w:val="Affiliation"/>
      </w:pPr>
      <w:r>
        <w:rPr>
          <w:lang w:val="en-US"/>
        </w:rPr>
        <w:t>National Institute of Metrology (Thailand)</w:t>
      </w:r>
      <w:r w:rsidR="001D7F54">
        <w:t xml:space="preserve">, </w:t>
      </w:r>
      <w:proofErr w:type="spellStart"/>
      <w:r>
        <w:t>Pathumthani</w:t>
      </w:r>
      <w:proofErr w:type="spellEnd"/>
      <w:r>
        <w:t>, Thailand, kamol@nimt.or.th</w:t>
      </w:r>
    </w:p>
    <w:p w:rsidR="001D7F54" w:rsidRDefault="001D7F54" w:rsidP="00B663B0">
      <w:pPr>
        <w:pStyle w:val="Text"/>
        <w:rPr>
          <w:sz w:val="22"/>
          <w:szCs w:val="22"/>
        </w:rPr>
      </w:pPr>
    </w:p>
    <w:p w:rsidR="001D7F54" w:rsidRDefault="001D7F54" w:rsidP="00B663B0">
      <w:pPr>
        <w:pStyle w:val="Text"/>
        <w:rPr>
          <w:sz w:val="22"/>
          <w:szCs w:val="22"/>
        </w:rPr>
        <w:sectPr w:rsidR="001D7F54" w:rsidSect="00EF6FE4">
          <w:footerReference w:type="even" r:id="rId8"/>
          <w:type w:val="continuous"/>
          <w:pgSz w:w="11906" w:h="16838" w:code="9"/>
          <w:pgMar w:top="1418" w:right="907" w:bottom="1418" w:left="907" w:header="0" w:footer="0" w:gutter="0"/>
          <w:cols w:space="709"/>
          <w:noEndnote/>
        </w:sectPr>
      </w:pPr>
    </w:p>
    <w:p w:rsidR="0091458E" w:rsidRDefault="001D7F54" w:rsidP="003C3A31">
      <w:pPr>
        <w:pStyle w:val="Text"/>
        <w:ind w:firstLine="0"/>
        <w:rPr>
          <w:bCs/>
          <w:szCs w:val="20"/>
        </w:rPr>
      </w:pPr>
      <w:r w:rsidRPr="003C3A31">
        <w:rPr>
          <w:b/>
          <w:i/>
        </w:rPr>
        <w:lastRenderedPageBreak/>
        <w:t>Abstract</w:t>
      </w:r>
      <w:r>
        <w:rPr>
          <w:bCs/>
        </w:rPr>
        <w:t xml:space="preserve"> </w:t>
      </w:r>
      <w:r>
        <w:rPr>
          <w:bCs/>
          <w:szCs w:val="20"/>
        </w:rPr>
        <w:sym w:font="Symbol" w:char="F02D"/>
      </w:r>
      <w:r w:rsidR="001C15AD">
        <w:rPr>
          <w:bCs/>
          <w:szCs w:val="20"/>
        </w:rPr>
        <w:t xml:space="preserve"> </w:t>
      </w:r>
      <w:r w:rsidR="0091458E">
        <w:rPr>
          <w:bCs/>
          <w:szCs w:val="20"/>
        </w:rPr>
        <w:t xml:space="preserve">The measured total luminous flux of a linear shape lamp </w:t>
      </w:r>
      <w:r w:rsidR="00DA46C3">
        <w:rPr>
          <w:bCs/>
          <w:szCs w:val="20"/>
        </w:rPr>
        <w:t>by using</w:t>
      </w:r>
      <w:r w:rsidR="0091458E">
        <w:rPr>
          <w:bCs/>
          <w:szCs w:val="20"/>
        </w:rPr>
        <w:t xml:space="preserve"> an integrating sphere can be deviated from accurate by the presence of a baffle in the sphere.  For</w:t>
      </w:r>
      <w:r w:rsidR="00DA46C3">
        <w:rPr>
          <w:bCs/>
          <w:szCs w:val="20"/>
        </w:rPr>
        <w:t xml:space="preserve"> the lamp with</w:t>
      </w:r>
      <w:r w:rsidR="0091458E">
        <w:rPr>
          <w:bCs/>
          <w:szCs w:val="20"/>
        </w:rPr>
        <w:t xml:space="preserve"> co-axial alignment, </w:t>
      </w:r>
      <w:r w:rsidR="0091458E">
        <w:t xml:space="preserve">the measured flux </w:t>
      </w:r>
      <w:r w:rsidR="0091458E">
        <w:rPr>
          <w:rFonts w:cs="Angsana New"/>
          <w:lang w:bidi="th-TH"/>
        </w:rPr>
        <w:t>de</w:t>
      </w:r>
      <w:r w:rsidR="0091458E">
        <w:t xml:space="preserve">creased when the baffle was longer. But </w:t>
      </w:r>
      <w:r w:rsidR="00DA46C3">
        <w:t>with</w:t>
      </w:r>
      <w:r w:rsidR="0091458E">
        <w:t xml:space="preserve"> perpendicular alignment, the trend was opposite. When the baffle was further away from </w:t>
      </w:r>
      <w:r w:rsidR="00DA46C3">
        <w:t>the detector, the measured flux</w:t>
      </w:r>
      <w:r w:rsidR="0091458E">
        <w:t xml:space="preserve"> decreased. These were due to the interplay of the non-uniform regions the baffle induced</w:t>
      </w:r>
      <w:r w:rsidR="00DA46C3">
        <w:t xml:space="preserve"> in the sphere</w:t>
      </w:r>
      <w:r w:rsidR="0091458E">
        <w:t>.</w:t>
      </w:r>
    </w:p>
    <w:p w:rsidR="001D7F54" w:rsidRDefault="001D7F54" w:rsidP="003C3A31">
      <w:pPr>
        <w:pStyle w:val="Keywords"/>
        <w:ind w:firstLine="0"/>
      </w:pPr>
      <w:r w:rsidRPr="003C3A31">
        <w:rPr>
          <w:i/>
        </w:rPr>
        <w:t>Keywords</w:t>
      </w:r>
      <w:r w:rsidRPr="001143D9">
        <w:rPr>
          <w:b w:val="0"/>
        </w:rPr>
        <w:t xml:space="preserve">: </w:t>
      </w:r>
      <w:r w:rsidR="00736894">
        <w:rPr>
          <w:b w:val="0"/>
        </w:rPr>
        <w:t xml:space="preserve">Integrating sphere, total luminous flux, </w:t>
      </w:r>
      <w:r w:rsidR="00F4014F">
        <w:rPr>
          <w:b w:val="0"/>
        </w:rPr>
        <w:t xml:space="preserve">linear shape lamp, </w:t>
      </w:r>
      <w:r w:rsidR="00736894">
        <w:rPr>
          <w:b w:val="0"/>
        </w:rPr>
        <w:t xml:space="preserve">sphere uniformity, spatial correction factor. </w:t>
      </w:r>
    </w:p>
    <w:p w:rsidR="001D7F54" w:rsidRPr="002033E7" w:rsidRDefault="001D7F54" w:rsidP="00B663B0">
      <w:pPr>
        <w:pStyle w:val="Section"/>
      </w:pPr>
      <w:r w:rsidRPr="002033E7">
        <w:t xml:space="preserve">1.  </w:t>
      </w:r>
      <w:r w:rsidR="00666B13">
        <w:t>INTRODUCTION</w:t>
      </w:r>
    </w:p>
    <w:p w:rsidR="000558D9" w:rsidRDefault="003130FF" w:rsidP="00B663B0">
      <w:pPr>
        <w:pStyle w:val="Text"/>
      </w:pPr>
      <w:r>
        <w:t>The integrating sphere substitution method is</w:t>
      </w:r>
      <w:r w:rsidR="009851B8">
        <w:t xml:space="preserve"> one of the</w:t>
      </w:r>
      <w:r>
        <w:t xml:space="preserve"> convenient way</w:t>
      </w:r>
      <w:r w:rsidR="009851B8">
        <w:t>s</w:t>
      </w:r>
      <w:r>
        <w:t xml:space="preserve"> to realise the total luminous flux of</w:t>
      </w:r>
      <w:r w:rsidR="006C422C">
        <w:t xml:space="preserve"> a light sourc</w:t>
      </w:r>
      <w:r w:rsidR="009851B8">
        <w:t>e</w:t>
      </w:r>
      <w:r w:rsidR="007519C2">
        <w:t xml:space="preserve"> [1]</w:t>
      </w:r>
      <w:r w:rsidR="009851B8">
        <w:t>. The method mainly comp</w:t>
      </w:r>
      <w:r w:rsidR="006A0759">
        <w:t>rises</w:t>
      </w:r>
      <w:r w:rsidR="009851B8">
        <w:t xml:space="preserve"> an integrating sphere, a </w:t>
      </w:r>
      <w:r w:rsidR="001145F0">
        <w:t>standard</w:t>
      </w:r>
      <w:r w:rsidR="009851B8">
        <w:t xml:space="preserve"> light source with </w:t>
      </w:r>
      <w:r w:rsidR="006A0759">
        <w:t>a known flux value, and a</w:t>
      </w:r>
      <w:r w:rsidR="009851B8">
        <w:t xml:space="preserve"> </w:t>
      </w:r>
      <w:r w:rsidR="001145F0">
        <w:t>test</w:t>
      </w:r>
      <w:r w:rsidR="009851B8">
        <w:t xml:space="preserve"> light source, the flux of which is to be measured. The integrating sphere is a hollow sphere, the inner wall of which is coated with a highly reflective material. Once there is a light source inside, due to the high reflective spherical-shaped wall, multiple reflections occurs. This leads to the </w:t>
      </w:r>
      <w:proofErr w:type="spellStart"/>
      <w:r w:rsidR="009851B8">
        <w:t>illuminance</w:t>
      </w:r>
      <w:proofErr w:type="spellEnd"/>
      <w:r w:rsidR="009851B8">
        <w:t xml:space="preserve"> of the light source at every point on the sp</w:t>
      </w:r>
      <w:r w:rsidR="006A0759">
        <w:t>here wall to be</w:t>
      </w:r>
      <w:r w:rsidR="000558D9">
        <w:t xml:space="preserve"> theoretically uniform. This uniform</w:t>
      </w:r>
      <w:r w:rsidR="009851B8">
        <w:t xml:space="preserve"> </w:t>
      </w:r>
      <w:proofErr w:type="spellStart"/>
      <w:r w:rsidR="009851B8">
        <w:t>illuminance</w:t>
      </w:r>
      <w:proofErr w:type="spellEnd"/>
      <w:r w:rsidR="009851B8">
        <w:t xml:space="preserve"> of the light source is detected by a photo-</w:t>
      </w:r>
      <w:r w:rsidR="002824A9">
        <w:t xml:space="preserve">detector </w:t>
      </w:r>
      <w:r w:rsidR="009851B8">
        <w:t xml:space="preserve">installed somewhere on the sphere inner wall. </w:t>
      </w:r>
      <w:r w:rsidR="000558D9">
        <w:t>Th</w:t>
      </w:r>
      <w:r w:rsidR="006A0759">
        <w:t>e</w:t>
      </w:r>
      <w:r w:rsidR="000558D9">
        <w:t xml:space="preserve"> photometer then measures the </w:t>
      </w:r>
      <w:proofErr w:type="spellStart"/>
      <w:r w:rsidR="000558D9">
        <w:t>illuminance</w:t>
      </w:r>
      <w:proofErr w:type="spellEnd"/>
      <w:r w:rsidR="000558D9">
        <w:t xml:space="preserve"> in a form of electronic signal. In order to measure the total luminous flux of the </w:t>
      </w:r>
      <w:r w:rsidR="001145F0">
        <w:t>test</w:t>
      </w:r>
      <w:r w:rsidR="000558D9">
        <w:t xml:space="preserve"> source, both the </w:t>
      </w:r>
      <w:r w:rsidR="001145F0">
        <w:t>standard and</w:t>
      </w:r>
      <w:r w:rsidR="000558D9">
        <w:t xml:space="preserve"> </w:t>
      </w:r>
      <w:r w:rsidR="001145F0">
        <w:t>test</w:t>
      </w:r>
      <w:r w:rsidR="000558D9">
        <w:t xml:space="preserve"> sources would be, one at a time, installed </w:t>
      </w:r>
      <w:r w:rsidR="006F4F23">
        <w:t xml:space="preserve">at the centre </w:t>
      </w:r>
      <w:r w:rsidR="000558D9">
        <w:t>inside the sphere. The electronic signals of both lamps,</w:t>
      </w:r>
      <w:r w:rsidR="00EC59DC">
        <w:t xml:space="preserve"> detected</w:t>
      </w:r>
      <w:r w:rsidR="000558D9">
        <w:t xml:space="preserve"> by</w:t>
      </w:r>
      <w:r w:rsidR="006A0759">
        <w:t xml:space="preserve"> the photo-detector, are consequently</w:t>
      </w:r>
      <w:r w:rsidR="000558D9">
        <w:t xml:space="preserve"> obtained. As the total luminous flux of the </w:t>
      </w:r>
      <w:r w:rsidR="001145F0">
        <w:t>standard</w:t>
      </w:r>
      <w:r w:rsidR="000558D9">
        <w:t xml:space="preserve"> source is know, such value for the </w:t>
      </w:r>
      <w:r w:rsidR="001145F0">
        <w:t>test</w:t>
      </w:r>
      <w:r w:rsidR="000558D9">
        <w:t xml:space="preserve"> source could be calculated, hence the name substitution method.</w:t>
      </w:r>
    </w:p>
    <w:p w:rsidR="00607D90" w:rsidRDefault="006F4F23" w:rsidP="006F4F23">
      <w:pPr>
        <w:pStyle w:val="Text"/>
      </w:pPr>
      <w:r>
        <w:t xml:space="preserve">An important component of an integrating sphere is the baffle, installed between the light source and the photo-detector. Its duty is to shield the direct light from the light source not to incident on the photo-detector, thus the photo-detector would receive only the multi-reflected light. </w:t>
      </w:r>
      <w:r>
        <w:lastRenderedPageBreak/>
        <w:t xml:space="preserve">However, the existence of the baffle makes the sphere losses its uniformity, </w:t>
      </w:r>
      <w:r w:rsidR="00607D90">
        <w:t xml:space="preserve">hence the inaccurately measured total luminous flux of the source. The inaccuracy in the measured value would be enhanced if the luminous intensity distributions of the </w:t>
      </w:r>
      <w:r w:rsidR="001145F0">
        <w:t>standard</w:t>
      </w:r>
      <w:r w:rsidR="00607D90">
        <w:t xml:space="preserve"> and </w:t>
      </w:r>
      <w:r w:rsidR="001145F0">
        <w:t>test</w:t>
      </w:r>
      <w:r w:rsidR="00607D90">
        <w:t xml:space="preserve"> sources become more different.</w:t>
      </w:r>
    </w:p>
    <w:p w:rsidR="00F82EA8" w:rsidRDefault="000D1D42" w:rsidP="006F4F23">
      <w:pPr>
        <w:pStyle w:val="Text"/>
      </w:pPr>
      <w:r>
        <w:t>The</w:t>
      </w:r>
      <w:r w:rsidR="00607D90">
        <w:t xml:space="preserve"> </w:t>
      </w:r>
      <w:r w:rsidR="001145F0">
        <w:t>test</w:t>
      </w:r>
      <w:r w:rsidR="00607D90">
        <w:t xml:space="preserve"> light source of linear shape such as a linear fluorescent lamp or a linear LED lamp is a good example of light source with a luminous intensity distribution greatly different from that of the </w:t>
      </w:r>
      <w:r w:rsidR="001145F0">
        <w:t>standard</w:t>
      </w:r>
      <w:r w:rsidR="00607D90">
        <w:t xml:space="preserve"> source which is usually a spherical incandescent lamp. </w:t>
      </w:r>
      <w:r w:rsidR="00D40028">
        <w:t xml:space="preserve">Moreover, the alignment of a linear shape lamp in an integrating sphere can be varied. </w:t>
      </w:r>
      <w:r w:rsidR="00701659">
        <w:t xml:space="preserve">Due to </w:t>
      </w:r>
      <w:r w:rsidR="00D40028">
        <w:t>these varieties</w:t>
      </w:r>
      <w:r w:rsidR="00701659">
        <w:t>, the baffle inside the integrating sphere may have different conditions. And t</w:t>
      </w:r>
      <w:r w:rsidR="00607D90">
        <w:t>hus</w:t>
      </w:r>
      <w:r w:rsidR="00F82EA8">
        <w:t xml:space="preserve"> the total luminous flux measurement of lamps with this shape by using the integrating sphere substitution method must be taken with care to reduce the inaccuracy.</w:t>
      </w:r>
    </w:p>
    <w:p w:rsidR="001D7F54" w:rsidRDefault="00607D90" w:rsidP="006F4F23">
      <w:pPr>
        <w:pStyle w:val="Text"/>
      </w:pPr>
      <w:r>
        <w:t xml:space="preserve"> </w:t>
      </w:r>
      <w:r w:rsidR="001E5976">
        <w:t>This paper reports the study of the effects of the baffle in an integrating sphere on the total luminous flux measurement of a linear shape lamp at two different lamp alignment configurations</w:t>
      </w:r>
      <w:r w:rsidR="00F66FE5">
        <w:t>:</w:t>
      </w:r>
      <w:r w:rsidR="001E5976">
        <w:t xml:space="preserve"> coaxial and perpendicular. </w:t>
      </w:r>
      <w:r w:rsidR="00701659">
        <w:t xml:space="preserve">Two baffle conditions – </w:t>
      </w:r>
      <w:r w:rsidR="00645477">
        <w:t>size</w:t>
      </w:r>
      <w:r w:rsidR="00701659">
        <w:t xml:space="preserve"> and position – have been mainly studied. The</w:t>
      </w:r>
      <w:r w:rsidR="001E5976">
        <w:t xml:space="preserve"> effects </w:t>
      </w:r>
      <w:r w:rsidR="00701659">
        <w:t xml:space="preserve">of such conditions on the total luminous flux </w:t>
      </w:r>
      <w:r w:rsidR="001E5976">
        <w:t xml:space="preserve">have been studied through a correction factor called spatial correction factor and its relative uncertainty. </w:t>
      </w:r>
      <w:r w:rsidR="007D51A2">
        <w:t xml:space="preserve">The result could be used to adjust the baffle condition in order to </w:t>
      </w:r>
      <w:proofErr w:type="gramStart"/>
      <w:r w:rsidR="007D51A2">
        <w:t>optimise</w:t>
      </w:r>
      <w:proofErr w:type="gramEnd"/>
      <w:r w:rsidR="007D51A2">
        <w:t xml:space="preserve"> the </w:t>
      </w:r>
      <w:r w:rsidR="002824A9">
        <w:t>accuracy</w:t>
      </w:r>
      <w:r w:rsidR="007D51A2">
        <w:t xml:space="preserve"> of the </w:t>
      </w:r>
      <w:r w:rsidR="002824A9">
        <w:t xml:space="preserve">measured </w:t>
      </w:r>
      <w:r w:rsidR="007D51A2">
        <w:t>total luminous flux.</w:t>
      </w:r>
      <w:r w:rsidR="006F4F23">
        <w:t xml:space="preserve"> </w:t>
      </w:r>
    </w:p>
    <w:p w:rsidR="001D7F54" w:rsidRPr="002033E7" w:rsidRDefault="001D7F54" w:rsidP="00B663B0">
      <w:pPr>
        <w:pStyle w:val="Section"/>
      </w:pPr>
      <w:r w:rsidRPr="002033E7">
        <w:t xml:space="preserve">2. </w:t>
      </w:r>
      <w:r w:rsidR="001279AE">
        <w:t>EXPERIMENTAL</w:t>
      </w:r>
    </w:p>
    <w:p w:rsidR="008E431D" w:rsidRDefault="008E431D" w:rsidP="00B663B0">
      <w:pPr>
        <w:pStyle w:val="Text"/>
      </w:pPr>
      <w:r>
        <w:t>The integrating sphere used in this work is a LMT integrating sphere with the diameter of 2 m</w:t>
      </w:r>
      <w:r w:rsidR="00D40028">
        <w:t>,</w:t>
      </w:r>
      <w:r>
        <w:t xml:space="preserve"> where the lamp was to be installed at the sphere centre. The sphere inner wall was coated with LMT PHP80 paint with a reflectance of around 80%.</w:t>
      </w:r>
      <w:r w:rsidRPr="008E431D">
        <w:t xml:space="preserve"> </w:t>
      </w:r>
      <w:r>
        <w:t xml:space="preserve">The right hemisphere was movable for sphere access. At the centre on the left hemisphere wall was the photometer, in front of which was a baffle. </w:t>
      </w:r>
    </w:p>
    <w:p w:rsidR="00EC59DC" w:rsidRDefault="008E431D" w:rsidP="00B663B0">
      <w:pPr>
        <w:pStyle w:val="Text"/>
      </w:pPr>
      <w:r>
        <w:t>The effect</w:t>
      </w:r>
      <w:r w:rsidR="00D40028">
        <w:t>s</w:t>
      </w:r>
      <w:r>
        <w:t xml:space="preserve"> of </w:t>
      </w:r>
      <w:r w:rsidR="00D40028">
        <w:t>the</w:t>
      </w:r>
      <w:r>
        <w:t xml:space="preserve"> </w:t>
      </w:r>
      <w:r w:rsidR="00645477">
        <w:t>size</w:t>
      </w:r>
      <w:r w:rsidR="00D40028">
        <w:t xml:space="preserve"> and position of such baffle on the total luminous flux of a linear shape lamp were </w:t>
      </w:r>
      <w:r w:rsidR="00B16C24">
        <w:t xml:space="preserve">studied in three </w:t>
      </w:r>
      <w:r w:rsidR="00EC59DC">
        <w:t xml:space="preserve">following </w:t>
      </w:r>
      <w:r w:rsidR="00B16C24">
        <w:t>categories:</w:t>
      </w:r>
      <w:r w:rsidR="00D40028">
        <w:t xml:space="preserve"> </w:t>
      </w:r>
    </w:p>
    <w:p w:rsidR="00EC59DC" w:rsidRDefault="00945AEA" w:rsidP="00EC59DC">
      <w:pPr>
        <w:pStyle w:val="Text"/>
        <w:numPr>
          <w:ilvl w:val="0"/>
          <w:numId w:val="16"/>
        </w:numPr>
        <w:ind w:left="709" w:hanging="425"/>
      </w:pPr>
      <w:bookmarkStart w:id="0" w:name="_GoBack"/>
      <w:bookmarkEnd w:id="0"/>
      <w:r w:rsidRPr="00945AEA">
        <w:rPr>
          <w:noProof/>
          <w:color w:val="000000"/>
          <w:sz w:val="24"/>
          <w:lang w:val="en-US" w:eastAsia="en-US"/>
        </w:rPr>
        <w:lastRenderedPageBreak/>
        <w:pict>
          <v:group id="_x0000_s1049" editas="canvas" style="position:absolute;left:0;text-align:left;margin-left:-.05pt;margin-top:10.2pt;width:244.5pt;height:149.15pt;z-index:251673600" coordorigin="1050,4560" coordsize="4890,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050;top:4560;width:4890;height:298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140;top:6756;width:4729;height:615" filled="f" stroked="f">
              <v:textbox>
                <w:txbxContent>
                  <w:p w:rsidR="00E02B1F" w:rsidRDefault="00E02B1F" w:rsidP="00CC6046">
                    <w:pPr>
                      <w:pStyle w:val="Figure"/>
                      <w:spacing w:before="0" w:after="0"/>
                    </w:pPr>
                    <w:proofErr w:type="gramStart"/>
                    <w:r>
                      <w:t>Fig. 1.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 xml:space="preserve">(a) Coaxial and (b) perpendicular arrangement of </w:t>
                    </w:r>
                    <w:r>
                      <w:br/>
                      <w:t xml:space="preserve">a linear shape lamp inside </w:t>
                    </w:r>
                    <w:r w:rsidR="000D1D42">
                      <w:rPr>
                        <w:rFonts w:cs="Angsana New"/>
                        <w:lang w:val="en-US" w:bidi="th-TH"/>
                      </w:rPr>
                      <w:t>the</w:t>
                    </w:r>
                    <w:r>
                      <w:t xml:space="preserve"> integrating sphere.</w:t>
                    </w:r>
                    <w:proofErr w:type="gramEnd"/>
                  </w:p>
                  <w:p w:rsidR="00E02B1F" w:rsidRPr="00E02B1F" w:rsidRDefault="00E02B1F" w:rsidP="00CC6046">
                    <w:pPr>
                      <w:spacing w:before="0" w:after="0"/>
                      <w:rPr>
                        <w:lang w:val="en-GB"/>
                      </w:rPr>
                    </w:pPr>
                  </w:p>
                </w:txbxContent>
              </v:textbox>
            </v:shape>
            <v:shape id="_x0000_s1105" type="#_x0000_t75" style="position:absolute;left:1222;top:4638;width:4546;height:1980">
              <v:imagedata r:id="rId9" o:title="Paper 2015 fig 1"/>
            </v:shape>
            <w10:wrap type="square"/>
          </v:group>
        </w:pict>
      </w:r>
      <w:r w:rsidR="00EC59DC">
        <w:t>E</w:t>
      </w:r>
      <w:r w:rsidR="00D40028">
        <w:t>ffe</w:t>
      </w:r>
      <w:r w:rsidR="00B16C24">
        <w:t>cts of</w:t>
      </w:r>
      <w:r w:rsidR="00D40028">
        <w:t xml:space="preserve"> the baffle s</w:t>
      </w:r>
      <w:r w:rsidR="00645477">
        <w:t>ize</w:t>
      </w:r>
      <w:r w:rsidR="00D40028">
        <w:t xml:space="preserve"> on </w:t>
      </w:r>
      <w:r w:rsidR="002824A9">
        <w:t xml:space="preserve">the total flux of </w:t>
      </w:r>
      <w:r w:rsidR="00D40028">
        <w:t xml:space="preserve">a </w:t>
      </w:r>
      <w:r w:rsidR="002824A9">
        <w:t xml:space="preserve">linear </w:t>
      </w:r>
      <w:r w:rsidR="00C233C9">
        <w:t>lamp with co-axial a</w:t>
      </w:r>
      <w:r w:rsidR="00B16C24">
        <w:t>lign</w:t>
      </w:r>
      <w:r w:rsidR="00C233C9">
        <w:t>ment</w:t>
      </w:r>
      <w:r w:rsidR="00D40028">
        <w:t xml:space="preserve"> (</w:t>
      </w:r>
      <w:r w:rsidR="00B16C24">
        <w:t>i.e. lamp aligned towards the photo-detector, as shown in Fig</w:t>
      </w:r>
      <w:r w:rsidR="00960026">
        <w:t>.</w:t>
      </w:r>
      <w:r w:rsidR="00B16C24">
        <w:t xml:space="preserve"> 1a)</w:t>
      </w:r>
    </w:p>
    <w:p w:rsidR="00EC59DC" w:rsidRDefault="00EC59DC" w:rsidP="00EC59DC">
      <w:pPr>
        <w:pStyle w:val="Text"/>
        <w:numPr>
          <w:ilvl w:val="0"/>
          <w:numId w:val="16"/>
        </w:numPr>
        <w:ind w:left="709" w:hanging="425"/>
      </w:pPr>
      <w:r>
        <w:t>E</w:t>
      </w:r>
      <w:r w:rsidR="00B16C24">
        <w:t xml:space="preserve">ffects of the baffle </w:t>
      </w:r>
      <w:r w:rsidR="00645477">
        <w:t>size</w:t>
      </w:r>
      <w:r w:rsidR="00B16C24">
        <w:t xml:space="preserve"> on </w:t>
      </w:r>
      <w:r w:rsidR="002824A9">
        <w:t xml:space="preserve">the total flux of </w:t>
      </w:r>
      <w:r w:rsidR="00B16C24">
        <w:t xml:space="preserve">a </w:t>
      </w:r>
      <w:r w:rsidR="002824A9">
        <w:t xml:space="preserve">linear </w:t>
      </w:r>
      <w:r w:rsidR="00C233C9">
        <w:t xml:space="preserve">lamp with </w:t>
      </w:r>
      <w:r w:rsidR="00B16C24">
        <w:t>perpendicular</w:t>
      </w:r>
      <w:r w:rsidR="00C233C9">
        <w:t xml:space="preserve"> </w:t>
      </w:r>
      <w:r w:rsidR="00B16C24">
        <w:t>align</w:t>
      </w:r>
      <w:r w:rsidR="00C233C9">
        <w:t>ment</w:t>
      </w:r>
      <w:r w:rsidR="00B16C24">
        <w:t xml:space="preserve"> (</w:t>
      </w:r>
      <w:r>
        <w:t xml:space="preserve">i.e. </w:t>
      </w:r>
      <w:r w:rsidR="00B16C24">
        <w:t>lamp aligned perpendicular to the line from the photo-detector, Fig</w:t>
      </w:r>
      <w:r w:rsidR="00960026">
        <w:t>.</w:t>
      </w:r>
      <w:r>
        <w:t xml:space="preserve"> 1b)</w:t>
      </w:r>
    </w:p>
    <w:p w:rsidR="00B16C24" w:rsidRDefault="00EC59DC" w:rsidP="00EC59DC">
      <w:pPr>
        <w:pStyle w:val="Text"/>
        <w:numPr>
          <w:ilvl w:val="0"/>
          <w:numId w:val="16"/>
        </w:numPr>
        <w:ind w:left="709" w:hanging="425"/>
      </w:pPr>
      <w:r>
        <w:t>E</w:t>
      </w:r>
      <w:r w:rsidR="00B16C24">
        <w:t xml:space="preserve">ffects of the baffle </w:t>
      </w:r>
      <w:r w:rsidR="007519C2">
        <w:t>distance</w:t>
      </w:r>
      <w:r w:rsidR="00B16C24">
        <w:t xml:space="preserve"> </w:t>
      </w:r>
      <w:r w:rsidR="00C233C9">
        <w:t xml:space="preserve">on </w:t>
      </w:r>
      <w:r w:rsidR="002824A9">
        <w:t xml:space="preserve">the total flux of </w:t>
      </w:r>
      <w:r w:rsidR="00C233C9">
        <w:t xml:space="preserve">a </w:t>
      </w:r>
      <w:r w:rsidR="002824A9">
        <w:t xml:space="preserve">linear </w:t>
      </w:r>
      <w:r w:rsidR="00B16C24">
        <w:t>lamp</w:t>
      </w:r>
      <w:r w:rsidR="00C233C9">
        <w:t xml:space="preserve"> with perpendicular alignment</w:t>
      </w:r>
      <w:r w:rsidR="00B16C24">
        <w:t>.</w:t>
      </w:r>
    </w:p>
    <w:p w:rsidR="00E02B1F" w:rsidRDefault="00B16C24" w:rsidP="00B663B0">
      <w:pPr>
        <w:pStyle w:val="Text"/>
      </w:pPr>
      <w:r>
        <w:t xml:space="preserve">In each specific condition, the experiment was started where the spatial response distribution function, </w:t>
      </w:r>
      <w:r w:rsidRPr="00B16C24">
        <w:rPr>
          <w:i/>
          <w:iCs/>
        </w:rPr>
        <w:t>K</w:t>
      </w:r>
      <w:r>
        <w:t xml:space="preserve">, of the sphere was determined. This parameter was obtained by rotating a scanning LED </w:t>
      </w:r>
      <w:r w:rsidR="002824A9">
        <w:t xml:space="preserve">with an aperture diameter of 33 mm </w:t>
      </w:r>
      <w:r>
        <w:t>to sweep</w:t>
      </w:r>
      <w:r w:rsidR="002824A9">
        <w:t>, at a 5-degree step,</w:t>
      </w:r>
      <w:r>
        <w:t xml:space="preserve"> around the whole sphere inner wall as shown in Fig</w:t>
      </w:r>
      <w:r w:rsidR="00960026">
        <w:t>.</w:t>
      </w:r>
      <w:r>
        <w:t xml:space="preserve"> 2. At each angular position (</w:t>
      </w:r>
      <w:r w:rsidRPr="00A037C5">
        <w:rPr>
          <w:i/>
          <w:iCs/>
        </w:rPr>
        <w:sym w:font="Symbol" w:char="F071"/>
      </w:r>
      <w:r>
        <w:t>,</w:t>
      </w:r>
      <w:r w:rsidRPr="00A037C5">
        <w:rPr>
          <w:i/>
          <w:iCs/>
        </w:rPr>
        <w:sym w:font="Symbol" w:char="F066"/>
      </w:r>
      <w:r>
        <w:t xml:space="preserve">) on the wall, the photo-signal detected by the photo-detector was collected. </w:t>
      </w:r>
    </w:p>
    <w:p w:rsidR="00B16C24" w:rsidRDefault="00EC59DC" w:rsidP="00B663B0">
      <w:pPr>
        <w:pStyle w:val="Text"/>
      </w:pPr>
      <w:r>
        <w:t xml:space="preserve">Apart from obtaining </w:t>
      </w:r>
      <w:r w:rsidRPr="001279AE">
        <w:rPr>
          <w:i/>
          <w:iCs/>
        </w:rPr>
        <w:t>K</w:t>
      </w:r>
      <w:r>
        <w:t xml:space="preserve"> from the sphere, the luminous intensity distribution, </w:t>
      </w:r>
      <w:r w:rsidRPr="00EC59DC">
        <w:rPr>
          <w:i/>
          <w:iCs/>
        </w:rPr>
        <w:t>I</w:t>
      </w:r>
      <w:r>
        <w:t xml:space="preserve">, of a standard spherical lamp and a linear shape lamp were also acquired. This parameter was obtained by </w:t>
      </w:r>
      <w:r w:rsidR="002824A9">
        <w:t>sweeping</w:t>
      </w:r>
      <w:r>
        <w:t xml:space="preserve"> a mirror-type gonio-photometer</w:t>
      </w:r>
      <w:r w:rsidR="002824A9">
        <w:t xml:space="preserve"> at a 5-degree step around a lamp</w:t>
      </w:r>
      <w:r>
        <w:t>.</w:t>
      </w:r>
      <w:r w:rsidR="00327E03">
        <w:t xml:space="preserve"> In this study, five linear fluorescent lamps of different diameter, length, and colour correlated temperature (CCT) were selected as follows:</w:t>
      </w:r>
    </w:p>
    <w:p w:rsidR="00327E03" w:rsidRDefault="00327E03" w:rsidP="00327E03">
      <w:pPr>
        <w:pStyle w:val="Table"/>
      </w:pPr>
      <w:proofErr w:type="gramStart"/>
      <w:r>
        <w:lastRenderedPageBreak/>
        <w:t>Table 1.</w:t>
      </w:r>
      <w:proofErr w:type="gramEnd"/>
      <w:r>
        <w:t xml:space="preserve">  Detail of lamps used in this study</w:t>
      </w:r>
    </w:p>
    <w:tbl>
      <w:tblPr>
        <w:tblW w:w="4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30"/>
        <w:gridCol w:w="1275"/>
        <w:gridCol w:w="1276"/>
        <w:gridCol w:w="1282"/>
      </w:tblGrid>
      <w:tr w:rsidR="00327E03" w:rsidTr="00327E03">
        <w:trPr>
          <w:trHeight w:val="280"/>
          <w:jc w:val="center"/>
        </w:trPr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327E03" w:rsidRPr="00327E03" w:rsidRDefault="00327E03" w:rsidP="00327E03">
            <w:pPr>
              <w:spacing w:after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Lamp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7E03" w:rsidRPr="00327E03" w:rsidRDefault="00327E03" w:rsidP="00327E03">
            <w:pPr>
              <w:spacing w:after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Diameter (mm)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7E03" w:rsidRPr="00327E03" w:rsidRDefault="00327E03" w:rsidP="00327E03">
            <w:pPr>
              <w:spacing w:after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Length (mm)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7E03" w:rsidRPr="00327E03" w:rsidRDefault="00327E03" w:rsidP="00327E03">
            <w:pPr>
              <w:spacing w:after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CCT (K)</w:t>
            </w:r>
          </w:p>
        </w:tc>
      </w:tr>
      <w:tr w:rsidR="00327E03" w:rsidTr="00327E03">
        <w:trPr>
          <w:jc w:val="center"/>
        </w:trPr>
        <w:tc>
          <w:tcPr>
            <w:tcW w:w="930" w:type="dxa"/>
            <w:tcBorders>
              <w:top w:val="double" w:sz="4" w:space="0" w:color="auto"/>
              <w:left w:val="single" w:sz="6" w:space="0" w:color="auto"/>
            </w:tcBorders>
          </w:tcPr>
          <w:p w:rsidR="00327E03" w:rsidRPr="00327E03" w:rsidRDefault="00327E03" w:rsidP="00702E87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</w:tcPr>
          <w:p w:rsidR="00327E03" w:rsidRPr="00327E03" w:rsidRDefault="00327E03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1175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7E"/>
            </w:r>
            <w:r>
              <w:rPr>
                <w:sz w:val="18"/>
                <w:lang w:val="en-US"/>
              </w:rPr>
              <w:t>6120</w:t>
            </w:r>
          </w:p>
        </w:tc>
      </w:tr>
      <w:tr w:rsidR="00327E03" w:rsidTr="00327E03">
        <w:trPr>
          <w:jc w:val="center"/>
        </w:trPr>
        <w:tc>
          <w:tcPr>
            <w:tcW w:w="930" w:type="dxa"/>
            <w:tcBorders>
              <w:left w:val="single" w:sz="6" w:space="0" w:color="auto"/>
            </w:tcBorders>
          </w:tcPr>
          <w:p w:rsidR="00327E03" w:rsidRPr="00327E03" w:rsidRDefault="00327E03" w:rsidP="00702E87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27E03" w:rsidRPr="00327E03" w:rsidRDefault="00327E03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1175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6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7E"/>
            </w:r>
            <w:r>
              <w:rPr>
                <w:sz w:val="18"/>
                <w:lang w:val="en-US"/>
              </w:rPr>
              <w:t>2820</w:t>
            </w:r>
          </w:p>
        </w:tc>
      </w:tr>
      <w:tr w:rsidR="00327E03" w:rsidTr="00327E03">
        <w:trPr>
          <w:trHeight w:val="280"/>
          <w:jc w:val="center"/>
        </w:trPr>
        <w:tc>
          <w:tcPr>
            <w:tcW w:w="930" w:type="dxa"/>
            <w:tcBorders>
              <w:left w:val="single" w:sz="6" w:space="0" w:color="auto"/>
            </w:tcBorders>
          </w:tcPr>
          <w:p w:rsidR="00327E03" w:rsidRPr="00327E03" w:rsidRDefault="00327E03" w:rsidP="00702E87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27E03" w:rsidRPr="00FF2032" w:rsidRDefault="00FF2032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6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7E"/>
            </w:r>
            <w:r>
              <w:rPr>
                <w:sz w:val="18"/>
                <w:lang w:val="en-US"/>
              </w:rPr>
              <w:t>6120</w:t>
            </w:r>
          </w:p>
        </w:tc>
      </w:tr>
      <w:tr w:rsidR="00327E03" w:rsidTr="00327E03">
        <w:trPr>
          <w:trHeight w:val="280"/>
          <w:jc w:val="center"/>
        </w:trPr>
        <w:tc>
          <w:tcPr>
            <w:tcW w:w="930" w:type="dxa"/>
            <w:tcBorders>
              <w:left w:val="single" w:sz="6" w:space="0" w:color="auto"/>
            </w:tcBorders>
          </w:tcPr>
          <w:p w:rsidR="00327E03" w:rsidRPr="00327E03" w:rsidRDefault="00327E03" w:rsidP="00702E87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27E03" w:rsidRPr="00FF2032" w:rsidRDefault="00FF2032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6" w:space="0" w:color="auto"/>
            </w:tcBorders>
          </w:tcPr>
          <w:p w:rsidR="00327E03" w:rsidRDefault="007D158F" w:rsidP="007D158F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sym w:font="Symbol" w:char="F07E"/>
            </w:r>
            <w:r>
              <w:rPr>
                <w:sz w:val="18"/>
                <w:lang w:val="en-US"/>
              </w:rPr>
              <w:t>3865</w:t>
            </w:r>
          </w:p>
        </w:tc>
      </w:tr>
      <w:tr w:rsidR="00327E03" w:rsidTr="00327E03">
        <w:trPr>
          <w:trHeight w:val="280"/>
          <w:jc w:val="center"/>
        </w:trPr>
        <w:tc>
          <w:tcPr>
            <w:tcW w:w="930" w:type="dxa"/>
            <w:tcBorders>
              <w:left w:val="single" w:sz="6" w:space="0" w:color="auto"/>
              <w:bottom w:val="single" w:sz="12" w:space="0" w:color="auto"/>
            </w:tcBorders>
          </w:tcPr>
          <w:p w:rsidR="00327E03" w:rsidRPr="00327E03" w:rsidRDefault="00327E03" w:rsidP="00702E87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</w:tcPr>
          <w:p w:rsidR="00327E03" w:rsidRPr="00FF2032" w:rsidRDefault="00FF2032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1130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27E03" w:rsidRPr="007D158F" w:rsidRDefault="007D158F" w:rsidP="00327E03">
            <w:pPr>
              <w:spacing w:before="40" w:after="4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7E"/>
            </w:r>
            <w:r>
              <w:rPr>
                <w:sz w:val="18"/>
                <w:lang w:val="en-US"/>
              </w:rPr>
              <w:t>6120</w:t>
            </w:r>
          </w:p>
        </w:tc>
      </w:tr>
    </w:tbl>
    <w:p w:rsidR="00327E03" w:rsidRDefault="00327E03" w:rsidP="00B663B0">
      <w:pPr>
        <w:pStyle w:val="Text"/>
      </w:pPr>
    </w:p>
    <w:p w:rsidR="001145F0" w:rsidRDefault="00945AEA" w:rsidP="00B663B0">
      <w:pPr>
        <w:pStyle w:val="Text"/>
      </w:pPr>
      <w:r>
        <w:rPr>
          <w:noProof/>
          <w:lang w:val="en-US" w:eastAsia="en-US" w:bidi="th-TH"/>
        </w:rPr>
        <w:pict>
          <v:group id="_x0000_s1051" editas="canvas" style="position:absolute;left:0;text-align:left;margin-left:.7pt;margin-top:-424.65pt;width:244.5pt;height:292.9pt;z-index:251674624" coordorigin="990,4560" coordsize="4890,5858">
            <o:lock v:ext="edit" aspectratio="t"/>
            <v:shape id="_x0000_s1052" type="#_x0000_t75" style="position:absolute;left:990;top:4560;width:4890;height:5858" o:preferrelative="f">
              <v:fill o:detectmouseclick="t"/>
              <v:path o:extrusionok="t" o:connecttype="none"/>
              <o:lock v:ext="edit" text="t"/>
            </v:shape>
            <v:shape id="_x0000_s1054" type="#_x0000_t202" style="position:absolute;left:1065;top:9468;width:4755;height:777" filled="f" stroked="f">
              <v:textbox>
                <w:txbxContent>
                  <w:p w:rsidR="00E02B1F" w:rsidRDefault="00E02B1F" w:rsidP="00E02B1F">
                    <w:pPr>
                      <w:pStyle w:val="Figure"/>
                      <w:spacing w:before="0" w:after="0"/>
                    </w:pPr>
                    <w:proofErr w:type="gramStart"/>
                    <w:r>
                      <w:t>Fig. 2.</w:t>
                    </w:r>
                    <w:proofErr w:type="gramEnd"/>
                    <w:r>
                      <w:t xml:space="preserve"> Schematic diagram of the sphere with the scanning LED to obtain the spatial response distribution function, </w:t>
                    </w:r>
                    <w:r w:rsidRPr="008C3AD5">
                      <w:rPr>
                        <w:i/>
                        <w:iCs/>
                      </w:rPr>
                      <w:t>K</w:t>
                    </w:r>
                    <w:r>
                      <w:t xml:space="preserve">, </w:t>
                    </w:r>
                    <w:r>
                      <w:br/>
                      <w:t xml:space="preserve">of a specific baffle condition. </w:t>
                    </w:r>
                  </w:p>
                  <w:p w:rsidR="00E02B1F" w:rsidRPr="00E02B1F" w:rsidRDefault="00E02B1F" w:rsidP="00E02B1F">
                    <w:pPr>
                      <w:pStyle w:val="Figure"/>
                      <w:spacing w:before="0" w:after="0"/>
                    </w:pPr>
                  </w:p>
                </w:txbxContent>
              </v:textbox>
            </v:shape>
            <v:shape id="_x0000_s1106" type="#_x0000_t75" style="position:absolute;left:1005;top:4612;width:4830;height:4725">
              <v:imagedata r:id="rId10" o:title="Paper 2015 fig 2"/>
            </v:shape>
            <w10:wrap type="topAndBottom"/>
          </v:group>
        </w:pict>
      </w:r>
      <w:r w:rsidR="001279AE" w:rsidRPr="001279AE">
        <w:rPr>
          <w:i/>
          <w:iCs/>
        </w:rPr>
        <w:t>K</w:t>
      </w:r>
      <w:r w:rsidR="001279AE">
        <w:t xml:space="preserve"> and </w:t>
      </w:r>
      <w:r w:rsidR="00EC59DC" w:rsidRPr="001279AE">
        <w:rPr>
          <w:i/>
          <w:iCs/>
        </w:rPr>
        <w:t>I</w:t>
      </w:r>
      <w:r w:rsidR="00EC59DC">
        <w:t xml:space="preserve"> were </w:t>
      </w:r>
      <w:r w:rsidR="001279AE">
        <w:t xml:space="preserve">then used </w:t>
      </w:r>
      <w:r w:rsidR="00960026">
        <w:t>to</w:t>
      </w:r>
      <w:r w:rsidR="001279AE">
        <w:t xml:space="preserve"> calculat</w:t>
      </w:r>
      <w:r w:rsidR="00960026">
        <w:t>e</w:t>
      </w:r>
      <w:r w:rsidR="001279AE">
        <w:t xml:space="preserve"> </w:t>
      </w:r>
      <w:r w:rsidR="00EC59DC">
        <w:t xml:space="preserve">the spatial correction factor, </w:t>
      </w:r>
      <w:proofErr w:type="spellStart"/>
      <w:r w:rsidR="00EC59DC" w:rsidRPr="00EC59DC">
        <w:rPr>
          <w:i/>
          <w:iCs/>
        </w:rPr>
        <w:t>scf</w:t>
      </w:r>
      <w:proofErr w:type="spellEnd"/>
      <w:r w:rsidR="00EC59DC">
        <w:t xml:space="preserve">. This </w:t>
      </w:r>
      <w:proofErr w:type="spellStart"/>
      <w:r w:rsidR="00EC59DC">
        <w:rPr>
          <w:i/>
          <w:iCs/>
        </w:rPr>
        <w:t>sc</w:t>
      </w:r>
      <w:r w:rsidR="007D51A2" w:rsidRPr="007D51A2">
        <w:rPr>
          <w:i/>
          <w:iCs/>
        </w:rPr>
        <w:t>f</w:t>
      </w:r>
      <w:proofErr w:type="spellEnd"/>
      <w:r w:rsidR="00EC59DC">
        <w:t xml:space="preserve"> is a factor </w:t>
      </w:r>
      <w:r w:rsidR="001145F0">
        <w:t>identifying how different the measured total luminous flux value is from the accurate value</w:t>
      </w:r>
      <w:r w:rsidR="00EC59DC">
        <w:t xml:space="preserve"> when the luminous intensity distributions of the standard and test lamps are different</w:t>
      </w:r>
      <w:r w:rsidR="001145F0">
        <w:t xml:space="preserve">. </w:t>
      </w:r>
      <w:r w:rsidR="00F66FE5">
        <w:t>Such factor of a lamp can be calculated as follows</w:t>
      </w:r>
      <w:r w:rsidR="008C3AD5">
        <w:t xml:space="preserve"> [</w:t>
      </w:r>
      <w:r w:rsidR="007519C2">
        <w:t>2</w:t>
      </w:r>
      <w:r w:rsidR="008C3AD5">
        <w:t>]</w:t>
      </w:r>
      <w:r w:rsidR="00F66FE5">
        <w:t>:</w:t>
      </w:r>
      <w:r w:rsidR="001145F0">
        <w:t xml:space="preserve"> </w:t>
      </w:r>
    </w:p>
    <w:tbl>
      <w:tblPr>
        <w:tblStyle w:val="a9"/>
        <w:tblW w:w="4820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47"/>
        <w:gridCol w:w="473"/>
      </w:tblGrid>
      <w:tr w:rsidR="001145F0" w:rsidTr="001145F0">
        <w:trPr>
          <w:trHeight w:val="687"/>
        </w:trPr>
        <w:tc>
          <w:tcPr>
            <w:tcW w:w="4347" w:type="dxa"/>
          </w:tcPr>
          <w:p w:rsidR="001145F0" w:rsidRPr="00AA4497" w:rsidRDefault="00945AEA" w:rsidP="00674828">
            <w:pPr>
              <w:pStyle w:val="NEWRADbody"/>
              <w:spacing w:before="120" w:after="120" w:line="240" w:lineRule="auto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scf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kern w:val="0"/>
                        <w:sz w:val="20"/>
                        <w:szCs w:val="20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nary>
                      <m:naryPr>
                        <m:limLoc m:val="subSup"/>
                        <m:ctrlPr>
                          <w:rPr>
                            <w:rFonts w:ascii="Cambria Math" w:eastAsiaTheme="minorHAnsi" w:hAnsi="Cambria Math" w:cstheme="minorBidi"/>
                            <w:i/>
                            <w:kern w:val="0"/>
                            <w:sz w:val="20"/>
                            <w:szCs w:val="20"/>
                            <w:lang w:val="en-US"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ϕ=0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2π</m:t>
                        </m:r>
                      </m:sup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kern w:val="0"/>
                                <w:sz w:val="20"/>
                                <w:szCs w:val="20"/>
                                <w:lang w:val="en-US"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θ=0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  <m:t>s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  <m:t>*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θ,ϕ</m:t>
                                </m:r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*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θ,ϕ</m:t>
                                </m:r>
                              </m:e>
                            </m:d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θ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θ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ϕ</m:t>
                                </m:r>
                              </m:e>
                            </m:func>
                          </m:e>
                        </m:nary>
                      </m:e>
                    </m:nary>
                  </m:den>
                </m:f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US" w:eastAsia="en-US"/>
                  </w:rPr>
                  <m:t>,</m:t>
                </m:r>
              </m:oMath>
            </m:oMathPara>
          </w:p>
        </w:tc>
        <w:tc>
          <w:tcPr>
            <w:tcW w:w="473" w:type="dxa"/>
            <w:vAlign w:val="center"/>
          </w:tcPr>
          <w:p w:rsidR="001145F0" w:rsidRDefault="001145F0" w:rsidP="00674828">
            <w:pPr>
              <w:pStyle w:val="NEWRADbody"/>
              <w:spacing w:before="120" w:after="120"/>
              <w:jc w:val="right"/>
            </w:pPr>
            <w:r>
              <w:t>(1)</w:t>
            </w:r>
          </w:p>
        </w:tc>
      </w:tr>
      <w:tr w:rsidR="001145F0" w:rsidTr="00A037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87"/>
        </w:trPr>
        <w:tc>
          <w:tcPr>
            <w:tcW w:w="4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45F0" w:rsidRPr="00F56A90" w:rsidRDefault="00945AEA" w:rsidP="00674828">
            <w:pPr>
              <w:pStyle w:val="NEWRADbody"/>
              <w:spacing w:before="120" w:after="120" w:line="240" w:lineRule="auto"/>
              <w:rPr>
                <w:i/>
                <w:sz w:val="20"/>
                <w:szCs w:val="20"/>
                <w:lang w:val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scf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kern w:val="0"/>
                        <w:sz w:val="20"/>
                        <w:szCs w:val="20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ru-RU"/>
                      </w:rPr>
                      <m:t>1</m:t>
                    </m:r>
                  </m:num>
                  <m:den>
                    <m:nary>
                      <m:naryPr>
                        <m:limLoc m:val="subSup"/>
                        <m:ctrlPr>
                          <w:rPr>
                            <w:rFonts w:ascii="Cambria Math" w:eastAsiaTheme="minorHAnsi" w:hAnsi="Cambria Math" w:cstheme="minorBidi"/>
                            <w:i/>
                            <w:kern w:val="0"/>
                            <w:sz w:val="20"/>
                            <w:szCs w:val="20"/>
                            <w:lang w:val="en-US"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ϕ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ru-RU"/>
                          </w:rPr>
                          <m:t>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ru-RU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π</m:t>
                        </m:r>
                      </m:sup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kern w:val="0"/>
                                <w:sz w:val="20"/>
                                <w:szCs w:val="20"/>
                                <w:lang w:val="en-US"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θ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-RU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  <m:t>t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HAnsi" w:hAnsi="Cambria Math" w:cstheme="minorBidi"/>
                                    <w:kern w:val="0"/>
                                    <w:sz w:val="20"/>
                                    <w:szCs w:val="20"/>
                                    <w:lang w:val="ru-RU" w:eastAsia="en-US"/>
                                  </w:rPr>
                                  <m:t>*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ru-RU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ϕ</m:t>
                                </m:r>
                              </m:e>
                            </m:d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ru-RU"/>
                                  </w:rPr>
                                  <m:t>*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kern w:val="0"/>
                                    <w:sz w:val="20"/>
                                    <w:szCs w:val="20"/>
                                    <w:lang w:val="en-US" w:eastAsia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ru-RU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ϕ</m:t>
                                </m:r>
                              </m:e>
                            </m:d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ru-RU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ru-RU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ϕ</m:t>
                                </m:r>
                              </m:e>
                            </m:func>
                          </m:e>
                        </m:nary>
                      </m:e>
                    </m:nary>
                  </m:den>
                </m:f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ru-RU" w:eastAsia="en-US"/>
                  </w:rPr>
                  <m:t>.</m:t>
                </m:r>
              </m:oMath>
            </m:oMathPara>
          </w:p>
        </w:tc>
        <w:tc>
          <w:tcPr>
            <w:tcW w:w="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145F0" w:rsidRDefault="00A037C5" w:rsidP="00674828">
            <w:pPr>
              <w:pStyle w:val="NEWRADbody"/>
              <w:spacing w:before="120" w:after="120"/>
              <w:jc w:val="center"/>
            </w:pPr>
            <w:r>
              <w:t>(2</w:t>
            </w:r>
            <w:r w:rsidR="001145F0">
              <w:t>)</w:t>
            </w:r>
          </w:p>
        </w:tc>
      </w:tr>
    </w:tbl>
    <w:p w:rsidR="001145F0" w:rsidRDefault="00A037C5" w:rsidP="00B663B0">
      <w:pPr>
        <w:pStyle w:val="Text"/>
      </w:pPr>
      <w:r>
        <w:t xml:space="preserve">Here, </w:t>
      </w:r>
      <w:r w:rsidRPr="00A037C5">
        <w:rPr>
          <w:i/>
          <w:iCs/>
        </w:rPr>
        <w:t>I*</w:t>
      </w:r>
      <w:r>
        <w:t>(</w:t>
      </w:r>
      <w:r w:rsidRPr="00A037C5">
        <w:rPr>
          <w:i/>
          <w:iCs/>
        </w:rPr>
        <w:sym w:font="Symbol" w:char="F071"/>
      </w:r>
      <w:r>
        <w:t>,</w:t>
      </w:r>
      <w:r w:rsidRPr="00A037C5">
        <w:rPr>
          <w:i/>
          <w:iCs/>
        </w:rPr>
        <w:sym w:font="Symbol" w:char="F066"/>
      </w:r>
      <w:r>
        <w:t xml:space="preserve">) is the </w:t>
      </w:r>
      <w:r w:rsidR="00F66FE5">
        <w:t xml:space="preserve">normalised </w:t>
      </w:r>
      <w:r>
        <w:t>luminous intensity distribution of the lamp at the angular position (</w:t>
      </w:r>
      <w:r w:rsidRPr="00A037C5">
        <w:rPr>
          <w:i/>
          <w:iCs/>
        </w:rPr>
        <w:sym w:font="Symbol" w:char="F071"/>
      </w:r>
      <w:r>
        <w:t>,</w:t>
      </w:r>
      <w:r w:rsidRPr="00A037C5">
        <w:rPr>
          <w:i/>
          <w:iCs/>
        </w:rPr>
        <w:sym w:font="Symbol" w:char="F066"/>
      </w:r>
      <w:r>
        <w:t xml:space="preserve">) on the sphere inner wall, </w:t>
      </w:r>
      <w:r>
        <w:rPr>
          <w:i/>
          <w:iCs/>
        </w:rPr>
        <w:t>K</w:t>
      </w:r>
      <w:r w:rsidRPr="00A037C5">
        <w:rPr>
          <w:i/>
          <w:iCs/>
        </w:rPr>
        <w:t>*</w:t>
      </w:r>
      <w:r>
        <w:t>(</w:t>
      </w:r>
      <w:r w:rsidRPr="00A037C5">
        <w:rPr>
          <w:i/>
          <w:iCs/>
        </w:rPr>
        <w:sym w:font="Symbol" w:char="F071"/>
      </w:r>
      <w:r>
        <w:t>,</w:t>
      </w:r>
      <w:r w:rsidRPr="00A037C5">
        <w:rPr>
          <w:i/>
          <w:iCs/>
        </w:rPr>
        <w:sym w:font="Symbol" w:char="F066"/>
      </w:r>
      <w:r>
        <w:t xml:space="preserve">) the </w:t>
      </w:r>
      <w:r w:rsidR="00F66FE5">
        <w:t xml:space="preserve">normalised </w:t>
      </w:r>
      <w:r>
        <w:t>spatial response distribution function of the sphere at the same (</w:t>
      </w:r>
      <w:r w:rsidRPr="00A037C5">
        <w:rPr>
          <w:i/>
          <w:iCs/>
        </w:rPr>
        <w:sym w:font="Symbol" w:char="F071"/>
      </w:r>
      <w:r>
        <w:t>,</w:t>
      </w:r>
      <w:r w:rsidRPr="00A037C5">
        <w:rPr>
          <w:i/>
          <w:iCs/>
        </w:rPr>
        <w:sym w:font="Symbol" w:char="F066"/>
      </w:r>
      <w:r>
        <w:t>) position.</w:t>
      </w:r>
      <w:r w:rsidR="00F66FE5">
        <w:t xml:space="preserve"> The subscriptions </w:t>
      </w:r>
      <w:r w:rsidR="00F66FE5" w:rsidRPr="00F66FE5">
        <w:rPr>
          <w:i/>
          <w:iCs/>
        </w:rPr>
        <w:t>s</w:t>
      </w:r>
      <w:r w:rsidR="00F66FE5">
        <w:t xml:space="preserve"> and </w:t>
      </w:r>
      <w:r w:rsidR="00F66FE5" w:rsidRPr="00F66FE5">
        <w:rPr>
          <w:i/>
          <w:iCs/>
        </w:rPr>
        <w:t>t</w:t>
      </w:r>
      <w:r w:rsidR="00F66FE5">
        <w:t xml:space="preserve"> denote that the value belongs to the standard and test lamps, respectively.</w:t>
      </w:r>
    </w:p>
    <w:p w:rsidR="00F66FE5" w:rsidRDefault="00F66FE5" w:rsidP="00B663B0">
      <w:pPr>
        <w:pStyle w:val="Text"/>
      </w:pPr>
      <w:r>
        <w:t xml:space="preserve">Once </w:t>
      </w:r>
      <w:proofErr w:type="spellStart"/>
      <w:r w:rsidRPr="001857F8">
        <w:rPr>
          <w:i/>
          <w:iCs/>
        </w:rPr>
        <w:t>scf</w:t>
      </w:r>
      <w:r w:rsidRPr="001857F8">
        <w:rPr>
          <w:i/>
          <w:iCs/>
          <w:vertAlign w:val="subscript"/>
        </w:rPr>
        <w:t>s</w:t>
      </w:r>
      <w:proofErr w:type="spellEnd"/>
      <w:r>
        <w:t xml:space="preserve"> and </w:t>
      </w:r>
      <w:proofErr w:type="spellStart"/>
      <w:r w:rsidRPr="001857F8">
        <w:rPr>
          <w:i/>
          <w:iCs/>
        </w:rPr>
        <w:t>scf</w:t>
      </w:r>
      <w:r w:rsidRPr="001857F8">
        <w:rPr>
          <w:i/>
          <w:iCs/>
          <w:vertAlign w:val="subscript"/>
        </w:rPr>
        <w:t>t</w:t>
      </w:r>
      <w:proofErr w:type="spellEnd"/>
      <w:r>
        <w:t xml:space="preserve"> have been obtained, the final </w:t>
      </w:r>
      <w:proofErr w:type="spellStart"/>
      <w:r w:rsidRPr="001279AE">
        <w:rPr>
          <w:i/>
          <w:iCs/>
        </w:rPr>
        <w:t>scf</w:t>
      </w:r>
      <w:proofErr w:type="spellEnd"/>
      <w:r>
        <w:t xml:space="preserve"> of the measuring system can be calculated as the ratio of </w:t>
      </w:r>
      <w:proofErr w:type="spellStart"/>
      <w:r w:rsidRPr="001279AE">
        <w:rPr>
          <w:i/>
          <w:iCs/>
        </w:rPr>
        <w:t>scf</w:t>
      </w:r>
      <w:r w:rsidRPr="001279AE">
        <w:rPr>
          <w:i/>
          <w:iCs/>
          <w:vertAlign w:val="subscript"/>
        </w:rPr>
        <w:t>t</w:t>
      </w:r>
      <w:proofErr w:type="spellEnd"/>
      <w:r>
        <w:t xml:space="preserve"> and </w:t>
      </w:r>
      <w:proofErr w:type="spellStart"/>
      <w:r w:rsidRPr="001279AE">
        <w:rPr>
          <w:i/>
          <w:iCs/>
        </w:rPr>
        <w:t>scf</w:t>
      </w:r>
      <w:r w:rsidRPr="001279AE">
        <w:rPr>
          <w:i/>
          <w:iCs/>
          <w:vertAlign w:val="subscript"/>
        </w:rPr>
        <w:t>f</w:t>
      </w:r>
      <w:proofErr w:type="spellEnd"/>
      <w:r w:rsidR="00FC5EB4">
        <w:t xml:space="preserve"> as follows: </w:t>
      </w:r>
    </w:p>
    <w:p w:rsidR="00F66FE5" w:rsidRDefault="001145F0" w:rsidP="001145F0">
      <w:pPr>
        <w:pStyle w:val="Text"/>
        <w:ind w:firstLine="0"/>
      </w:pPr>
      <w:r>
        <w:t xml:space="preserve"> </w:t>
      </w:r>
    </w:p>
    <w:tbl>
      <w:tblPr>
        <w:tblStyle w:val="a9"/>
        <w:tblW w:w="4820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47"/>
        <w:gridCol w:w="473"/>
      </w:tblGrid>
      <w:tr w:rsidR="00F66FE5" w:rsidTr="00702E87">
        <w:trPr>
          <w:trHeight w:val="687"/>
        </w:trPr>
        <w:tc>
          <w:tcPr>
            <w:tcW w:w="4347" w:type="dxa"/>
          </w:tcPr>
          <w:p w:rsidR="00F66FE5" w:rsidRPr="00AA4497" w:rsidRDefault="00F66FE5" w:rsidP="00F66FE5">
            <w:pPr>
              <w:pStyle w:val="NEWRADbody"/>
              <w:spacing w:before="120" w:after="120" w:line="240" w:lineRule="auto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scf=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scf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scf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US" w:eastAsia="en-US"/>
                  </w:rPr>
                  <m:t>,</m:t>
                </m:r>
              </m:oMath>
            </m:oMathPara>
          </w:p>
        </w:tc>
        <w:tc>
          <w:tcPr>
            <w:tcW w:w="473" w:type="dxa"/>
            <w:vAlign w:val="center"/>
          </w:tcPr>
          <w:p w:rsidR="00F66FE5" w:rsidRDefault="00F66FE5" w:rsidP="00F66FE5">
            <w:pPr>
              <w:pStyle w:val="NEWRADbody"/>
              <w:jc w:val="right"/>
            </w:pPr>
            <w:r>
              <w:t>(3)</w:t>
            </w:r>
          </w:p>
        </w:tc>
      </w:tr>
    </w:tbl>
    <w:p w:rsidR="00F66FE5" w:rsidRDefault="00F66FE5" w:rsidP="00F66FE5">
      <w:pPr>
        <w:pStyle w:val="Text"/>
      </w:pPr>
      <w:r>
        <w:t xml:space="preserve">Due to the normalised nature of both </w:t>
      </w:r>
      <w:r w:rsidRPr="001857F8">
        <w:rPr>
          <w:i/>
          <w:iCs/>
        </w:rPr>
        <w:t>I*</w:t>
      </w:r>
      <w:r>
        <w:t xml:space="preserve"> and </w:t>
      </w:r>
      <w:r w:rsidRPr="001857F8">
        <w:rPr>
          <w:i/>
          <w:iCs/>
        </w:rPr>
        <w:t>K*</w:t>
      </w:r>
      <w:r>
        <w:t xml:space="preserve">, the value of </w:t>
      </w:r>
      <w:proofErr w:type="spellStart"/>
      <w:r w:rsidRPr="001857F8">
        <w:rPr>
          <w:i/>
          <w:iCs/>
        </w:rPr>
        <w:t>scf</w:t>
      </w:r>
      <w:proofErr w:type="spellEnd"/>
      <w:r>
        <w:t xml:space="preserve"> technically falls around one. The value of exactly one indicates that the measured total luminous flux is equa</w:t>
      </w:r>
      <w:r w:rsidR="00115522">
        <w:t xml:space="preserve">l to the accurate value. If </w:t>
      </w:r>
      <w:proofErr w:type="spellStart"/>
      <w:r w:rsidRPr="001857F8">
        <w:rPr>
          <w:i/>
          <w:iCs/>
        </w:rPr>
        <w:t>scf</w:t>
      </w:r>
      <w:proofErr w:type="spellEnd"/>
      <w:r>
        <w:t xml:space="preserve"> is less than one, the measured </w:t>
      </w:r>
      <w:r w:rsidR="001857F8">
        <w:t>value is higher than the accurate value, and vice versa.</w:t>
      </w:r>
      <w:r>
        <w:t xml:space="preserve"> </w:t>
      </w:r>
      <w:r w:rsidR="003814F1">
        <w:t xml:space="preserve">However, as </w:t>
      </w:r>
      <w:r w:rsidR="0045571A" w:rsidRPr="0045571A">
        <w:rPr>
          <w:i/>
          <w:iCs/>
        </w:rPr>
        <w:t>K</w:t>
      </w:r>
      <w:r w:rsidR="003814F1">
        <w:t xml:space="preserve"> can be affected by the scanning step and the scanning LED aperture</w:t>
      </w:r>
      <w:r w:rsidR="00D949A5">
        <w:t xml:space="preserve"> [3], the value of </w:t>
      </w:r>
      <w:proofErr w:type="spellStart"/>
      <w:r w:rsidR="00D949A5">
        <w:t>scf</w:t>
      </w:r>
      <w:proofErr w:type="spellEnd"/>
      <w:r w:rsidR="00D949A5">
        <w:t xml:space="preserve"> calculated in this study may be able to deviate. Thus the attention was paid on only on its trend.</w:t>
      </w:r>
    </w:p>
    <w:p w:rsidR="001279AE" w:rsidRDefault="001279AE" w:rsidP="00F66FE5">
      <w:pPr>
        <w:pStyle w:val="Text"/>
      </w:pPr>
      <w:r>
        <w:t xml:space="preserve">The uncertainty of </w:t>
      </w:r>
      <w:proofErr w:type="spellStart"/>
      <w:r w:rsidRPr="00960026">
        <w:rPr>
          <w:i/>
          <w:iCs/>
        </w:rPr>
        <w:t>scf</w:t>
      </w:r>
      <w:proofErr w:type="spellEnd"/>
      <w:r>
        <w:t xml:space="preserve"> was </w:t>
      </w:r>
      <w:r w:rsidR="00960026">
        <w:t>determined through the</w:t>
      </w:r>
      <w:r>
        <w:t xml:space="preserve"> Monte-Carlo </w:t>
      </w:r>
      <w:r w:rsidR="00960026">
        <w:t>simulation; t</w:t>
      </w:r>
      <w:r>
        <w:t>he f</w:t>
      </w:r>
      <w:r w:rsidR="00960026">
        <w:t>actor</w:t>
      </w:r>
      <w:r>
        <w:t xml:space="preserve"> was </w:t>
      </w:r>
      <w:r w:rsidR="00960026">
        <w:t>calculated for 10,000 times and its uncertainty was calculated under the rectangular distribution assumption.</w:t>
      </w:r>
    </w:p>
    <w:p w:rsidR="00674828" w:rsidRPr="002033E7" w:rsidRDefault="00674828" w:rsidP="00674828">
      <w:pPr>
        <w:pStyle w:val="Section"/>
      </w:pPr>
      <w:r>
        <w:t>3. RESULTS AND DISCUSSION</w:t>
      </w:r>
    </w:p>
    <w:p w:rsidR="001D7F54" w:rsidRPr="002033E7" w:rsidRDefault="00674828" w:rsidP="00975D7E">
      <w:pPr>
        <w:pStyle w:val="Subsection"/>
        <w:ind w:firstLine="0"/>
      </w:pPr>
      <w:r>
        <w:t>3.1 Typical spatial response distribution function</w:t>
      </w:r>
    </w:p>
    <w:p w:rsidR="00FB387B" w:rsidRDefault="00674828" w:rsidP="00E02B1F">
      <w:pPr>
        <w:pStyle w:val="Text"/>
      </w:pPr>
      <w:r>
        <w:t xml:space="preserve">Fig. 3 shows a typical </w:t>
      </w:r>
      <w:r w:rsidR="00277FB9">
        <w:t xml:space="preserve">spatial response distribution function, </w:t>
      </w:r>
      <w:r w:rsidR="00277FB9" w:rsidRPr="00277FB9">
        <w:rPr>
          <w:i/>
          <w:iCs/>
        </w:rPr>
        <w:t>K</w:t>
      </w:r>
      <w:r w:rsidR="00277FB9">
        <w:t xml:space="preserve">, of the sphere used in this experiment obtained by using a circular baffle. The result was as expected where the </w:t>
      </w:r>
      <w:r w:rsidR="00277FB9" w:rsidRPr="00277FB9">
        <w:rPr>
          <w:i/>
          <w:iCs/>
        </w:rPr>
        <w:t>K</w:t>
      </w:r>
      <w:r w:rsidR="00277FB9">
        <w:t xml:space="preserve"> was not uniform all over the sphere. Two distinct characteristics can be observed: (1) the </w:t>
      </w:r>
      <w:r w:rsidR="003E3308">
        <w:t xml:space="preserve">high-signal, </w:t>
      </w:r>
      <w:r w:rsidR="00277FB9">
        <w:t xml:space="preserve">circular </w:t>
      </w:r>
      <w:r w:rsidR="003E3308">
        <w:t xml:space="preserve">region </w:t>
      </w:r>
      <w:r w:rsidR="00277FB9">
        <w:t>at the centre of the left hemisphere where the photo-</w:t>
      </w:r>
      <w:r w:rsidR="00277FB9">
        <w:lastRenderedPageBreak/>
        <w:t xml:space="preserve">detector and the baffle were located, and (2) the </w:t>
      </w:r>
      <w:r w:rsidR="003E3308">
        <w:t xml:space="preserve">low-signal, </w:t>
      </w:r>
      <w:r w:rsidR="00277FB9">
        <w:t xml:space="preserve">circular </w:t>
      </w:r>
      <w:r w:rsidR="003E3308">
        <w:t>region</w:t>
      </w:r>
      <w:r w:rsidR="00277FB9">
        <w:t xml:space="preserve"> at the centre of the </w:t>
      </w:r>
      <w:r w:rsidR="003E3308">
        <w:t xml:space="preserve">plain </w:t>
      </w:r>
      <w:r w:rsidR="00277FB9">
        <w:t>right hemisphere.</w:t>
      </w:r>
    </w:p>
    <w:p w:rsidR="00674828" w:rsidRDefault="00C233C9" w:rsidP="00B663B0">
      <w:pPr>
        <w:pStyle w:val="Text"/>
      </w:pPr>
      <w:r>
        <w:t>T</w:t>
      </w:r>
      <w:r w:rsidR="00FB387B">
        <w:t>he high-signal characteristic at the left hemisphere</w:t>
      </w:r>
      <w:r>
        <w:t>, from our previous study</w:t>
      </w:r>
      <w:r w:rsidR="00115522">
        <w:t xml:space="preserve"> [</w:t>
      </w:r>
      <w:r w:rsidR="007519C2">
        <w:t>3</w:t>
      </w:r>
      <w:r w:rsidR="00115522">
        <w:t>]</w:t>
      </w:r>
      <w:r>
        <w:t>,</w:t>
      </w:r>
      <w:r w:rsidR="00FB387B">
        <w:t xml:space="preserve"> was due to the light incident </w:t>
      </w:r>
      <w:r w:rsidR="003E3308">
        <w:t xml:space="preserve">at the sphere wall </w:t>
      </w:r>
      <w:r w:rsidR="00FB387B">
        <w:t>around the baffle and reflected from the back of the baffle to the photo-detector, hence the signal at that area was higher than those in the surroundings. For the low-signal characteristic at the right hemisphere was due to the shadow of the baffle seen by the photo-detector.</w:t>
      </w:r>
    </w:p>
    <w:p w:rsidR="00C233C9" w:rsidRPr="002033E7" w:rsidRDefault="00C233C9" w:rsidP="00C233C9">
      <w:pPr>
        <w:pStyle w:val="Subsection"/>
        <w:ind w:firstLine="0"/>
      </w:pPr>
      <w:r>
        <w:t xml:space="preserve">3.2 Effects of baffle </w:t>
      </w:r>
      <w:r w:rsidR="00645477">
        <w:t>size</w:t>
      </w:r>
      <w:r>
        <w:t xml:space="preserve"> on the total luminous flux of a </w:t>
      </w:r>
      <w:r w:rsidR="003E3308">
        <w:t xml:space="preserve">linear </w:t>
      </w:r>
      <w:r>
        <w:t>lamp with co-axial alignment</w:t>
      </w:r>
    </w:p>
    <w:p w:rsidR="00C233C9" w:rsidRDefault="00945AEA" w:rsidP="00C233C9">
      <w:pPr>
        <w:pStyle w:val="Text"/>
      </w:pPr>
      <w:r>
        <w:rPr>
          <w:noProof/>
          <w:lang w:val="en-US" w:eastAsia="en-US" w:bidi="th-TH"/>
        </w:rPr>
        <w:pict>
          <v:group id="_x0000_s1060" editas="canvas" style="position:absolute;left:0;text-align:left;margin-left:-1.45pt;margin-top:-144.95pt;width:244.05pt;height:181.35pt;z-index:251675648" coordorigin="990,4560" coordsize="4881,3627">
            <o:lock v:ext="edit" aspectratio="t"/>
            <v:shape id="_x0000_s1061" type="#_x0000_t75" style="position:absolute;left:990;top:4560;width:4881;height:3627" o:preferrelative="f">
              <v:fill o:detectmouseclick="t"/>
              <v:path o:extrusionok="t" o:connecttype="none"/>
              <o:lock v:ext="edit" text="t"/>
            </v:shape>
            <v:shape id="_x0000_s1062" type="#_x0000_t202" style="position:absolute;left:1026;top:7383;width:4809;height:594" filled="f" stroked="f">
              <v:textbox style="mso-next-textbox:#_x0000_s1062">
                <w:txbxContent>
                  <w:p w:rsidR="00E02B1F" w:rsidRDefault="00E02B1F" w:rsidP="00E02B1F">
                    <w:pPr>
                      <w:pStyle w:val="Figure"/>
                      <w:spacing w:before="0" w:after="0"/>
                    </w:pPr>
                    <w:proofErr w:type="gramStart"/>
                    <w:r>
                      <w:t>Fig. 3.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>A 3-Dimensional plot of typical K of (a) left (b) right hemispheres of an integrating sphere with a circular baffle.</w:t>
                    </w:r>
                    <w:proofErr w:type="gramEnd"/>
                    <w:r>
                      <w:t xml:space="preserve"> </w:t>
                    </w:r>
                  </w:p>
                  <w:p w:rsidR="00E02B1F" w:rsidRPr="00E02B1F" w:rsidRDefault="00E02B1F" w:rsidP="00E02B1F">
                    <w:pPr>
                      <w:pStyle w:val="Figure"/>
                      <w:spacing w:before="0" w:after="0"/>
                    </w:pPr>
                  </w:p>
                </w:txbxContent>
              </v:textbox>
            </v:shape>
            <v:shape id="_x0000_s1107" type="#_x0000_t75" style="position:absolute;left:1030;top:4671;width:4800;height:2655">
              <v:imagedata r:id="rId11" o:title="Paper 2015 fig 3"/>
            </v:shape>
            <w10:wrap type="square"/>
          </v:group>
        </w:pict>
      </w:r>
      <w:r w:rsidR="00C233C9">
        <w:t xml:space="preserve">The first study was the effect of the baffle </w:t>
      </w:r>
      <w:r w:rsidR="00645477">
        <w:t>size</w:t>
      </w:r>
      <w:r w:rsidR="00C233C9">
        <w:t xml:space="preserve"> on the total luminous flux of a</w:t>
      </w:r>
      <w:r w:rsidR="003E3308">
        <w:t xml:space="preserve"> linear</w:t>
      </w:r>
      <w:r w:rsidR="00C233C9">
        <w:t xml:space="preserve"> lamp with co-axial alignment as shown in Fig. 1a. Here the baffle shape was in a racetrack shape as shown in Fig. 4, with the width, </w:t>
      </w:r>
      <w:r w:rsidR="00C233C9" w:rsidRPr="00C233C9">
        <w:rPr>
          <w:i/>
          <w:iCs/>
        </w:rPr>
        <w:t>w</w:t>
      </w:r>
      <w:r w:rsidR="00C233C9">
        <w:t xml:space="preserve">, fixed at 120 mm, and the length, </w:t>
      </w:r>
      <w:r w:rsidR="00C233C9" w:rsidRPr="002A1CBE">
        <w:rPr>
          <w:i/>
          <w:iCs/>
        </w:rPr>
        <w:t>l</w:t>
      </w:r>
      <w:r w:rsidR="00C233C9">
        <w:t xml:space="preserve">, varied from 120 mm to 520 mm. (i.e. the baffle </w:t>
      </w:r>
      <w:r w:rsidR="00C23C25">
        <w:t xml:space="preserve">with </w:t>
      </w:r>
      <w:r w:rsidR="00C23C25" w:rsidRPr="00C233C9">
        <w:rPr>
          <w:i/>
          <w:iCs/>
        </w:rPr>
        <w:t>l</w:t>
      </w:r>
      <w:r w:rsidR="00C23C25">
        <w:t xml:space="preserve"> of 120 mm </w:t>
      </w:r>
      <w:r w:rsidR="00C233C9">
        <w:t xml:space="preserve">was </w:t>
      </w:r>
      <w:r w:rsidR="00C23C25">
        <w:t xml:space="preserve">in a </w:t>
      </w:r>
      <w:r w:rsidR="00C233C9">
        <w:t>circ</w:t>
      </w:r>
      <w:r w:rsidR="00F6370F">
        <w:t>ular</w:t>
      </w:r>
      <w:r w:rsidR="00C23C25">
        <w:t xml:space="preserve"> shape</w:t>
      </w:r>
      <w:r w:rsidR="00C233C9">
        <w:t>).</w:t>
      </w:r>
    </w:p>
    <w:p w:rsidR="004D27B8" w:rsidRDefault="00DA46C3" w:rsidP="00B663B0">
      <w:pPr>
        <w:pStyle w:val="Text"/>
      </w:pPr>
      <w:r w:rsidRPr="00945AEA">
        <w:rPr>
          <w:noProof/>
          <w:szCs w:val="20"/>
          <w:lang w:val="en-US" w:eastAsia="en-US" w:bidi="th-TH"/>
        </w:rPr>
        <w:lastRenderedPageBreak/>
        <w:pict>
          <v:group id="_x0000_s1119" style="position:absolute;left:0;text-align:left;margin-left:-.4pt;margin-top:7.2pt;width:245.05pt;height:321.25pt;z-index:251677184" coordorigin="959,9660" coordsize="4901,6425">
            <v:group id="_x0000_s1067" editas="canvas" style="position:absolute;left:959;top:9660;width:4845;height:2565" coordorigin="990,4560" coordsize="4845,2565">
              <o:lock v:ext="edit" aspectratio="t"/>
              <v:shape id="_x0000_s1068" type="#_x0000_t75" style="position:absolute;left:990;top:4560;width:4845;height:2565" o:preferrelative="f">
                <v:fill o:detectmouseclick="t"/>
                <v:path o:extrusionok="t" o:connecttype="none"/>
                <o:lock v:ext="edit" text="t"/>
              </v:shape>
              <v:shape id="_x0000_s1069" type="#_x0000_t202" style="position:absolute;left:1077;top:6353;width:4684;height:594" filled="f" stroked="f">
                <v:textbox style="mso-next-textbox:#_x0000_s1069">
                  <w:txbxContent>
                    <w:p w:rsidR="00E02B1F" w:rsidRDefault="00E02B1F" w:rsidP="00E02B1F">
                      <w:pPr>
                        <w:pStyle w:val="Figure"/>
                        <w:spacing w:before="0" w:after="0"/>
                      </w:pPr>
                      <w:proofErr w:type="gramStart"/>
                      <w:r>
                        <w:t>Fig. 4.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Sketch of the racetrack shape of baffle with width </w:t>
                      </w:r>
                      <w:r w:rsidRPr="002A1CBE">
                        <w:rPr>
                          <w:i/>
                          <w:iCs/>
                        </w:rPr>
                        <w:t>w</w:t>
                      </w:r>
                      <w:r>
                        <w:t xml:space="preserve"> and length </w:t>
                      </w:r>
                      <w:r w:rsidRPr="002A1CBE">
                        <w:rPr>
                          <w:i/>
                          <w:iCs/>
                        </w:rPr>
                        <w:t>l</w:t>
                      </w:r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</w:p>
                    <w:p w:rsidR="00E02B1F" w:rsidRPr="00E02B1F" w:rsidRDefault="00E02B1F" w:rsidP="00E02B1F">
                      <w:pPr>
                        <w:pStyle w:val="Figure"/>
                        <w:spacing w:before="0" w:after="0"/>
                      </w:pPr>
                    </w:p>
                  </w:txbxContent>
                </v:textbox>
              </v:shape>
              <v:shape id="_x0000_s1108" type="#_x0000_t75" style="position:absolute;left:1132;top:4605;width:4560;height:1785">
                <v:imagedata r:id="rId12" o:title="Paper 2015 fig 4"/>
              </v:shape>
            </v:group>
            <v:group id="_x0000_s1073" editas="canvas" style="position:absolute;left:978;top:11930;width:4882;height:4155" coordorigin="990,3240" coordsize="4882,4155">
              <o:lock v:ext="edit" aspectratio="t"/>
              <v:shape id="_x0000_s1074" type="#_x0000_t75" style="position:absolute;left:990;top:3240;width:4882;height:4155" o:preferrelative="f">
                <v:fill o:detectmouseclick="t"/>
                <v:path o:extrusionok="t" o:connecttype="none"/>
                <o:lock v:ext="edit" text="t"/>
              </v:shape>
              <v:shape id="_x0000_s1075" type="#_x0000_t202" style="position:absolute;left:1056;top:6634;width:4749;height:563" filled="f" stroked="f">
                <v:textbox style="mso-next-textbox:#_x0000_s1075">
                  <w:txbxContent>
                    <w:p w:rsidR="005E7711" w:rsidRDefault="005E7711" w:rsidP="005E7711">
                      <w:pPr>
                        <w:pStyle w:val="Figure"/>
                        <w:spacing w:before="0" w:after="0"/>
                      </w:pPr>
                      <w:proofErr w:type="gramStart"/>
                      <w:r>
                        <w:t>Fig. 5.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Relation between the baffle length, </w:t>
                      </w:r>
                      <w:r w:rsidRPr="00AF5B2B">
                        <w:rPr>
                          <w:i/>
                          <w:iCs/>
                        </w:rPr>
                        <w:t>l</w:t>
                      </w:r>
                      <w:r>
                        <w:t xml:space="preserve">, and </w:t>
                      </w:r>
                      <w:proofErr w:type="spellStart"/>
                      <w:r w:rsidRPr="00AF5B2B">
                        <w:rPr>
                          <w:i/>
                          <w:iCs/>
                        </w:rPr>
                        <w:t>scf</w:t>
                      </w:r>
                      <w:proofErr w:type="spellEnd"/>
                      <w:r>
                        <w:t xml:space="preserve"> and its uncertainty of a linear shape lamp with co-axial alignment.</w:t>
                      </w:r>
                      <w:proofErr w:type="gramEnd"/>
                      <w:r>
                        <w:t xml:space="preserve"> </w:t>
                      </w:r>
                    </w:p>
                    <w:p w:rsidR="005E7711" w:rsidRPr="00E02B1F" w:rsidRDefault="005E7711" w:rsidP="005E7711">
                      <w:pPr>
                        <w:pStyle w:val="Figure"/>
                        <w:spacing w:before="0" w:after="0"/>
                      </w:pPr>
                    </w:p>
                  </w:txbxContent>
                </v:textbox>
              </v:shape>
              <v:shape id="_x0000_s1077" type="#_x0000_t75" style="position:absolute;left:1000;top:3360;width:4857;height:3394">
                <v:imagedata r:id="rId13" o:title=""/>
              </v:shape>
            </v:group>
            <w10:wrap type="topAndBottom"/>
          </v:group>
          <o:OLEObject Type="Embed" ProgID="Origin50.Graph" ShapeID="_x0000_s1077" DrawAspect="Content" ObjectID="_1485322613" r:id="rId14"/>
        </w:pict>
      </w:r>
      <w:r w:rsidR="00A856DB">
        <w:t>Fig. 5</w:t>
      </w:r>
      <w:r w:rsidR="0036138A">
        <w:t xml:space="preserve"> shows the relation</w:t>
      </w:r>
      <w:r w:rsidR="00327E03">
        <w:t>s</w:t>
      </w:r>
      <w:r w:rsidR="0036138A">
        <w:t xml:space="preserve"> between the length, </w:t>
      </w:r>
      <w:r w:rsidR="0036138A" w:rsidRPr="0036138A">
        <w:rPr>
          <w:i/>
          <w:iCs/>
        </w:rPr>
        <w:t>l</w:t>
      </w:r>
      <w:r w:rsidR="0036138A">
        <w:t xml:space="preserve">, of the baffle and </w:t>
      </w:r>
      <w:proofErr w:type="spellStart"/>
      <w:r w:rsidR="0036138A" w:rsidRPr="007D158F">
        <w:rPr>
          <w:i/>
          <w:iCs/>
        </w:rPr>
        <w:t>scf</w:t>
      </w:r>
      <w:proofErr w:type="spellEnd"/>
      <w:r w:rsidR="0036138A">
        <w:t xml:space="preserve"> </w:t>
      </w:r>
      <w:r w:rsidR="00AF5B2B">
        <w:t>of the system and its corresponding relative uncertainty</w:t>
      </w:r>
      <w:r w:rsidR="0036138A">
        <w:t xml:space="preserve">. </w:t>
      </w:r>
      <w:r w:rsidR="007D158F">
        <w:t>The relations of all lamp</w:t>
      </w:r>
      <w:r w:rsidR="00666181">
        <w:t>s</w:t>
      </w:r>
      <w:r w:rsidR="007D158F">
        <w:t xml:space="preserve"> exhibit</w:t>
      </w:r>
      <w:r w:rsidR="00666181">
        <w:t>ed</w:t>
      </w:r>
      <w:r w:rsidR="007D158F">
        <w:t xml:space="preserve"> a similar trend where </w:t>
      </w:r>
      <w:proofErr w:type="spellStart"/>
      <w:r w:rsidR="007D158F" w:rsidRPr="00666181">
        <w:rPr>
          <w:i/>
          <w:iCs/>
        </w:rPr>
        <w:t>scf</w:t>
      </w:r>
      <w:proofErr w:type="spellEnd"/>
      <w:r w:rsidR="00666181">
        <w:t xml:space="preserve"> </w:t>
      </w:r>
      <w:r w:rsidR="00AF5B2B">
        <w:t xml:space="preserve">and its relative uncertainty </w:t>
      </w:r>
      <w:r w:rsidR="00666181">
        <w:t xml:space="preserve">increased increasingly with the length </w:t>
      </w:r>
      <w:r w:rsidR="00666181" w:rsidRPr="00666181">
        <w:rPr>
          <w:i/>
          <w:iCs/>
        </w:rPr>
        <w:t>l</w:t>
      </w:r>
      <w:r w:rsidR="00666181">
        <w:t xml:space="preserve"> of the baffle. The value of </w:t>
      </w:r>
      <w:proofErr w:type="spellStart"/>
      <w:r w:rsidR="00666181" w:rsidRPr="00A42868">
        <w:rPr>
          <w:i/>
          <w:iCs/>
        </w:rPr>
        <w:t>scf</w:t>
      </w:r>
      <w:proofErr w:type="spellEnd"/>
      <w:r w:rsidR="00666181">
        <w:t xml:space="preserve"> increas</w:t>
      </w:r>
      <w:r w:rsidR="00A42868">
        <w:t xml:space="preserve">ed from 0.996 to 1.003 when </w:t>
      </w:r>
      <w:r w:rsidR="00666181" w:rsidRPr="00A42868">
        <w:rPr>
          <w:i/>
          <w:iCs/>
        </w:rPr>
        <w:t>l</w:t>
      </w:r>
      <w:r w:rsidR="00666181">
        <w:t xml:space="preserve"> increased from 120 mm to 520 mm, respectively. This indicates that, for this co-axial arrange</w:t>
      </w:r>
      <w:r w:rsidR="00A42868">
        <w:t xml:space="preserve">ment, </w:t>
      </w:r>
      <w:r w:rsidR="003E3308">
        <w:t>once the baffle bec</w:t>
      </w:r>
      <w:r w:rsidR="00AD54B5">
        <w:t>ame</w:t>
      </w:r>
      <w:r w:rsidR="003E3308">
        <w:t xml:space="preserve"> l</w:t>
      </w:r>
      <w:r w:rsidR="00AD54B5">
        <w:t>ong</w:t>
      </w:r>
      <w:r w:rsidR="003E3308">
        <w:t>er, the measured total luminous flux would decrease.</w:t>
      </w:r>
      <w:r w:rsidR="00AF5B2B">
        <w:t xml:space="preserve"> The reason of this trend</w:t>
      </w:r>
      <w:r w:rsidR="00A42868">
        <w:t xml:space="preserve">, we believe, </w:t>
      </w:r>
      <w:r w:rsidR="00AF5B2B">
        <w:t xml:space="preserve">is </w:t>
      </w:r>
      <w:r w:rsidR="00A42868">
        <w:t xml:space="preserve">due to the relative size between the high-signal and low-signal </w:t>
      </w:r>
      <w:r w:rsidR="00AD54B5">
        <w:t>region</w:t>
      </w:r>
      <w:r w:rsidR="00A42868">
        <w:t>s on both hemispheres</w:t>
      </w:r>
      <w:r w:rsidR="00AD54B5">
        <w:t xml:space="preserve"> where the latter is dominant</w:t>
      </w:r>
    </w:p>
    <w:p w:rsidR="00A42868" w:rsidRDefault="00AF5B2B" w:rsidP="00B663B0">
      <w:pPr>
        <w:pStyle w:val="Text"/>
      </w:pPr>
      <w:r>
        <w:t xml:space="preserve">The relative uncertainty of </w:t>
      </w:r>
      <w:proofErr w:type="spellStart"/>
      <w:r w:rsidRPr="00D84823">
        <w:rPr>
          <w:i/>
          <w:iCs/>
        </w:rPr>
        <w:t>scf</w:t>
      </w:r>
      <w:proofErr w:type="spellEnd"/>
      <w:r>
        <w:t xml:space="preserve"> in this lamp alignment was also increased with the baffle length. However, s</w:t>
      </w:r>
      <w:r w:rsidR="008005CD">
        <w:t>uch uncertainty was less than 0.08% which was still small.</w:t>
      </w:r>
    </w:p>
    <w:p w:rsidR="00D84823" w:rsidRPr="002033E7" w:rsidRDefault="00D84823" w:rsidP="00D84823">
      <w:pPr>
        <w:pStyle w:val="Subsection"/>
        <w:ind w:firstLine="0"/>
      </w:pPr>
      <w:r>
        <w:t xml:space="preserve">3.3 Effects of baffle </w:t>
      </w:r>
      <w:r w:rsidR="00645477">
        <w:t>size</w:t>
      </w:r>
      <w:r>
        <w:t xml:space="preserve"> on the total luminous flux of a </w:t>
      </w:r>
      <w:r w:rsidR="00AD54B5">
        <w:t xml:space="preserve">linear </w:t>
      </w:r>
      <w:r>
        <w:t>lamp with perpendicular alignment</w:t>
      </w:r>
    </w:p>
    <w:p w:rsidR="00887913" w:rsidRPr="005607B2" w:rsidRDefault="00D84823" w:rsidP="00B663B0">
      <w:pPr>
        <w:pStyle w:val="Text"/>
        <w:rPr>
          <w:lang w:val="en-US"/>
        </w:rPr>
      </w:pPr>
      <w:r>
        <w:t>In this study, the lamp alignment was in a perpendicular co</w:t>
      </w:r>
      <w:r w:rsidR="00DD0B92">
        <w:t>nfiguration as shown in Fig. 1b, while the baffle shape was racetrack and had the same sizes as those used in the previous section.</w:t>
      </w:r>
      <w:r w:rsidR="00D54AE6">
        <w:t xml:space="preserve"> </w:t>
      </w:r>
      <w:r w:rsidR="00645477">
        <w:t xml:space="preserve">This alignment is typical for a linear shape lamp with a racetrack baffle. </w:t>
      </w:r>
      <w:r w:rsidR="00DD0B92">
        <w:t xml:space="preserve">The effects of the baffle length, </w:t>
      </w:r>
      <w:r w:rsidR="00DD0B92" w:rsidRPr="001614C1">
        <w:rPr>
          <w:i/>
          <w:iCs/>
        </w:rPr>
        <w:t>l</w:t>
      </w:r>
      <w:r w:rsidR="00115522">
        <w:t xml:space="preserve">, on </w:t>
      </w:r>
      <w:proofErr w:type="spellStart"/>
      <w:r w:rsidR="00DD0B92" w:rsidRPr="001614C1">
        <w:rPr>
          <w:i/>
          <w:iCs/>
        </w:rPr>
        <w:t>scf</w:t>
      </w:r>
      <w:proofErr w:type="spellEnd"/>
      <w:r w:rsidR="00DD0B92">
        <w:t xml:space="preserve"> and its relative uncertainty were shown in Fig. 6.</w:t>
      </w:r>
      <w:r w:rsidR="005607B2" w:rsidRPr="005607B2">
        <w:rPr>
          <w:noProof/>
        </w:rPr>
        <w:t xml:space="preserve"> </w:t>
      </w:r>
    </w:p>
    <w:p w:rsidR="00887913" w:rsidRDefault="001614C1" w:rsidP="00B663B0">
      <w:pPr>
        <w:pStyle w:val="Text"/>
      </w:pPr>
      <w:r>
        <w:t>Here th</w:t>
      </w:r>
      <w:r w:rsidR="00115522">
        <w:t>e effect of baffle length on</w:t>
      </w:r>
      <w:r>
        <w:t xml:space="preserve"> </w:t>
      </w:r>
      <w:proofErr w:type="spellStart"/>
      <w:r w:rsidRPr="001614C1">
        <w:rPr>
          <w:i/>
          <w:iCs/>
        </w:rPr>
        <w:t>scf</w:t>
      </w:r>
      <w:proofErr w:type="spellEnd"/>
      <w:r>
        <w:t xml:space="preserve"> was reversed to that of co-axial alignment. In this perpendicular alignment</w:t>
      </w:r>
      <w:r w:rsidR="00115522">
        <w:t>,</w:t>
      </w:r>
      <w:r w:rsidR="00D54AE6">
        <w:t xml:space="preserve"> </w:t>
      </w:r>
      <w:proofErr w:type="spellStart"/>
      <w:r w:rsidR="00D54AE6" w:rsidRPr="00D54AE6">
        <w:rPr>
          <w:i/>
          <w:iCs/>
        </w:rPr>
        <w:t>scf</w:t>
      </w:r>
      <w:proofErr w:type="spellEnd"/>
      <w:r w:rsidR="00D54AE6">
        <w:t xml:space="preserve"> decreased when the baffle length </w:t>
      </w:r>
      <w:r w:rsidR="00D54AE6" w:rsidRPr="00D54AE6">
        <w:rPr>
          <w:i/>
          <w:iCs/>
        </w:rPr>
        <w:t>l</w:t>
      </w:r>
      <w:r w:rsidR="00D54AE6">
        <w:t xml:space="preserve"> increased. From </w:t>
      </w:r>
      <w:r w:rsidR="00D54AE6" w:rsidRPr="00D54AE6">
        <w:rPr>
          <w:i/>
          <w:iCs/>
        </w:rPr>
        <w:t>l</w:t>
      </w:r>
      <w:r w:rsidR="00D54AE6">
        <w:t xml:space="preserve"> of 120 mm to 520 mm, </w:t>
      </w:r>
      <w:proofErr w:type="spellStart"/>
      <w:r w:rsidR="00D54AE6" w:rsidRPr="00D54AE6">
        <w:rPr>
          <w:i/>
          <w:iCs/>
        </w:rPr>
        <w:t>scf</w:t>
      </w:r>
      <w:proofErr w:type="spellEnd"/>
      <w:r w:rsidR="00D54AE6">
        <w:t xml:space="preserve"> decreased from 1.004 to 0.996. This indicated that, for this lamp alignment, if the baffle length was </w:t>
      </w:r>
      <w:r w:rsidR="00AD54B5">
        <w:t>longer</w:t>
      </w:r>
      <w:r w:rsidR="00D54AE6">
        <w:t xml:space="preserve">, the measured total luminous flux would be </w:t>
      </w:r>
      <w:r w:rsidR="00AD54B5">
        <w:t>increasing</w:t>
      </w:r>
      <w:r w:rsidR="00D54AE6">
        <w:t>.</w:t>
      </w:r>
      <w:r w:rsidR="00AD54B5">
        <w:t xml:space="preserve"> Here, even though the increase in size of the baffle increased the area of the low regions, however, this effect was overshadowed by the increase in the height of the high-signal region.</w:t>
      </w:r>
    </w:p>
    <w:p w:rsidR="00D54AE6" w:rsidRDefault="00DA46C3" w:rsidP="00D461C5">
      <w:pPr>
        <w:pStyle w:val="Text"/>
      </w:pPr>
      <w:r>
        <w:rPr>
          <w:noProof/>
          <w:lang w:val="en-US" w:eastAsia="en-US" w:bidi="th-TH"/>
        </w:rPr>
        <w:pict>
          <v:group id="_x0000_s1078" editas="canvas" style="position:absolute;left:0;text-align:left;margin-left:1.4pt;margin-top:74.5pt;width:243.3pt;height:207.75pt;z-index:251678720" coordorigin="990,3240" coordsize="4866,4155">
            <o:lock v:ext="edit" aspectratio="t"/>
            <v:shape id="_x0000_s1079" type="#_x0000_t75" style="position:absolute;left:990;top:3240;width:4866;height:4155" o:preferrelative="f">
              <v:fill o:detectmouseclick="t"/>
              <v:path o:extrusionok="t" o:connecttype="none"/>
              <o:lock v:ext="edit" text="t"/>
            </v:shape>
            <v:shape id="_x0000_s1080" type="#_x0000_t202" style="position:absolute;left:1053;top:6634;width:4752;height:563" filled="f" stroked="f">
              <v:textbox style="mso-next-textbox:#_x0000_s1080">
                <w:txbxContent>
                  <w:p w:rsidR="005E7711" w:rsidRDefault="005E7711" w:rsidP="005E7711">
                    <w:pPr>
                      <w:pStyle w:val="Figure"/>
                      <w:spacing w:before="0" w:after="0"/>
                    </w:pPr>
                    <w:proofErr w:type="gramStart"/>
                    <w:r>
                      <w:t>Fig. 6.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 xml:space="preserve">Relation between the baffle length, </w:t>
                    </w:r>
                    <w:r w:rsidRPr="00AF5B2B">
                      <w:rPr>
                        <w:i/>
                        <w:iCs/>
                      </w:rPr>
                      <w:t>l</w:t>
                    </w:r>
                    <w:r>
                      <w:t xml:space="preserve">, and </w:t>
                    </w:r>
                    <w:proofErr w:type="spellStart"/>
                    <w:r w:rsidRPr="00AF5B2B">
                      <w:rPr>
                        <w:i/>
                        <w:iCs/>
                      </w:rPr>
                      <w:t>scf</w:t>
                    </w:r>
                    <w:proofErr w:type="spellEnd"/>
                    <w:r>
                      <w:t xml:space="preserve"> and its uncertainty of a linear shape lamp with perpendicular alignment.</w:t>
                    </w:r>
                    <w:proofErr w:type="gramEnd"/>
                    <w:r>
                      <w:t xml:space="preserve"> </w:t>
                    </w:r>
                  </w:p>
                  <w:p w:rsidR="005E7711" w:rsidRPr="00E02B1F" w:rsidRDefault="005E7711" w:rsidP="005E7711">
                    <w:pPr>
                      <w:pStyle w:val="Figure"/>
                      <w:spacing w:before="0" w:after="0"/>
                    </w:pPr>
                  </w:p>
                </w:txbxContent>
              </v:textbox>
            </v:shape>
            <v:shape id="_x0000_s1082" type="#_x0000_t75" style="position:absolute;left:1003;top:3403;width:4838;height:3380">
              <v:imagedata r:id="rId15" o:title=""/>
            </v:shape>
            <w10:wrap type="square"/>
          </v:group>
          <o:OLEObject Type="Embed" ProgID="Origin50.Graph" ShapeID="_x0000_s1082" DrawAspect="Content" ObjectID="_1485322612" r:id="rId16"/>
        </w:pict>
      </w:r>
      <w:r w:rsidR="00D54AE6">
        <w:t xml:space="preserve">The relative uncertainty of </w:t>
      </w:r>
      <w:proofErr w:type="spellStart"/>
      <w:r w:rsidR="00D54AE6" w:rsidRPr="00D84823">
        <w:rPr>
          <w:i/>
          <w:iCs/>
        </w:rPr>
        <w:t>scf</w:t>
      </w:r>
      <w:proofErr w:type="spellEnd"/>
      <w:r w:rsidR="00D54AE6">
        <w:t xml:space="preserve"> in this lamp alignment was opposite where it increased with baffle length. The uncertainty of </w:t>
      </w:r>
      <w:proofErr w:type="spellStart"/>
      <w:r w:rsidR="00D54AE6" w:rsidRPr="00D54AE6">
        <w:rPr>
          <w:i/>
          <w:iCs/>
        </w:rPr>
        <w:t>scf</w:t>
      </w:r>
      <w:proofErr w:type="spellEnd"/>
      <w:r w:rsidR="00D54AE6">
        <w:t xml:space="preserve"> from perpendicular alignment was several times lower than that from co-axial alignment obtained from the same baffle </w:t>
      </w:r>
      <w:r w:rsidR="00573656">
        <w:t>size</w:t>
      </w:r>
      <w:r w:rsidR="00D54AE6">
        <w:t>. This indicated the</w:t>
      </w:r>
      <w:r w:rsidR="00D461C5">
        <w:t xml:space="preserve"> better measurement performance of </w:t>
      </w:r>
      <w:r w:rsidR="00AD54B5">
        <w:t>this</w:t>
      </w:r>
      <w:r w:rsidR="00D461C5">
        <w:t xml:space="preserve"> alignment</w:t>
      </w:r>
      <w:r w:rsidR="00AD54B5">
        <w:t xml:space="preserve"> than </w:t>
      </w:r>
      <w:r w:rsidR="00600AF1">
        <w:t xml:space="preserve">that of </w:t>
      </w:r>
      <w:r w:rsidR="00AD54B5">
        <w:t>the co-axial one.</w:t>
      </w:r>
      <w:r w:rsidR="00D54AE6">
        <w:t xml:space="preserve"> </w:t>
      </w:r>
    </w:p>
    <w:p w:rsidR="00E62A7F" w:rsidRPr="002033E7" w:rsidRDefault="00E62A7F" w:rsidP="00E62A7F">
      <w:pPr>
        <w:pStyle w:val="Subsection"/>
        <w:ind w:firstLine="0"/>
      </w:pPr>
      <w:r>
        <w:lastRenderedPageBreak/>
        <w:t xml:space="preserve">3.3 Effects of baffle </w:t>
      </w:r>
      <w:r w:rsidR="007519C2">
        <w:t>distance</w:t>
      </w:r>
      <w:r>
        <w:t xml:space="preserve"> on the total luminous flux of a </w:t>
      </w:r>
      <w:r w:rsidR="00AD54B5">
        <w:t xml:space="preserve">linear </w:t>
      </w:r>
      <w:r>
        <w:t>lamp with perpendicular alignment</w:t>
      </w:r>
    </w:p>
    <w:p w:rsidR="00F56A90" w:rsidRDefault="00F56A90" w:rsidP="00B663B0">
      <w:pPr>
        <w:pStyle w:val="Text"/>
      </w:pPr>
      <w:r>
        <w:t>T</w:t>
      </w:r>
      <w:r w:rsidR="00B75704">
        <w:t xml:space="preserve">wo characteristics </w:t>
      </w:r>
      <w:r>
        <w:t xml:space="preserve">which </w:t>
      </w:r>
      <w:r w:rsidR="00B75704">
        <w:t xml:space="preserve">affect </w:t>
      </w:r>
      <w:proofErr w:type="spellStart"/>
      <w:r w:rsidR="00B75704" w:rsidRPr="00B75704">
        <w:rPr>
          <w:i/>
          <w:iCs/>
        </w:rPr>
        <w:t>scf</w:t>
      </w:r>
      <w:proofErr w:type="spellEnd"/>
      <w:r>
        <w:t xml:space="preserve"> are</w:t>
      </w:r>
      <w:r w:rsidR="00B75704">
        <w:t xml:space="preserve"> </w:t>
      </w:r>
      <w:r>
        <w:t xml:space="preserve">the high-signal region in the baffle-side </w:t>
      </w:r>
      <w:proofErr w:type="gramStart"/>
      <w:r>
        <w:t>hemisphere,</w:t>
      </w:r>
      <w:proofErr w:type="gramEnd"/>
      <w:r>
        <w:t xml:space="preserve"> and the low-signal region in the opposite plain hemisphere</w:t>
      </w:r>
      <w:r w:rsidR="00B75704">
        <w:t xml:space="preserve"> as shown in Fig. 3</w:t>
      </w:r>
      <w:r>
        <w:t>a and 3b, respectively</w:t>
      </w:r>
      <w:r w:rsidR="00B75704">
        <w:t xml:space="preserve">. </w:t>
      </w:r>
      <w:r>
        <w:t xml:space="preserve">Both affect </w:t>
      </w:r>
      <w:proofErr w:type="spellStart"/>
      <w:r w:rsidRPr="00F56A90">
        <w:rPr>
          <w:i/>
          <w:iCs/>
        </w:rPr>
        <w:t>scf</w:t>
      </w:r>
      <w:proofErr w:type="spellEnd"/>
      <w:r>
        <w:t xml:space="preserve"> differently. To study the effect of each characteristic separately, the other characteristic needs to be controlled.</w:t>
      </w:r>
    </w:p>
    <w:p w:rsidR="007E024D" w:rsidRDefault="00F56A90" w:rsidP="00B663B0">
      <w:pPr>
        <w:pStyle w:val="Text"/>
      </w:pPr>
      <w:r>
        <w:t xml:space="preserve">In this section, the effect on the high-signal region on </w:t>
      </w:r>
      <w:proofErr w:type="spellStart"/>
      <w:r w:rsidRPr="00622B33">
        <w:rPr>
          <w:i/>
          <w:iCs/>
        </w:rPr>
        <w:t>scf</w:t>
      </w:r>
      <w:proofErr w:type="spellEnd"/>
      <w:r>
        <w:t xml:space="preserve"> was study where the </w:t>
      </w:r>
      <w:r w:rsidR="00622B33">
        <w:t xml:space="preserve">size of the low-signal region was controlled to be constant. This was done by moving the baffle </w:t>
      </w:r>
      <w:r w:rsidR="000B273F">
        <w:t>at 5</w:t>
      </w:r>
      <w:r w:rsidR="007E024D">
        <w:t xml:space="preserve"> different </w:t>
      </w:r>
      <w:r w:rsidR="000B273F">
        <w:t>distances</w:t>
      </w:r>
      <w:r w:rsidR="004D33D0">
        <w:t xml:space="preserve">, </w:t>
      </w:r>
      <w:r w:rsidR="004D33D0" w:rsidRPr="004D33D0">
        <w:rPr>
          <w:i/>
          <w:iCs/>
        </w:rPr>
        <w:t>d</w:t>
      </w:r>
      <w:r w:rsidR="004D33D0">
        <w:t>,</w:t>
      </w:r>
      <w:r w:rsidR="000B273F">
        <w:t xml:space="preserve"> </w:t>
      </w:r>
      <w:r w:rsidR="004D33D0">
        <w:t>from 58 mm to 250 mm, from the photo-detector</w:t>
      </w:r>
      <w:r w:rsidR="000B273F">
        <w:t>.</w:t>
      </w:r>
      <w:r w:rsidR="007E024D">
        <w:t xml:space="preserve"> While the baffle was further away from</w:t>
      </w:r>
      <w:r w:rsidR="00622B33">
        <w:t xml:space="preserve"> the photo-detector, </w:t>
      </w:r>
      <w:r w:rsidR="007E024D">
        <w:t xml:space="preserve">the </w:t>
      </w:r>
      <w:r w:rsidR="004D33D0">
        <w:t>length</w:t>
      </w:r>
      <w:r w:rsidR="00622B33">
        <w:t xml:space="preserve"> of the baffle</w:t>
      </w:r>
      <w:r w:rsidR="004D33D0">
        <w:t xml:space="preserve">, </w:t>
      </w:r>
      <w:r w:rsidR="004D33D0" w:rsidRPr="004D33D0">
        <w:rPr>
          <w:i/>
          <w:iCs/>
        </w:rPr>
        <w:t>l</w:t>
      </w:r>
      <w:r w:rsidR="004D33D0">
        <w:t>,</w:t>
      </w:r>
      <w:r w:rsidR="00622B33">
        <w:t xml:space="preserve"> </w:t>
      </w:r>
      <w:r w:rsidR="007E024D">
        <w:t>increased</w:t>
      </w:r>
      <w:r w:rsidR="00622B33">
        <w:t xml:space="preserve"> </w:t>
      </w:r>
      <w:r w:rsidR="007E024D">
        <w:t>such that the low-signal region (the baffle shadow) at every baffle condition was of the same size</w:t>
      </w:r>
      <w:r w:rsidR="000B273F">
        <w:t>. Fig. 7 shows the schematic diagram of the sphere and baffle when the baffle is at the furthest position from the photo-detector</w:t>
      </w:r>
      <w:r w:rsidR="007E024D">
        <w:t>.</w:t>
      </w:r>
    </w:p>
    <w:p w:rsidR="007E024D" w:rsidRDefault="007E024D" w:rsidP="00B663B0">
      <w:pPr>
        <w:pStyle w:val="Text"/>
      </w:pPr>
      <w:r>
        <w:lastRenderedPageBreak/>
        <w:t>Fig. 8</w:t>
      </w:r>
      <w:r w:rsidR="005607B2">
        <w:t xml:space="preserve"> shows the effect of baffle distance</w:t>
      </w:r>
      <w:r w:rsidR="004D33D0">
        <w:t xml:space="preserve">, </w:t>
      </w:r>
      <w:r w:rsidR="004D33D0" w:rsidRPr="004D33D0">
        <w:rPr>
          <w:i/>
          <w:iCs/>
        </w:rPr>
        <w:t>d</w:t>
      </w:r>
      <w:r w:rsidR="004D33D0">
        <w:t>,</w:t>
      </w:r>
      <w:r w:rsidR="00115522">
        <w:t xml:space="preserve"> on </w:t>
      </w:r>
      <w:proofErr w:type="spellStart"/>
      <w:r w:rsidR="005607B2" w:rsidRPr="005607B2">
        <w:rPr>
          <w:i/>
          <w:iCs/>
        </w:rPr>
        <w:t>scf</w:t>
      </w:r>
      <w:proofErr w:type="spellEnd"/>
      <w:r w:rsidR="005607B2">
        <w:t xml:space="preserve"> where the shadow size was controlled to be constant. </w:t>
      </w:r>
      <w:r w:rsidR="007A65C6">
        <w:t xml:space="preserve">The relation shows that, once the baffle was further away from the photo-detector, </w:t>
      </w:r>
      <w:proofErr w:type="spellStart"/>
      <w:r w:rsidR="007A65C6" w:rsidRPr="007A65C6">
        <w:rPr>
          <w:i/>
          <w:iCs/>
        </w:rPr>
        <w:t>scf</w:t>
      </w:r>
      <w:proofErr w:type="spellEnd"/>
      <w:r w:rsidR="007A65C6">
        <w:t xml:space="preserve"> </w:t>
      </w:r>
      <w:r w:rsidR="00AD54B5">
        <w:t>increased</w:t>
      </w:r>
      <w:r w:rsidR="007A65C6">
        <w:t>, indicating th</w:t>
      </w:r>
      <w:r w:rsidR="00AD54B5">
        <w:t>e decrease in</w:t>
      </w:r>
      <w:r w:rsidR="007A65C6">
        <w:t xml:space="preserve"> the measured </w:t>
      </w:r>
      <w:r w:rsidR="00AD54B5">
        <w:t>total luminous flux value</w:t>
      </w:r>
      <w:r w:rsidR="007A65C6">
        <w:t xml:space="preserve">. As the low-signal region (baffle shadow) was the same for baffle distance, the reason of this behaviour was because </w:t>
      </w:r>
      <w:r w:rsidR="00AD54B5">
        <w:t xml:space="preserve">of </w:t>
      </w:r>
      <w:r w:rsidR="007A65C6">
        <w:t xml:space="preserve">the high-signal region generated around the photo-detector. When the baffle became </w:t>
      </w:r>
      <w:r w:rsidR="00AD54B5">
        <w:t>further away from</w:t>
      </w:r>
      <w:r w:rsidR="007A65C6">
        <w:t xml:space="preserve"> the detector, the signal at such area became </w:t>
      </w:r>
      <w:r w:rsidR="00AD54B5">
        <w:t>lower</w:t>
      </w:r>
      <w:r w:rsidR="007A65C6">
        <w:t xml:space="preserve">, leading to the </w:t>
      </w:r>
      <w:r w:rsidR="00AD54B5">
        <w:t>decreasing trend of the total luminous flux value</w:t>
      </w:r>
      <w:r w:rsidR="007A65C6">
        <w:t>.</w:t>
      </w:r>
    </w:p>
    <w:p w:rsidR="00725C57" w:rsidRDefault="00725C57" w:rsidP="00725C57">
      <w:pPr>
        <w:pStyle w:val="Section"/>
      </w:pPr>
      <w:r>
        <w:t>4. CONCLUSIONS</w:t>
      </w:r>
    </w:p>
    <w:p w:rsidR="00725C57" w:rsidRDefault="00DA46C3" w:rsidP="00B663B0">
      <w:pPr>
        <w:pStyle w:val="Text"/>
      </w:pPr>
      <w:r>
        <w:rPr>
          <w:noProof/>
          <w:lang w:val="en-US" w:eastAsia="en-US" w:bidi="th-TH"/>
        </w:rPr>
        <w:pict>
          <v:group id="_x0000_s1120" style="position:absolute;left:0;text-align:left;margin-left:-.15pt;margin-top:-160.75pt;width:245.6pt;height:485.1pt;z-index:251681792" coordorigin="920,1065" coordsize="4912,9702">
            <v:group id="_x0000_s1083" editas="canvas" style="position:absolute;left:920;top:1065;width:4912;height:5505" coordorigin="833,1473" coordsize="4912,5505">
              <o:lock v:ext="edit" aspectratio="t"/>
              <v:shape id="_x0000_s1084" type="#_x0000_t75" style="position:absolute;left:833;top:1473;width:4912;height:5505" o:preferrelative="f">
                <v:fill o:detectmouseclick="t"/>
                <v:path o:extrusionok="t" o:connecttype="none"/>
                <o:lock v:ext="edit" text="t"/>
              </v:shape>
              <v:shape id="_x0000_s1085" type="#_x0000_t202" style="position:absolute;left:944;top:5869;width:4756;height:1019" filled="f" stroked="f">
                <v:textbox style="mso-next-textbox:#_x0000_s1085">
                  <w:txbxContent>
                    <w:p w:rsidR="000F1A1B" w:rsidRDefault="000F1A1B" w:rsidP="000F1A1B">
                      <w:pPr>
                        <w:pStyle w:val="Figure"/>
                        <w:spacing w:before="0" w:after="0"/>
                      </w:pPr>
                      <w:proofErr w:type="gramStart"/>
                      <w:r>
                        <w:t>Fig. 7.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Schematic diagram of the sphere and baffle when the latter was furthest away from the photo-detector.</w:t>
                      </w:r>
                      <w:proofErr w:type="gramEnd"/>
                      <w:r>
                        <w:t xml:space="preserve"> Other baffle positions are shown as dash lines. Here the lamp was in the perpendicular alignment.</w:t>
                      </w:r>
                    </w:p>
                    <w:p w:rsidR="000F1A1B" w:rsidRPr="00E02B1F" w:rsidRDefault="000F1A1B" w:rsidP="000F1A1B">
                      <w:pPr>
                        <w:pStyle w:val="Figure"/>
                        <w:spacing w:before="0" w:after="0"/>
                      </w:pPr>
                    </w:p>
                  </w:txbxContent>
                </v:textbox>
              </v:shape>
              <v:shape id="_x0000_s1114" type="#_x0000_t75" style="position:absolute;left:833;top:1533;width:4875;height:4395">
                <v:imagedata r:id="rId17" o:title="Paper 2015 fig 7"/>
              </v:shape>
            </v:group>
            <v:group id="_x0000_s1089" editas="canvas" style="position:absolute;left:927;top:6570;width:4905;height:4197" coordorigin="924,3240" coordsize="4905,4197">
              <o:lock v:ext="edit" aspectratio="t"/>
              <v:shape id="_x0000_s1090" type="#_x0000_t75" style="position:absolute;left:924;top:3240;width:4905;height:4197" o:preferrelative="f">
                <v:fill o:detectmouseclick="t"/>
                <v:path o:extrusionok="t" o:connecttype="none"/>
                <o:lock v:ext="edit" text="t"/>
              </v:shape>
              <v:shape id="_x0000_s1091" type="#_x0000_t202" style="position:absolute;left:980;top:6679;width:4744;height:758" filled="f" stroked="f">
                <v:textbox style="mso-next-textbox:#_x0000_s1091">
                  <w:txbxContent>
                    <w:p w:rsidR="000F1A1B" w:rsidRDefault="000F1A1B" w:rsidP="00E458FF">
                      <w:pPr>
                        <w:pStyle w:val="Figure"/>
                        <w:spacing w:before="0" w:after="0"/>
                      </w:pPr>
                      <w:proofErr w:type="gramStart"/>
                      <w:r>
                        <w:t>Fig. 8.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Relation between the baffle distance, 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t xml:space="preserve">, and </w:t>
                      </w:r>
                      <w:proofErr w:type="spellStart"/>
                      <w:r w:rsidRPr="00AF5B2B">
                        <w:rPr>
                          <w:i/>
                          <w:iCs/>
                        </w:rPr>
                        <w:t>scf</w:t>
                      </w:r>
                      <w:proofErr w:type="spellEnd"/>
                      <w:r>
                        <w:t xml:space="preserve"> and its uncertainty of a linear shape lamp with perpendicular alignment.</w:t>
                      </w:r>
                      <w:proofErr w:type="gramEnd"/>
                    </w:p>
                    <w:p w:rsidR="000F1A1B" w:rsidRPr="00E02B1F" w:rsidRDefault="000F1A1B" w:rsidP="00E458FF">
                      <w:pPr>
                        <w:pStyle w:val="Figure"/>
                        <w:spacing w:before="0" w:after="0"/>
                      </w:pPr>
                    </w:p>
                  </w:txbxContent>
                </v:textbox>
              </v:shape>
              <v:shape id="_x0000_s1117" type="#_x0000_t75" style="position:absolute;left:924;top:3240;width:4905;height:3427">
                <v:imagedata r:id="rId18" o:title=""/>
              </v:shape>
            </v:group>
            <w10:wrap type="topAndBottom"/>
          </v:group>
          <o:OLEObject Type="Embed" ProgID="Origin50.Graph" ShapeID="_x0000_s1117" DrawAspect="Content" ObjectID="_1485322614" r:id="rId19"/>
        </w:pict>
      </w:r>
      <w:r w:rsidR="00725C57">
        <w:t xml:space="preserve">Baffle is a crucial component in an integrating sphere used for measuring the total luminous flux of a linear shape light source. However, the </w:t>
      </w:r>
      <w:r w:rsidR="00225796">
        <w:t>presenc</w:t>
      </w:r>
      <w:r w:rsidR="00725C57">
        <w:t>e of a baffle in front of the photo-detector in the integrating sphere</w:t>
      </w:r>
      <w:r w:rsidR="00225796">
        <w:t xml:space="preserve"> </w:t>
      </w:r>
      <w:r w:rsidR="00645477">
        <w:t xml:space="preserve">created the non-uniformity inside the sphere where it </w:t>
      </w:r>
      <w:r w:rsidR="00225796">
        <w:t>produces the hig</w:t>
      </w:r>
      <w:r w:rsidR="00645477">
        <w:t>h-signal region</w:t>
      </w:r>
      <w:r w:rsidR="00225796">
        <w:t xml:space="preserve"> behind the baffle and low-signal region on the opposite side. This </w:t>
      </w:r>
      <w:r w:rsidR="00725C57">
        <w:t xml:space="preserve">non-uniformity of </w:t>
      </w:r>
      <w:r w:rsidR="00645477">
        <w:t xml:space="preserve">the sphere response </w:t>
      </w:r>
      <w:r w:rsidR="00725C57">
        <w:t>consequently lead</w:t>
      </w:r>
      <w:r w:rsidR="00225796">
        <w:t>s</w:t>
      </w:r>
      <w:r w:rsidR="00725C57">
        <w:t xml:space="preserve"> to the </w:t>
      </w:r>
      <w:r w:rsidR="000F1A1B">
        <w:t>deviat</w:t>
      </w:r>
      <w:r w:rsidR="00725C57">
        <w:t xml:space="preserve">ion of the value of measured total luminous flux from accurate. By using the spatial correction factor as a tool, the effect of a baffle on the </w:t>
      </w:r>
      <w:r w:rsidR="00F10AEC">
        <w:t xml:space="preserve">trend of the </w:t>
      </w:r>
      <w:r w:rsidR="00725C57">
        <w:t xml:space="preserve">measured total luminous flux value was studied. </w:t>
      </w:r>
    </w:p>
    <w:p w:rsidR="000F1A1B" w:rsidRDefault="00725C57" w:rsidP="00B663B0">
      <w:pPr>
        <w:pStyle w:val="Text"/>
      </w:pPr>
      <w:r>
        <w:t>Fi</w:t>
      </w:r>
      <w:r w:rsidR="00645477">
        <w:t>rstly, the effect of baffle size</w:t>
      </w:r>
      <w:r>
        <w:t xml:space="preserve"> was studied. It was found that, </w:t>
      </w:r>
      <w:r w:rsidR="008005CD">
        <w:t xml:space="preserve">for a </w:t>
      </w:r>
      <w:r w:rsidR="00F10AEC">
        <w:t xml:space="preserve">linear </w:t>
      </w:r>
      <w:r w:rsidR="008005CD">
        <w:t xml:space="preserve">lamp </w:t>
      </w:r>
      <w:r>
        <w:t xml:space="preserve">with coaxial </w:t>
      </w:r>
      <w:r w:rsidR="008005CD">
        <w:t>alignment</w:t>
      </w:r>
      <w:r>
        <w:t>, when the baffle became l</w:t>
      </w:r>
      <w:r w:rsidR="00F10AEC">
        <w:t>ong</w:t>
      </w:r>
      <w:r>
        <w:t xml:space="preserve">er, the measured flux </w:t>
      </w:r>
      <w:r w:rsidR="008005CD">
        <w:t xml:space="preserve">value </w:t>
      </w:r>
      <w:r>
        <w:t xml:space="preserve">would </w:t>
      </w:r>
      <w:r w:rsidR="00CB6642">
        <w:t>decrease</w:t>
      </w:r>
      <w:r>
        <w:t>. This contradict</w:t>
      </w:r>
      <w:r w:rsidR="00225796">
        <w:t>ed</w:t>
      </w:r>
      <w:r>
        <w:t xml:space="preserve"> to the </w:t>
      </w:r>
      <w:r w:rsidR="008005CD">
        <w:t>case of perpendicular alignment</w:t>
      </w:r>
      <w:r>
        <w:t xml:space="preserve"> where the value of the measured flux </w:t>
      </w:r>
      <w:r w:rsidR="00CB6642">
        <w:t xml:space="preserve">increased </w:t>
      </w:r>
      <w:r w:rsidR="008005CD">
        <w:t>when the baffle became lar</w:t>
      </w:r>
      <w:r>
        <w:t xml:space="preserve">ger. </w:t>
      </w:r>
      <w:r w:rsidR="00E63EAE">
        <w:t xml:space="preserve">The difference in the measured flux value was around 0.2% for every 100 mm increase in length of the racetrack baffle in a 2-m integrating sphere. </w:t>
      </w:r>
      <w:r>
        <w:t>The reason behind these behaviour</w:t>
      </w:r>
      <w:r w:rsidR="00645477">
        <w:t>s</w:t>
      </w:r>
      <w:r>
        <w:t>, we believe,</w:t>
      </w:r>
      <w:r w:rsidR="00CB6642">
        <w:t xml:space="preserve"> was</w:t>
      </w:r>
      <w:r>
        <w:t xml:space="preserve"> the interplay between the </w:t>
      </w:r>
      <w:r w:rsidR="00225796">
        <w:t>size</w:t>
      </w:r>
      <w:r w:rsidR="00497035">
        <w:t>s</w:t>
      </w:r>
      <w:r w:rsidR="00225796">
        <w:t xml:space="preserve"> of the high and low-signal regions.</w:t>
      </w:r>
    </w:p>
    <w:p w:rsidR="00225796" w:rsidRDefault="00225796" w:rsidP="00B663B0">
      <w:pPr>
        <w:pStyle w:val="Text"/>
      </w:pPr>
      <w:r>
        <w:t xml:space="preserve">The effect of the high-signal region was separately studied where the low-signal region was controlled to be constant. This was done by varying the baffle </w:t>
      </w:r>
      <w:r w:rsidR="00573656">
        <w:t>size</w:t>
      </w:r>
      <w:r>
        <w:t xml:space="preserve"> and distance from the photo-detector. The result was that, once the baffle was </w:t>
      </w:r>
      <w:r w:rsidR="00E63EAE">
        <w:t>further away from</w:t>
      </w:r>
      <w:r>
        <w:t xml:space="preserve"> the photo-detector, the measured flux would </w:t>
      </w:r>
      <w:r w:rsidR="00E63EAE">
        <w:t>de</w:t>
      </w:r>
      <w:r>
        <w:t>creas</w:t>
      </w:r>
      <w:r w:rsidR="008005CD">
        <w:t>e</w:t>
      </w:r>
      <w:r>
        <w:t xml:space="preserve">. This was due to the </w:t>
      </w:r>
      <w:r w:rsidR="00E63EAE">
        <w:t>de</w:t>
      </w:r>
      <w:r>
        <w:t xml:space="preserve">crease in the height of the high-signal region when the baffle was </w:t>
      </w:r>
      <w:r w:rsidR="00E63EAE">
        <w:t>further away from</w:t>
      </w:r>
      <w:r>
        <w:t xml:space="preserve"> the photo-detector.</w:t>
      </w:r>
    </w:p>
    <w:p w:rsidR="00225796" w:rsidRDefault="00225796" w:rsidP="00B663B0">
      <w:pPr>
        <w:pStyle w:val="Text"/>
      </w:pPr>
      <w:r>
        <w:t>As the presence of a baffle can affect the accuracy of the measured total luminous flux, its conditions including s</w:t>
      </w:r>
      <w:r w:rsidR="00645477">
        <w:t>ize</w:t>
      </w:r>
      <w:r>
        <w:t xml:space="preserve"> and distance need to be carefully designed to provide the measured flux as accurately as possible. </w:t>
      </w:r>
    </w:p>
    <w:p w:rsidR="001D7F54" w:rsidRDefault="001D7F54" w:rsidP="00B663B0">
      <w:pPr>
        <w:pStyle w:val="Section"/>
      </w:pPr>
      <w:r>
        <w:t>REFERENCES</w:t>
      </w:r>
    </w:p>
    <w:p w:rsidR="007519C2" w:rsidRDefault="001D7F54" w:rsidP="00B663B0">
      <w:pPr>
        <w:pStyle w:val="Reference"/>
      </w:pPr>
      <w:r>
        <w:t>[1]</w:t>
      </w:r>
      <w:r>
        <w:tab/>
      </w:r>
      <w:r w:rsidR="007519C2">
        <w:t xml:space="preserve">C. </w:t>
      </w:r>
      <w:proofErr w:type="spellStart"/>
      <w:r w:rsidR="007519C2">
        <w:t>DeCusatis</w:t>
      </w:r>
      <w:proofErr w:type="spellEnd"/>
      <w:r w:rsidR="007519C2">
        <w:t xml:space="preserve">, </w:t>
      </w:r>
      <w:r w:rsidR="007519C2" w:rsidRPr="007519C2">
        <w:rPr>
          <w:i/>
          <w:iCs/>
        </w:rPr>
        <w:t>Handbook of Applied Photometry</w:t>
      </w:r>
      <w:r w:rsidR="007519C2">
        <w:t>, Springer, pp. 82-85, 1997.</w:t>
      </w:r>
    </w:p>
    <w:p w:rsidR="00115522" w:rsidRDefault="007519C2" w:rsidP="00B663B0">
      <w:pPr>
        <w:pStyle w:val="Reference"/>
      </w:pPr>
      <w:proofErr w:type="gramStart"/>
      <w:r>
        <w:t>[2]</w:t>
      </w:r>
      <w:r>
        <w:tab/>
      </w:r>
      <w:r w:rsidR="00115522">
        <w:t xml:space="preserve">Y. </w:t>
      </w:r>
      <w:proofErr w:type="spellStart"/>
      <w:r w:rsidR="00115522">
        <w:t>Ohno</w:t>
      </w:r>
      <w:proofErr w:type="spellEnd"/>
      <w:r w:rsidR="00115522">
        <w:t xml:space="preserve"> and R. O. </w:t>
      </w:r>
      <w:proofErr w:type="spellStart"/>
      <w:r w:rsidR="00115522">
        <w:t>Daubach</w:t>
      </w:r>
      <w:proofErr w:type="spellEnd"/>
      <w:r w:rsidR="00115522">
        <w:t xml:space="preserve">, “Integrating sphere simulation on spatial </w:t>
      </w:r>
      <w:proofErr w:type="spellStart"/>
      <w:r w:rsidR="00115522">
        <w:t>nonuniformity</w:t>
      </w:r>
      <w:proofErr w:type="spellEnd"/>
      <w:r w:rsidR="00115522">
        <w:t xml:space="preserve"> errors in luminous flux measurement”, </w:t>
      </w:r>
      <w:r w:rsidR="00115522" w:rsidRPr="00115522">
        <w:rPr>
          <w:i/>
          <w:iCs/>
        </w:rPr>
        <w:t>J.</w:t>
      </w:r>
      <w:proofErr w:type="gramEnd"/>
      <w:r w:rsidR="00115522" w:rsidRPr="00115522">
        <w:rPr>
          <w:i/>
          <w:iCs/>
        </w:rPr>
        <w:t xml:space="preserve"> </w:t>
      </w:r>
      <w:proofErr w:type="gramStart"/>
      <w:r w:rsidR="00115522" w:rsidRPr="00115522">
        <w:rPr>
          <w:i/>
          <w:iCs/>
        </w:rPr>
        <w:t>Of Illuminating Engineering Society</w:t>
      </w:r>
      <w:r w:rsidR="00115522">
        <w:t>, vol. 30(1), pp. 105-115, 2001.</w:t>
      </w:r>
      <w:proofErr w:type="gramEnd"/>
    </w:p>
    <w:p w:rsidR="001D7F54" w:rsidRPr="00CA65A7" w:rsidRDefault="007519C2" w:rsidP="00115522">
      <w:pPr>
        <w:pStyle w:val="Reference"/>
      </w:pPr>
      <w:proofErr w:type="gramStart"/>
      <w:r>
        <w:t>[3</w:t>
      </w:r>
      <w:r w:rsidR="001D7F54" w:rsidRPr="00C540C8">
        <w:t>]</w:t>
      </w:r>
      <w:r w:rsidR="001D7F54" w:rsidRPr="00C540C8">
        <w:tab/>
      </w:r>
      <w:r w:rsidR="00115522">
        <w:t xml:space="preserve">K. </w:t>
      </w:r>
      <w:proofErr w:type="spellStart"/>
      <w:r w:rsidR="00115522">
        <w:t>Wasapinyokul</w:t>
      </w:r>
      <w:proofErr w:type="spellEnd"/>
      <w:r w:rsidR="00115522">
        <w:t xml:space="preserve">, R. </w:t>
      </w:r>
      <w:proofErr w:type="spellStart"/>
      <w:r w:rsidR="00115522">
        <w:t>Leecharoen</w:t>
      </w:r>
      <w:proofErr w:type="spellEnd"/>
      <w:r w:rsidR="00115522">
        <w:t xml:space="preserve">, S. </w:t>
      </w:r>
      <w:proofErr w:type="spellStart"/>
      <w:r w:rsidR="00115522">
        <w:t>Chanyawadee</w:t>
      </w:r>
      <w:proofErr w:type="spellEnd"/>
      <w:r w:rsidR="00115522">
        <w:t>, et al.</w:t>
      </w:r>
      <w:proofErr w:type="gramEnd"/>
      <w:r w:rsidR="00115522">
        <w:t xml:space="preserve"> </w:t>
      </w:r>
      <w:r w:rsidR="005F4434">
        <w:t xml:space="preserve"> </w:t>
      </w:r>
      <w:proofErr w:type="gramStart"/>
      <w:r w:rsidR="00115522">
        <w:t>“Effects of integrating sphere conditions on the spatial response distribution function in the total luminous flu</w:t>
      </w:r>
      <w:r>
        <w:t>x</w:t>
      </w:r>
      <w:r w:rsidR="00115522">
        <w:t xml:space="preserve"> measurement”, </w:t>
      </w:r>
      <w:r w:rsidR="00115522" w:rsidRPr="00115522">
        <w:rPr>
          <w:i/>
          <w:iCs/>
        </w:rPr>
        <w:t>XX IMEKO World Congress</w:t>
      </w:r>
      <w:r w:rsidR="00115522">
        <w:t xml:space="preserve">, </w:t>
      </w:r>
      <w:proofErr w:type="spellStart"/>
      <w:r w:rsidR="00115522">
        <w:t>Busan</w:t>
      </w:r>
      <w:proofErr w:type="spellEnd"/>
      <w:r w:rsidR="00115522">
        <w:t>, Republic of Korea, Sept. 2012.</w:t>
      </w:r>
      <w:proofErr w:type="gramEnd"/>
    </w:p>
    <w:p w:rsidR="001D7F54" w:rsidRDefault="001D7F54" w:rsidP="000F1A1B">
      <w:pPr>
        <w:pStyle w:val="Reference"/>
        <w:ind w:left="0" w:firstLine="0"/>
        <w:sectPr w:rsidR="001D7F54" w:rsidSect="00EF6FE4">
          <w:type w:val="continuous"/>
          <w:pgSz w:w="11906" w:h="16838" w:code="9"/>
          <w:pgMar w:top="1134" w:right="849" w:bottom="1134" w:left="993" w:header="0" w:footer="0" w:gutter="0"/>
          <w:cols w:num="2" w:space="284"/>
          <w:noEndnote/>
        </w:sectPr>
      </w:pPr>
    </w:p>
    <w:p w:rsidR="001D7F54" w:rsidRDefault="001D7F54" w:rsidP="000F1A1B">
      <w:pPr>
        <w:pStyle w:val="Reference"/>
        <w:ind w:left="0" w:firstLine="0"/>
      </w:pPr>
    </w:p>
    <w:p w:rsidR="001D7F54" w:rsidRPr="00DB5945" w:rsidRDefault="001D7F54" w:rsidP="00B663B0">
      <w:pPr>
        <w:pStyle w:val="Reference"/>
        <w:rPr>
          <w:sz w:val="2"/>
          <w:szCs w:val="2"/>
        </w:rPr>
      </w:pPr>
    </w:p>
    <w:sectPr w:rsidR="001D7F54" w:rsidRPr="00DB5945" w:rsidSect="00A2754F">
      <w:type w:val="continuous"/>
      <w:pgSz w:w="11906" w:h="16838" w:code="9"/>
      <w:pgMar w:top="1134" w:right="1134" w:bottom="1134" w:left="1134" w:header="0" w:footer="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9E" w:rsidRDefault="008B079E" w:rsidP="00A2754F">
      <w:pPr>
        <w:spacing w:before="0" w:after="0"/>
      </w:pPr>
      <w:r>
        <w:separator/>
      </w:r>
    </w:p>
  </w:endnote>
  <w:endnote w:type="continuationSeparator" w:id="0">
    <w:p w:rsidR="008B079E" w:rsidRDefault="008B079E" w:rsidP="00A2754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54" w:rsidRDefault="00945AEA">
    <w:pPr>
      <w:framePr w:wrap="around" w:vAnchor="text" w:hAnchor="margin" w:xAlign="right" w:y="1"/>
    </w:pPr>
    <w:r>
      <w:fldChar w:fldCharType="begin"/>
    </w:r>
    <w:r w:rsidR="00957CFE">
      <w:instrText xml:space="preserve">PAGE  </w:instrText>
    </w:r>
    <w:r>
      <w:fldChar w:fldCharType="separate"/>
    </w:r>
    <w:r w:rsidR="001D7F54">
      <w:rPr>
        <w:noProof/>
      </w:rPr>
      <w:t>1</w:t>
    </w:r>
    <w:r>
      <w:rPr>
        <w:noProof/>
      </w:rPr>
      <w:fldChar w:fldCharType="end"/>
    </w:r>
  </w:p>
  <w:p w:rsidR="001D7F54" w:rsidRDefault="001D7F5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9E" w:rsidRDefault="008B079E" w:rsidP="00A2754F">
      <w:pPr>
        <w:spacing w:before="0" w:after="0"/>
      </w:pPr>
      <w:r>
        <w:separator/>
      </w:r>
    </w:p>
  </w:footnote>
  <w:footnote w:type="continuationSeparator" w:id="0">
    <w:p w:rsidR="008B079E" w:rsidRDefault="008B079E" w:rsidP="00A2754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3C0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827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6C94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F4C1AE"/>
    <w:lvl w:ilvl="0">
      <w:start w:val="1"/>
      <w:numFmt w:val="decimal"/>
      <w:pStyle w:val="IEEEReference"/>
      <w:lvlText w:val="[%1].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8"/>
        <w:szCs w:val="28"/>
      </w:rPr>
    </w:lvl>
  </w:abstractNum>
  <w:abstractNum w:abstractNumId="4">
    <w:nsid w:val="FFFFFF80"/>
    <w:multiLevelType w:val="singleLevel"/>
    <w:tmpl w:val="1DA6E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2CD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4A6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2E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A7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74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410C6C"/>
    <w:multiLevelType w:val="hybridMultilevel"/>
    <w:tmpl w:val="57B055E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2FF691F"/>
    <w:multiLevelType w:val="hybridMultilevel"/>
    <w:tmpl w:val="17E03F46"/>
    <w:lvl w:ilvl="0" w:tplc="0516952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89275B"/>
    <w:multiLevelType w:val="multilevel"/>
    <w:tmpl w:val="70668D12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BD191F"/>
    <w:multiLevelType w:val="multilevel"/>
    <w:tmpl w:val="70668D12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E9277E"/>
    <w:multiLevelType w:val="hybridMultilevel"/>
    <w:tmpl w:val="D7D24A7E"/>
    <w:lvl w:ilvl="0" w:tplc="69CEA63C">
      <w:start w:val="1"/>
      <w:numFmt w:val="decimal"/>
      <w:lvlText w:val="(%1)"/>
      <w:lvlJc w:val="left"/>
      <w:pPr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B2809D1"/>
    <w:multiLevelType w:val="hybridMultilevel"/>
    <w:tmpl w:val="F1A26158"/>
    <w:lvl w:ilvl="0" w:tplc="9AB23C4C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7A6A0C"/>
    <w:rsid w:val="000558D9"/>
    <w:rsid w:val="000A7747"/>
    <w:rsid w:val="000B273F"/>
    <w:rsid w:val="000D1D42"/>
    <w:rsid w:val="000D7E0B"/>
    <w:rsid w:val="000E4D68"/>
    <w:rsid w:val="000F1A1B"/>
    <w:rsid w:val="000F26D5"/>
    <w:rsid w:val="001143D9"/>
    <w:rsid w:val="001145F0"/>
    <w:rsid w:val="00115522"/>
    <w:rsid w:val="001279AE"/>
    <w:rsid w:val="00141081"/>
    <w:rsid w:val="001575CE"/>
    <w:rsid w:val="001614C1"/>
    <w:rsid w:val="001857F8"/>
    <w:rsid w:val="0019368A"/>
    <w:rsid w:val="001C15AD"/>
    <w:rsid w:val="001D7F54"/>
    <w:rsid w:val="001E5976"/>
    <w:rsid w:val="001F0E35"/>
    <w:rsid w:val="00200414"/>
    <w:rsid w:val="002033E7"/>
    <w:rsid w:val="00220219"/>
    <w:rsid w:val="00225796"/>
    <w:rsid w:val="002308C8"/>
    <w:rsid w:val="0024647C"/>
    <w:rsid w:val="00277FB9"/>
    <w:rsid w:val="002824A9"/>
    <w:rsid w:val="002A1CBE"/>
    <w:rsid w:val="003130FF"/>
    <w:rsid w:val="00327E03"/>
    <w:rsid w:val="00347DF8"/>
    <w:rsid w:val="0036138A"/>
    <w:rsid w:val="00372554"/>
    <w:rsid w:val="003814F1"/>
    <w:rsid w:val="003C1BB0"/>
    <w:rsid w:val="003C3A31"/>
    <w:rsid w:val="003D056C"/>
    <w:rsid w:val="003E3308"/>
    <w:rsid w:val="003F1764"/>
    <w:rsid w:val="0040140D"/>
    <w:rsid w:val="004143EF"/>
    <w:rsid w:val="004225C6"/>
    <w:rsid w:val="0045571A"/>
    <w:rsid w:val="00460228"/>
    <w:rsid w:val="004627EB"/>
    <w:rsid w:val="00462F5C"/>
    <w:rsid w:val="00472C39"/>
    <w:rsid w:val="00487B68"/>
    <w:rsid w:val="00497035"/>
    <w:rsid w:val="004C0485"/>
    <w:rsid w:val="004D27B8"/>
    <w:rsid w:val="004D33D0"/>
    <w:rsid w:val="004E16B1"/>
    <w:rsid w:val="00506BAD"/>
    <w:rsid w:val="005339BD"/>
    <w:rsid w:val="005607B2"/>
    <w:rsid w:val="00563196"/>
    <w:rsid w:val="005653F5"/>
    <w:rsid w:val="005712C4"/>
    <w:rsid w:val="00573656"/>
    <w:rsid w:val="005D3C9D"/>
    <w:rsid w:val="005E7711"/>
    <w:rsid w:val="005E7961"/>
    <w:rsid w:val="005F4434"/>
    <w:rsid w:val="005F6DB7"/>
    <w:rsid w:val="00600AF1"/>
    <w:rsid w:val="00607D90"/>
    <w:rsid w:val="006119E0"/>
    <w:rsid w:val="0062100E"/>
    <w:rsid w:val="00622B33"/>
    <w:rsid w:val="00636784"/>
    <w:rsid w:val="00645477"/>
    <w:rsid w:val="006511C5"/>
    <w:rsid w:val="00652631"/>
    <w:rsid w:val="00656D62"/>
    <w:rsid w:val="00661BB4"/>
    <w:rsid w:val="00666181"/>
    <w:rsid w:val="00666B13"/>
    <w:rsid w:val="00674828"/>
    <w:rsid w:val="006818F4"/>
    <w:rsid w:val="006822B2"/>
    <w:rsid w:val="0069319D"/>
    <w:rsid w:val="006A0759"/>
    <w:rsid w:val="006C422C"/>
    <w:rsid w:val="006F4F23"/>
    <w:rsid w:val="00701659"/>
    <w:rsid w:val="00702E87"/>
    <w:rsid w:val="00725C57"/>
    <w:rsid w:val="00736894"/>
    <w:rsid w:val="00740A41"/>
    <w:rsid w:val="007519C2"/>
    <w:rsid w:val="00766C9E"/>
    <w:rsid w:val="007707D7"/>
    <w:rsid w:val="00770F05"/>
    <w:rsid w:val="00776488"/>
    <w:rsid w:val="007A3489"/>
    <w:rsid w:val="007A65C6"/>
    <w:rsid w:val="007A6A0C"/>
    <w:rsid w:val="007C020D"/>
    <w:rsid w:val="007D158F"/>
    <w:rsid w:val="007D51A2"/>
    <w:rsid w:val="007E024D"/>
    <w:rsid w:val="008005CD"/>
    <w:rsid w:val="00813120"/>
    <w:rsid w:val="0082177C"/>
    <w:rsid w:val="00823A59"/>
    <w:rsid w:val="00867F9C"/>
    <w:rsid w:val="00887913"/>
    <w:rsid w:val="008A1C06"/>
    <w:rsid w:val="008B079E"/>
    <w:rsid w:val="008B7FAC"/>
    <w:rsid w:val="008C3AD5"/>
    <w:rsid w:val="008E431D"/>
    <w:rsid w:val="00900E93"/>
    <w:rsid w:val="00911D47"/>
    <w:rsid w:val="0091458E"/>
    <w:rsid w:val="009429BE"/>
    <w:rsid w:val="00944535"/>
    <w:rsid w:val="00945AEA"/>
    <w:rsid w:val="0095094D"/>
    <w:rsid w:val="00957CFE"/>
    <w:rsid w:val="00960026"/>
    <w:rsid w:val="0096317C"/>
    <w:rsid w:val="00975D7E"/>
    <w:rsid w:val="009851B8"/>
    <w:rsid w:val="009A452F"/>
    <w:rsid w:val="009C35AD"/>
    <w:rsid w:val="009F118F"/>
    <w:rsid w:val="00A037C5"/>
    <w:rsid w:val="00A2754F"/>
    <w:rsid w:val="00A42868"/>
    <w:rsid w:val="00A71CA0"/>
    <w:rsid w:val="00A72907"/>
    <w:rsid w:val="00A7426C"/>
    <w:rsid w:val="00A767E1"/>
    <w:rsid w:val="00A856DB"/>
    <w:rsid w:val="00AA14F2"/>
    <w:rsid w:val="00AC164E"/>
    <w:rsid w:val="00AD34E9"/>
    <w:rsid w:val="00AD54B5"/>
    <w:rsid w:val="00AF5B2B"/>
    <w:rsid w:val="00B03FF1"/>
    <w:rsid w:val="00B16C24"/>
    <w:rsid w:val="00B24744"/>
    <w:rsid w:val="00B35106"/>
    <w:rsid w:val="00B55022"/>
    <w:rsid w:val="00B55F84"/>
    <w:rsid w:val="00B663B0"/>
    <w:rsid w:val="00B75704"/>
    <w:rsid w:val="00B90218"/>
    <w:rsid w:val="00BF057C"/>
    <w:rsid w:val="00BF3D04"/>
    <w:rsid w:val="00C233C9"/>
    <w:rsid w:val="00C23C25"/>
    <w:rsid w:val="00C4450A"/>
    <w:rsid w:val="00C540C8"/>
    <w:rsid w:val="00C76939"/>
    <w:rsid w:val="00C815F5"/>
    <w:rsid w:val="00CA65A7"/>
    <w:rsid w:val="00CB6642"/>
    <w:rsid w:val="00CC6046"/>
    <w:rsid w:val="00D00143"/>
    <w:rsid w:val="00D35278"/>
    <w:rsid w:val="00D40028"/>
    <w:rsid w:val="00D461C5"/>
    <w:rsid w:val="00D54AE6"/>
    <w:rsid w:val="00D84823"/>
    <w:rsid w:val="00D949A5"/>
    <w:rsid w:val="00DA46C3"/>
    <w:rsid w:val="00DB5945"/>
    <w:rsid w:val="00DD0B92"/>
    <w:rsid w:val="00DE00F0"/>
    <w:rsid w:val="00DE35F5"/>
    <w:rsid w:val="00E02B1F"/>
    <w:rsid w:val="00E129FF"/>
    <w:rsid w:val="00E14644"/>
    <w:rsid w:val="00E23C62"/>
    <w:rsid w:val="00E26A2D"/>
    <w:rsid w:val="00E458FF"/>
    <w:rsid w:val="00E5687D"/>
    <w:rsid w:val="00E56B25"/>
    <w:rsid w:val="00E62A7F"/>
    <w:rsid w:val="00E63EAE"/>
    <w:rsid w:val="00E73FFB"/>
    <w:rsid w:val="00E82B05"/>
    <w:rsid w:val="00E91497"/>
    <w:rsid w:val="00EC59DC"/>
    <w:rsid w:val="00EF6FE4"/>
    <w:rsid w:val="00F10AEC"/>
    <w:rsid w:val="00F23CA3"/>
    <w:rsid w:val="00F4014F"/>
    <w:rsid w:val="00F47B2D"/>
    <w:rsid w:val="00F56A90"/>
    <w:rsid w:val="00F6370F"/>
    <w:rsid w:val="00F638A0"/>
    <w:rsid w:val="00F66FE5"/>
    <w:rsid w:val="00F816DE"/>
    <w:rsid w:val="00F82EA8"/>
    <w:rsid w:val="00F87212"/>
    <w:rsid w:val="00FB387B"/>
    <w:rsid w:val="00FB5E0B"/>
    <w:rsid w:val="00FC5EB4"/>
    <w:rsid w:val="00FD1955"/>
    <w:rsid w:val="00FF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4F"/>
    <w:pPr>
      <w:widowControl w:val="0"/>
      <w:autoSpaceDE w:val="0"/>
      <w:autoSpaceDN w:val="0"/>
      <w:spacing w:before="100" w:after="100"/>
    </w:pPr>
    <w:rPr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2754F"/>
    <w:pPr>
      <w:keepNext/>
      <w:spacing w:before="0" w:after="0"/>
      <w:outlineLvl w:val="0"/>
    </w:pPr>
    <w:rPr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A2754F"/>
    <w:rPr>
      <w:rFonts w:ascii="Cambria" w:hAnsi="Cambria" w:cs="Times New Roman"/>
      <w:b/>
      <w:bCs/>
      <w:color w:val="000000"/>
      <w:kern w:val="32"/>
      <w:sz w:val="32"/>
      <w:szCs w:val="32"/>
      <w:lang w:val="ru-RU" w:eastAsia="ru-RU"/>
    </w:rPr>
  </w:style>
  <w:style w:type="character" w:customStyle="1" w:styleId="a3">
    <w:name w:val="Основной шрифт"/>
    <w:uiPriority w:val="99"/>
    <w:rsid w:val="00A2754F"/>
  </w:style>
  <w:style w:type="paragraph" w:styleId="a4">
    <w:name w:val="Body Text"/>
    <w:basedOn w:val="a"/>
    <w:link w:val="a5"/>
    <w:uiPriority w:val="99"/>
    <w:rsid w:val="00A2754F"/>
    <w:pPr>
      <w:widowControl/>
      <w:spacing w:before="0" w:after="0"/>
      <w:jc w:val="center"/>
    </w:pPr>
    <w:rPr>
      <w:b/>
      <w:bCs/>
      <w:color w:val="auto"/>
      <w:sz w:val="32"/>
      <w:szCs w:val="32"/>
      <w:lang w:val="en-US"/>
    </w:rPr>
  </w:style>
  <w:style w:type="character" w:customStyle="1" w:styleId="a5">
    <w:name w:val="เนื้อความ อักขระ"/>
    <w:basedOn w:val="a0"/>
    <w:link w:val="a4"/>
    <w:uiPriority w:val="99"/>
    <w:semiHidden/>
    <w:locked/>
    <w:rsid w:val="00A2754F"/>
    <w:rPr>
      <w:rFonts w:cs="Times New Roman"/>
      <w:color w:val="000000"/>
      <w:sz w:val="24"/>
      <w:szCs w:val="24"/>
      <w:lang w:val="ru-RU" w:eastAsia="ru-RU"/>
    </w:rPr>
  </w:style>
  <w:style w:type="paragraph" w:styleId="a6">
    <w:name w:val="Block Text"/>
    <w:basedOn w:val="a"/>
    <w:uiPriority w:val="99"/>
    <w:rsid w:val="00A2754F"/>
    <w:pPr>
      <w:spacing w:before="0" w:after="0"/>
      <w:ind w:left="28" w:right="28"/>
      <w:jc w:val="both"/>
    </w:pPr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A2754F"/>
    <w:pPr>
      <w:spacing w:before="0" w:after="0"/>
      <w:jc w:val="both"/>
    </w:pPr>
    <w:rPr>
      <w:lang w:val="en-US"/>
    </w:rPr>
  </w:style>
  <w:style w:type="character" w:customStyle="1" w:styleId="20">
    <w:name w:val="เนื้อความ 2 อักขระ"/>
    <w:basedOn w:val="a0"/>
    <w:link w:val="2"/>
    <w:uiPriority w:val="99"/>
    <w:semiHidden/>
    <w:locked/>
    <w:rsid w:val="00A2754F"/>
    <w:rPr>
      <w:rFonts w:cs="Times New Roman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2754F"/>
    <w:pPr>
      <w:spacing w:before="0" w:after="0"/>
      <w:ind w:firstLine="426"/>
      <w:jc w:val="both"/>
    </w:pPr>
    <w:rPr>
      <w:lang w:val="en-US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locked/>
    <w:rsid w:val="00A2754F"/>
    <w:rPr>
      <w:rFonts w:cs="Times New Roman"/>
      <w:color w:val="000000"/>
      <w:sz w:val="24"/>
      <w:szCs w:val="24"/>
      <w:lang w:val="ru-RU" w:eastAsia="ru-RU"/>
    </w:rPr>
  </w:style>
  <w:style w:type="paragraph" w:customStyle="1" w:styleId="IEEEAbstract">
    <w:name w:val="IEEE Abstract"/>
    <w:uiPriority w:val="99"/>
    <w:rsid w:val="007A6A0C"/>
    <w:pPr>
      <w:keepNext/>
      <w:keepLines/>
      <w:widowControl w:val="0"/>
      <w:jc w:val="both"/>
    </w:pPr>
    <w:rPr>
      <w:i/>
      <w:iCs/>
      <w:sz w:val="18"/>
      <w:szCs w:val="18"/>
      <w:lang w:val="en-US" w:eastAsia="en-US"/>
    </w:rPr>
  </w:style>
  <w:style w:type="paragraph" w:customStyle="1" w:styleId="IEEEReference">
    <w:name w:val="IEEE Reference"/>
    <w:uiPriority w:val="99"/>
    <w:rsid w:val="00B03FF1"/>
    <w:pPr>
      <w:widowControl w:val="0"/>
      <w:numPr>
        <w:numId w:val="7"/>
      </w:numPr>
      <w:tabs>
        <w:tab w:val="left" w:pos="357"/>
      </w:tabs>
      <w:ind w:left="357" w:hanging="357"/>
      <w:jc w:val="both"/>
    </w:pPr>
    <w:rPr>
      <w:sz w:val="16"/>
      <w:szCs w:val="16"/>
      <w:lang w:val="en-US" w:eastAsia="en-US"/>
    </w:rPr>
  </w:style>
  <w:style w:type="paragraph" w:customStyle="1" w:styleId="Title1">
    <w:name w:val="Title1"/>
    <w:basedOn w:val="a"/>
    <w:uiPriority w:val="99"/>
    <w:rsid w:val="00AD34E9"/>
    <w:pPr>
      <w:widowControl/>
      <w:autoSpaceDE/>
      <w:autoSpaceDN/>
      <w:spacing w:before="0" w:after="0"/>
      <w:jc w:val="center"/>
    </w:pPr>
    <w:rPr>
      <w:b/>
      <w:caps/>
      <w:color w:val="auto"/>
      <w:sz w:val="28"/>
      <w:lang w:val="en-GB" w:eastAsia="hr-HR"/>
    </w:rPr>
  </w:style>
  <w:style w:type="paragraph" w:customStyle="1" w:styleId="Header1">
    <w:name w:val="Header1"/>
    <w:basedOn w:val="a"/>
    <w:uiPriority w:val="99"/>
    <w:rsid w:val="00AD34E9"/>
    <w:pPr>
      <w:widowControl/>
      <w:autoSpaceDE/>
      <w:autoSpaceDN/>
      <w:spacing w:before="0" w:after="0"/>
      <w:jc w:val="center"/>
      <w:outlineLvl w:val="0"/>
    </w:pPr>
    <w:rPr>
      <w:i/>
      <w:color w:val="auto"/>
      <w:sz w:val="20"/>
      <w:lang w:val="en-GB" w:eastAsia="hr-HR"/>
    </w:rPr>
  </w:style>
  <w:style w:type="paragraph" w:customStyle="1" w:styleId="Author">
    <w:name w:val="Author"/>
    <w:basedOn w:val="a"/>
    <w:uiPriority w:val="99"/>
    <w:rsid w:val="00B663B0"/>
    <w:pPr>
      <w:widowControl/>
      <w:autoSpaceDE/>
      <w:autoSpaceDN/>
      <w:spacing w:before="0" w:after="0"/>
      <w:jc w:val="center"/>
      <w:outlineLvl w:val="0"/>
    </w:pPr>
    <w:rPr>
      <w:i/>
      <w:color w:val="auto"/>
      <w:lang w:val="en-GB" w:eastAsia="hr-HR"/>
    </w:rPr>
  </w:style>
  <w:style w:type="paragraph" w:customStyle="1" w:styleId="Affiliation">
    <w:name w:val="Affiliation"/>
    <w:basedOn w:val="a"/>
    <w:uiPriority w:val="99"/>
    <w:rsid w:val="00B663B0"/>
    <w:pPr>
      <w:widowControl/>
      <w:autoSpaceDE/>
      <w:autoSpaceDN/>
      <w:spacing w:before="0" w:after="0"/>
      <w:jc w:val="center"/>
    </w:pPr>
    <w:rPr>
      <w:color w:val="auto"/>
      <w:sz w:val="22"/>
      <w:lang w:val="en-GB" w:eastAsia="hr-HR"/>
    </w:rPr>
  </w:style>
  <w:style w:type="paragraph" w:customStyle="1" w:styleId="Equation">
    <w:name w:val="Equation"/>
    <w:basedOn w:val="a"/>
    <w:uiPriority w:val="99"/>
    <w:rsid w:val="00B663B0"/>
    <w:pPr>
      <w:widowControl/>
      <w:tabs>
        <w:tab w:val="center" w:pos="2438"/>
        <w:tab w:val="right" w:pos="4876"/>
      </w:tabs>
      <w:autoSpaceDE/>
      <w:autoSpaceDN/>
      <w:spacing w:before="120" w:after="120"/>
      <w:jc w:val="both"/>
    </w:pPr>
    <w:rPr>
      <w:rFonts w:cs="Courier New"/>
      <w:bCs/>
      <w:color w:val="auto"/>
      <w:sz w:val="20"/>
      <w:szCs w:val="20"/>
      <w:lang w:val="en-GB" w:eastAsia="de-DE"/>
    </w:rPr>
  </w:style>
  <w:style w:type="paragraph" w:customStyle="1" w:styleId="Section">
    <w:name w:val="Section"/>
    <w:basedOn w:val="a"/>
    <w:uiPriority w:val="99"/>
    <w:rsid w:val="00B663B0"/>
    <w:pPr>
      <w:keepNext/>
      <w:widowControl/>
      <w:autoSpaceDE/>
      <w:autoSpaceDN/>
      <w:spacing w:before="240" w:after="240"/>
      <w:jc w:val="center"/>
      <w:outlineLvl w:val="0"/>
    </w:pPr>
    <w:rPr>
      <w:b/>
      <w:caps/>
      <w:color w:val="auto"/>
      <w:sz w:val="20"/>
      <w:lang w:val="en-GB" w:eastAsia="hr-HR"/>
    </w:rPr>
  </w:style>
  <w:style w:type="paragraph" w:customStyle="1" w:styleId="Subsection">
    <w:name w:val="Subsection"/>
    <w:basedOn w:val="a"/>
    <w:uiPriority w:val="99"/>
    <w:rsid w:val="00B663B0"/>
    <w:pPr>
      <w:keepNext/>
      <w:widowControl/>
      <w:autoSpaceDE/>
      <w:autoSpaceDN/>
      <w:spacing w:before="240" w:after="60"/>
      <w:ind w:firstLine="284"/>
      <w:jc w:val="both"/>
      <w:outlineLvl w:val="0"/>
    </w:pPr>
    <w:rPr>
      <w:b/>
      <w:i/>
      <w:iCs/>
      <w:color w:val="auto"/>
      <w:sz w:val="20"/>
      <w:lang w:val="en-GB" w:eastAsia="hr-HR"/>
    </w:rPr>
  </w:style>
  <w:style w:type="paragraph" w:customStyle="1" w:styleId="Table">
    <w:name w:val="Table"/>
    <w:basedOn w:val="a"/>
    <w:uiPriority w:val="99"/>
    <w:rsid w:val="00B663B0"/>
    <w:pPr>
      <w:keepNext/>
      <w:widowControl/>
      <w:autoSpaceDE/>
      <w:autoSpaceDN/>
      <w:spacing w:before="240" w:after="240"/>
      <w:jc w:val="center"/>
      <w:outlineLvl w:val="0"/>
    </w:pPr>
    <w:rPr>
      <w:color w:val="auto"/>
      <w:sz w:val="18"/>
      <w:lang w:val="en-GB" w:eastAsia="hr-HR"/>
    </w:rPr>
  </w:style>
  <w:style w:type="paragraph" w:customStyle="1" w:styleId="Figure">
    <w:name w:val="Figure"/>
    <w:basedOn w:val="a"/>
    <w:uiPriority w:val="99"/>
    <w:rsid w:val="00B663B0"/>
    <w:pPr>
      <w:widowControl/>
      <w:autoSpaceDE/>
      <w:autoSpaceDN/>
      <w:spacing w:before="240" w:after="240"/>
      <w:jc w:val="center"/>
      <w:outlineLvl w:val="0"/>
    </w:pPr>
    <w:rPr>
      <w:color w:val="auto"/>
      <w:sz w:val="18"/>
      <w:lang w:val="en-GB" w:eastAsia="hr-HR"/>
    </w:rPr>
  </w:style>
  <w:style w:type="paragraph" w:customStyle="1" w:styleId="Reference">
    <w:name w:val="Reference"/>
    <w:basedOn w:val="a"/>
    <w:uiPriority w:val="99"/>
    <w:rsid w:val="00B663B0"/>
    <w:pPr>
      <w:widowControl/>
      <w:tabs>
        <w:tab w:val="left" w:pos="454"/>
      </w:tabs>
      <w:suppressAutoHyphens/>
      <w:autoSpaceDE/>
      <w:autoSpaceDN/>
      <w:spacing w:before="0" w:after="0"/>
      <w:ind w:left="454" w:hanging="454"/>
      <w:jc w:val="both"/>
    </w:pPr>
    <w:rPr>
      <w:color w:val="auto"/>
      <w:sz w:val="18"/>
      <w:lang w:val="en-GB" w:eastAsia="hr-HR"/>
    </w:rPr>
  </w:style>
  <w:style w:type="paragraph" w:customStyle="1" w:styleId="Text">
    <w:name w:val="Text"/>
    <w:basedOn w:val="a"/>
    <w:uiPriority w:val="99"/>
    <w:rsid w:val="00B663B0"/>
    <w:pPr>
      <w:widowControl/>
      <w:autoSpaceDE/>
      <w:autoSpaceDN/>
      <w:spacing w:before="0" w:after="0"/>
      <w:ind w:firstLine="284"/>
      <w:jc w:val="both"/>
    </w:pPr>
    <w:rPr>
      <w:color w:val="auto"/>
      <w:sz w:val="20"/>
      <w:lang w:val="en-GB" w:eastAsia="hr-HR"/>
    </w:rPr>
  </w:style>
  <w:style w:type="paragraph" w:customStyle="1" w:styleId="Keywords">
    <w:name w:val="Keywords"/>
    <w:basedOn w:val="Text"/>
    <w:uiPriority w:val="99"/>
    <w:rsid w:val="00B663B0"/>
    <w:pPr>
      <w:spacing w:before="240"/>
    </w:pPr>
    <w:rPr>
      <w:b/>
      <w:bCs/>
    </w:rPr>
  </w:style>
  <w:style w:type="paragraph" w:styleId="a7">
    <w:name w:val="Balloon Text"/>
    <w:basedOn w:val="a"/>
    <w:link w:val="a8"/>
    <w:uiPriority w:val="99"/>
    <w:semiHidden/>
    <w:rsid w:val="00B663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locked/>
    <w:rsid w:val="00B663B0"/>
    <w:rPr>
      <w:rFonts w:ascii="Tahoma" w:hAnsi="Tahoma" w:cs="Tahoma"/>
      <w:color w:val="000000"/>
      <w:sz w:val="16"/>
      <w:szCs w:val="16"/>
      <w:lang w:val="ru-RU" w:eastAsia="ru-RU"/>
    </w:rPr>
  </w:style>
  <w:style w:type="paragraph" w:customStyle="1" w:styleId="NEWRADbody">
    <w:name w:val="NEWRAD_body"/>
    <w:rsid w:val="001145F0"/>
    <w:pPr>
      <w:adjustRightInd w:val="0"/>
      <w:snapToGrid w:val="0"/>
      <w:spacing w:line="280" w:lineRule="exact"/>
      <w:jc w:val="both"/>
    </w:pPr>
    <w:rPr>
      <w:rFonts w:eastAsia="Batang"/>
      <w:kern w:val="2"/>
      <w:sz w:val="22"/>
      <w:szCs w:val="22"/>
      <w:lang w:val="en-GB" w:eastAsia="ko-KR"/>
    </w:rPr>
  </w:style>
  <w:style w:type="table" w:styleId="a9">
    <w:name w:val="Table Grid"/>
    <w:basedOn w:val="a1"/>
    <w:locked/>
    <w:rsid w:val="001145F0"/>
    <w:rPr>
      <w:rFonts w:eastAsia="BatangChe"/>
      <w:lang w:val="en-US" w:eastAsia="en-US"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F65F-D023-46E9-9398-B65C0179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2305</Words>
  <Characters>13145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Abstract Preparation Instructions for the Workshop</vt:lpstr>
      <vt:lpstr>  Abstract Preparation Instructions for the Workshop</vt:lpstr>
    </vt:vector>
  </TitlesOfParts>
  <Company>GNDL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Preparation Instructions for the Workshop</dc:title>
  <dc:creator>Vasyl Koval</dc:creator>
  <cp:lastModifiedBy>Flux</cp:lastModifiedBy>
  <cp:revision>2</cp:revision>
  <cp:lastPrinted>2015-02-11T06:22:00Z</cp:lastPrinted>
  <dcterms:created xsi:type="dcterms:W3CDTF">2015-02-13T01:50:00Z</dcterms:created>
  <dcterms:modified xsi:type="dcterms:W3CDTF">2015-02-13T01:50:00Z</dcterms:modified>
</cp:coreProperties>
</file>