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982" w:rsidRDefault="006D0982" w:rsidP="00D751B9">
      <w:pPr>
        <w:pStyle w:val="Author"/>
        <w:rPr>
          <w:kern w:val="28"/>
          <w:sz w:val="40"/>
          <w:szCs w:val="40"/>
        </w:rPr>
      </w:pPr>
      <w:r w:rsidRPr="006D0982">
        <w:rPr>
          <w:kern w:val="28"/>
          <w:sz w:val="40"/>
          <w:szCs w:val="40"/>
        </w:rPr>
        <w:t>MULTI-COMPONENT MEASURING DEVI</w:t>
      </w:r>
      <w:r w:rsidR="004F7045">
        <w:rPr>
          <w:kern w:val="28"/>
          <w:sz w:val="40"/>
          <w:szCs w:val="40"/>
        </w:rPr>
        <w:t>C</w:t>
      </w:r>
      <w:r w:rsidRPr="006D0982">
        <w:rPr>
          <w:kern w:val="28"/>
          <w:sz w:val="40"/>
          <w:szCs w:val="40"/>
        </w:rPr>
        <w:t xml:space="preserve">E </w:t>
      </w:r>
    </w:p>
    <w:p w:rsidR="006D0982" w:rsidRDefault="006D0982" w:rsidP="00D751B9">
      <w:pPr>
        <w:pStyle w:val="Author"/>
        <w:rPr>
          <w:kern w:val="28"/>
          <w:sz w:val="40"/>
          <w:szCs w:val="40"/>
        </w:rPr>
      </w:pPr>
      <w:r>
        <w:rPr>
          <w:kern w:val="28"/>
          <w:sz w:val="40"/>
          <w:szCs w:val="40"/>
        </w:rPr>
        <w:t xml:space="preserve">- COMPLETION, </w:t>
      </w:r>
      <w:r w:rsidRPr="006D0982">
        <w:rPr>
          <w:kern w:val="28"/>
          <w:sz w:val="40"/>
          <w:szCs w:val="40"/>
        </w:rPr>
        <w:t xml:space="preserve">MEASUREMENT UNCERTAINTY BUDGET </w:t>
      </w:r>
      <w:r>
        <w:rPr>
          <w:kern w:val="28"/>
          <w:sz w:val="40"/>
          <w:szCs w:val="40"/>
        </w:rPr>
        <w:t>AND SIGNAL CROSSTALK FOR COMBINED LOAD CONDITIONS -</w:t>
      </w:r>
    </w:p>
    <w:p w:rsidR="00543384" w:rsidRPr="00EB45FF" w:rsidRDefault="0024724E" w:rsidP="00D751B9">
      <w:pPr>
        <w:pStyle w:val="Author"/>
        <w:rPr>
          <w:lang w:val="pt-PT"/>
        </w:rPr>
      </w:pPr>
      <w:r>
        <w:rPr>
          <w:lang w:val="pt-PT"/>
        </w:rPr>
        <w:t>Sebastian Baumgarten</w:t>
      </w:r>
      <w:r w:rsidR="00543384" w:rsidRPr="00EB45FF">
        <w:rPr>
          <w:vertAlign w:val="superscript"/>
          <w:lang w:val="pt-PT"/>
        </w:rPr>
        <w:t>1</w:t>
      </w:r>
      <w:r w:rsidR="00543384" w:rsidRPr="00EB45FF">
        <w:rPr>
          <w:lang w:val="pt-PT"/>
        </w:rPr>
        <w:t>,</w:t>
      </w:r>
      <w:r w:rsidR="00336724" w:rsidRPr="00EB45FF">
        <w:rPr>
          <w:lang w:val="pt-PT"/>
        </w:rPr>
        <w:t xml:space="preserve"> </w:t>
      </w:r>
      <w:r w:rsidR="00543384" w:rsidRPr="00EB45FF">
        <w:rPr>
          <w:lang w:val="pt-PT"/>
        </w:rPr>
        <w:t>D</w:t>
      </w:r>
      <w:r w:rsidR="00AB1B87" w:rsidRPr="00EB45FF">
        <w:rPr>
          <w:lang w:val="pt-PT"/>
        </w:rPr>
        <w:t>irk</w:t>
      </w:r>
      <w:r w:rsidR="00543384" w:rsidRPr="00EB45FF">
        <w:rPr>
          <w:lang w:val="pt-PT"/>
        </w:rPr>
        <w:t xml:space="preserve"> Röske</w:t>
      </w:r>
      <w:r w:rsidR="00FA0F98" w:rsidRPr="00EB45FF">
        <w:rPr>
          <w:vertAlign w:val="superscript"/>
          <w:lang w:val="pt-PT"/>
        </w:rPr>
        <w:t>1</w:t>
      </w:r>
      <w:r>
        <w:rPr>
          <w:lang w:val="pt-PT"/>
        </w:rPr>
        <w:t xml:space="preserve"> and Rolf Kumme</w:t>
      </w:r>
      <w:r>
        <w:rPr>
          <w:vertAlign w:val="superscript"/>
          <w:lang w:val="pt-PT"/>
        </w:rPr>
        <w:t>1</w:t>
      </w:r>
    </w:p>
    <w:p w:rsidR="00543384" w:rsidRPr="0024724E" w:rsidRDefault="00543384" w:rsidP="009F753E">
      <w:pPr>
        <w:pStyle w:val="Affiliation"/>
        <w:rPr>
          <w:lang w:val="de-DE"/>
        </w:rPr>
      </w:pPr>
      <w:r w:rsidRPr="00EB45FF">
        <w:rPr>
          <w:vertAlign w:val="superscript"/>
          <w:lang w:val="pt-PT"/>
        </w:rPr>
        <w:t>1</w:t>
      </w:r>
      <w:r w:rsidR="006E2BA8" w:rsidRPr="00EB45FF">
        <w:rPr>
          <w:lang w:val="pt-PT"/>
        </w:rPr>
        <w:t xml:space="preserve"> </w:t>
      </w:r>
      <w:r w:rsidRPr="00EB45FF">
        <w:rPr>
          <w:lang w:val="pt-PT"/>
        </w:rPr>
        <w:t>Physikalisch-Technische Bundesanstalt</w:t>
      </w:r>
      <w:r w:rsidR="0024724E">
        <w:rPr>
          <w:lang w:val="pt-PT"/>
        </w:rPr>
        <w:t xml:space="preserve"> (PTB)</w:t>
      </w:r>
      <w:r w:rsidR="007A68AE" w:rsidRPr="00EB45FF">
        <w:rPr>
          <w:lang w:val="pt-PT"/>
        </w:rPr>
        <w:t>, Bundesallee 100, 38116 Braunschweig, Germany</w:t>
      </w:r>
      <w:r w:rsidR="009F753E" w:rsidRPr="00EB45FF">
        <w:rPr>
          <w:lang w:val="pt-PT"/>
        </w:rPr>
        <w:br/>
      </w:r>
    </w:p>
    <w:p w:rsidR="006132C5" w:rsidRPr="00EB45FF" w:rsidRDefault="007B147E" w:rsidP="00340C7C">
      <w:pPr>
        <w:pStyle w:val="Abstract"/>
      </w:pPr>
      <w:r>
        <w:rPr>
          <w:noProof/>
          <w:lang w:val="de-DE" w:eastAsia="de-DE"/>
        </w:rPr>
        <mc:AlternateContent>
          <mc:Choice Requires="wps">
            <w:drawing>
              <wp:inline distT="0" distB="0" distL="0" distR="0">
                <wp:extent cx="6480175" cy="913765"/>
                <wp:effectExtent l="0" t="0" r="0" b="381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5D535D" w:rsidRDefault="005D535D" w:rsidP="00340C7C">
                            <w:pPr>
                              <w:pStyle w:val="Abstract"/>
                            </w:pPr>
                            <w:r>
                              <w:t>ABSTRACT</w:t>
                            </w:r>
                          </w:p>
                          <w:p w:rsidR="005D535D" w:rsidRDefault="005D535D" w:rsidP="0024724E">
                            <w:pPr>
                              <w:pStyle w:val="Abstract"/>
                            </w:pPr>
                            <w:r w:rsidRPr="0024724E">
                              <w:t>This paper present</w:t>
                            </w:r>
                            <w:r>
                              <w:t>s</w:t>
                            </w:r>
                            <w:r w:rsidRPr="0024724E">
                              <w:t xml:space="preserve"> the completion and the measurement uncertainty budget of a multi-component measuring facility. The new facility is part of the 1 MN force standard machine [1] of the PTB. It enables the simultaneous generation of a torque in the range from 20 N·m to 2 </w:t>
                            </w:r>
                            <w:proofErr w:type="gramStart"/>
                            <w:r w:rsidRPr="0024724E">
                              <w:t>kN·</w:t>
                            </w:r>
                            <w:proofErr w:type="gramEnd"/>
                            <w:r w:rsidRPr="0024724E">
                              <w:t xml:space="preserve">m in addition to axial forces 20 </w:t>
                            </w:r>
                            <w:proofErr w:type="spellStart"/>
                            <w:r w:rsidRPr="0024724E">
                              <w:t>kN</w:t>
                            </w:r>
                            <w:proofErr w:type="spellEnd"/>
                            <w:r w:rsidRPr="0024724E">
                              <w:t xml:space="preserve"> to 1 MN. This allows the characterization of measuring systems which require combined loads of axial forces </w:t>
                            </w:r>
                            <w:r w:rsidRPr="0000028D">
                              <w:rPr>
                                <w:i/>
                              </w:rPr>
                              <w:t>F</w:t>
                            </w:r>
                            <w:r w:rsidRPr="0000028D">
                              <w:rPr>
                                <w:vertAlign w:val="subscript"/>
                              </w:rPr>
                              <w:t>z</w:t>
                            </w:r>
                            <w:r w:rsidRPr="0024724E">
                              <w:t xml:space="preserve"> and torques </w:t>
                            </w:r>
                            <w:r w:rsidRPr="0000028D">
                              <w:rPr>
                                <w:i/>
                              </w:rPr>
                              <w:t>M</w:t>
                            </w:r>
                            <w:r w:rsidRPr="0000028D">
                              <w:rPr>
                                <w:vertAlign w:val="subscript"/>
                              </w:rPr>
                              <w:t>z</w:t>
                            </w:r>
                            <w:r>
                              <w:t xml:space="preserve">, </w:t>
                            </w:r>
                            <w:r w:rsidRPr="0024724E">
                              <w:t>like friction coefficient sensors. The aim is a measurement uncertainty of (</w:t>
                            </w:r>
                            <w:r w:rsidRPr="00473E88">
                              <w:t>k</w:t>
                            </w:r>
                            <w:r>
                              <w:t> = </w:t>
                            </w:r>
                            <w:r w:rsidRPr="0024724E">
                              <w:t xml:space="preserve">2) for </w:t>
                            </w:r>
                            <w:r w:rsidRPr="0024724E">
                              <w:rPr>
                                <w:i/>
                              </w:rPr>
                              <w:t>M</w:t>
                            </w:r>
                            <w:r w:rsidRPr="0024724E">
                              <w:rPr>
                                <w:vertAlign w:val="subscript"/>
                              </w:rPr>
                              <w:t>z</w:t>
                            </w:r>
                            <w:r w:rsidRPr="0024724E">
                              <w:t xml:space="preserve"> &lt; 0.01% and </w:t>
                            </w:r>
                            <w:r w:rsidRPr="0024724E">
                              <w:rPr>
                                <w:i/>
                              </w:rPr>
                              <w:t>F</w:t>
                            </w:r>
                            <w:r w:rsidRPr="0024724E">
                              <w:rPr>
                                <w:vertAlign w:val="subscript"/>
                              </w:rPr>
                              <w:t>z</w:t>
                            </w:r>
                            <w:r>
                              <w:t> &lt; </w:t>
                            </w:r>
                            <w:r w:rsidRPr="0024724E">
                              <w:t>0.002%. The physical model yields to extended measurement uncertainties (</w:t>
                            </w:r>
                            <w:r w:rsidRPr="0024724E">
                              <w:rPr>
                                <w:i/>
                              </w:rPr>
                              <w:t>k</w:t>
                            </w:r>
                            <w:r w:rsidRPr="0024724E">
                              <w:t xml:space="preserve"> = 2) for 20 N·m of 5.9·10</w:t>
                            </w:r>
                            <w:r w:rsidRPr="0024724E">
                              <w:rPr>
                                <w:vertAlign w:val="superscript"/>
                              </w:rPr>
                              <w:t>-5</w:t>
                            </w:r>
                            <w:r w:rsidRPr="0024724E">
                              <w:t xml:space="preserve"> and for the maximum load step </w:t>
                            </w:r>
                            <w:r w:rsidRPr="00473E88">
                              <w:rPr>
                                <w:i/>
                              </w:rPr>
                              <w:t>M</w:t>
                            </w:r>
                            <w:r w:rsidRPr="00473E88">
                              <w:rPr>
                                <w:vertAlign w:val="subscript"/>
                              </w:rPr>
                              <w:t>z</w:t>
                            </w:r>
                            <w:r>
                              <w:t xml:space="preserve"> = (</w:t>
                            </w:r>
                            <w:r w:rsidRPr="00473E88">
                              <w:t>2000</w:t>
                            </w:r>
                            <w:r>
                              <w:t xml:space="preserve"> ± 0.084)</w:t>
                            </w:r>
                            <w:r w:rsidRPr="0024724E">
                              <w:t xml:space="preserve"> N·m.</w:t>
                            </w:r>
                          </w:p>
                        </w:txbxContent>
                      </wps:txbx>
                      <wps:bodyPr rot="0" vert="horz" wrap="square" lIns="108000" tIns="108000" rIns="108000" bIns="108000" anchor="t" anchorCtr="0" upright="1">
                        <a:spAutoFit/>
                      </wps:bodyPr>
                    </wps:wsp>
                  </a:graphicData>
                </a:graphic>
              </wp:inline>
            </w:drawing>
          </mc:Choice>
          <mc:Fallback>
            <w:pict>
              <v:rect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aYBwMAAGc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" fillcolor="#c6d9f1" stroked="f" strokeweight=".5pt">
                <v:shadow color="#243f60" opacity=".5" offset="1pt"/>
                <v:textbox style="mso-fit-shape-to-text:t" inset="3mm,3mm,3mm,3mm">
                  <w:txbxContent>
                    <w:p w:rsidR="005D535D" w:rsidRDefault="005D535D" w:rsidP="00340C7C">
                      <w:pPr>
                        <w:pStyle w:val="Abstract"/>
                      </w:pPr>
                      <w:r>
                        <w:t>ABSTRACT</w:t>
                      </w:r>
                    </w:p>
                    <w:p w:rsidR="005D535D" w:rsidRDefault="005D535D" w:rsidP="0024724E">
                      <w:pPr>
                        <w:pStyle w:val="Abstract"/>
                      </w:pPr>
                      <w:r w:rsidRPr="0024724E">
                        <w:t>This paper present</w:t>
                      </w:r>
                      <w:r>
                        <w:t>s</w:t>
                      </w:r>
                      <w:r w:rsidRPr="0024724E">
                        <w:t xml:space="preserve"> the completion and the measurement uncertainty budget of a multi-component measuring facility. The new facility is part of the 1 MN force standard machine [1] of the PTB. It enables the simultaneous generation of a torque in the range from 20 N·m to 2 </w:t>
                      </w:r>
                      <w:proofErr w:type="gramStart"/>
                      <w:r w:rsidRPr="0024724E">
                        <w:t>kN·</w:t>
                      </w:r>
                      <w:proofErr w:type="gramEnd"/>
                      <w:r w:rsidRPr="0024724E">
                        <w:t xml:space="preserve">m in addition to axial forces 20 </w:t>
                      </w:r>
                      <w:proofErr w:type="spellStart"/>
                      <w:r w:rsidRPr="0024724E">
                        <w:t>kN</w:t>
                      </w:r>
                      <w:proofErr w:type="spellEnd"/>
                      <w:r w:rsidRPr="0024724E">
                        <w:t xml:space="preserve"> to 1 MN. This allows the characterization of measuring systems which require combined loads of axial forces </w:t>
                      </w:r>
                      <w:r w:rsidRPr="0000028D">
                        <w:rPr>
                          <w:i/>
                        </w:rPr>
                        <w:t>F</w:t>
                      </w:r>
                      <w:r w:rsidRPr="0000028D">
                        <w:rPr>
                          <w:vertAlign w:val="subscript"/>
                        </w:rPr>
                        <w:t>z</w:t>
                      </w:r>
                      <w:r w:rsidRPr="0024724E">
                        <w:t xml:space="preserve"> and torques </w:t>
                      </w:r>
                      <w:r w:rsidRPr="0000028D">
                        <w:rPr>
                          <w:i/>
                        </w:rPr>
                        <w:t>M</w:t>
                      </w:r>
                      <w:r w:rsidRPr="0000028D">
                        <w:rPr>
                          <w:vertAlign w:val="subscript"/>
                        </w:rPr>
                        <w:t>z</w:t>
                      </w:r>
                      <w:r>
                        <w:t xml:space="preserve">, </w:t>
                      </w:r>
                      <w:r w:rsidRPr="0024724E">
                        <w:t>like friction coefficient sensors. The aim is a measurement uncertainty of (</w:t>
                      </w:r>
                      <w:r w:rsidRPr="00473E88">
                        <w:t>k</w:t>
                      </w:r>
                      <w:r>
                        <w:t> = </w:t>
                      </w:r>
                      <w:r w:rsidRPr="0024724E">
                        <w:t xml:space="preserve">2) for </w:t>
                      </w:r>
                      <w:r w:rsidRPr="0024724E">
                        <w:rPr>
                          <w:i/>
                        </w:rPr>
                        <w:t>M</w:t>
                      </w:r>
                      <w:r w:rsidRPr="0024724E">
                        <w:rPr>
                          <w:vertAlign w:val="subscript"/>
                        </w:rPr>
                        <w:t>z</w:t>
                      </w:r>
                      <w:r w:rsidRPr="0024724E">
                        <w:t xml:space="preserve"> &lt; 0.01% and </w:t>
                      </w:r>
                      <w:r w:rsidRPr="0024724E">
                        <w:rPr>
                          <w:i/>
                        </w:rPr>
                        <w:t>F</w:t>
                      </w:r>
                      <w:r w:rsidRPr="0024724E">
                        <w:rPr>
                          <w:vertAlign w:val="subscript"/>
                        </w:rPr>
                        <w:t>z</w:t>
                      </w:r>
                      <w:r>
                        <w:t> &lt; </w:t>
                      </w:r>
                      <w:r w:rsidRPr="0024724E">
                        <w:t>0.002%. The physical model yields to extended measurement uncertainties (</w:t>
                      </w:r>
                      <w:r w:rsidRPr="0024724E">
                        <w:rPr>
                          <w:i/>
                        </w:rPr>
                        <w:t>k</w:t>
                      </w:r>
                      <w:r w:rsidRPr="0024724E">
                        <w:t xml:space="preserve"> = 2) for 20 N·m of 5.9·10</w:t>
                      </w:r>
                      <w:r w:rsidRPr="0024724E">
                        <w:rPr>
                          <w:vertAlign w:val="superscript"/>
                        </w:rPr>
                        <w:t>-5</w:t>
                      </w:r>
                      <w:r w:rsidRPr="0024724E">
                        <w:t xml:space="preserve"> and for the maximum load step </w:t>
                      </w:r>
                      <w:r w:rsidRPr="00473E88">
                        <w:rPr>
                          <w:i/>
                        </w:rPr>
                        <w:t>M</w:t>
                      </w:r>
                      <w:r w:rsidRPr="00473E88">
                        <w:rPr>
                          <w:vertAlign w:val="subscript"/>
                        </w:rPr>
                        <w:t>z</w:t>
                      </w:r>
                      <w:r>
                        <w:t xml:space="preserve"> = (</w:t>
                      </w:r>
                      <w:r w:rsidRPr="00473E88">
                        <w:t>2000</w:t>
                      </w:r>
                      <w:r>
                        <w:t xml:space="preserve"> ± 0.084)</w:t>
                      </w:r>
                      <w:r w:rsidRPr="0024724E">
                        <w:t xml:space="preserve"> N·m.</w:t>
                      </w:r>
                    </w:p>
                  </w:txbxContent>
                </v:textbox>
                <w10:anchorlock/>
              </v:rect>
            </w:pict>
          </mc:Fallback>
        </mc:AlternateContent>
      </w:r>
    </w:p>
    <w:p w:rsidR="006132C5" w:rsidRPr="00EB45FF" w:rsidRDefault="007B147E" w:rsidP="000C547A">
      <w:pPr>
        <w:pStyle w:val="Editor"/>
      </w:pPr>
      <w:r>
        <w:rPr>
          <w:noProof/>
          <w:lang w:val="de-DE" w:eastAsia="de-DE"/>
        </w:rPr>
        <mc:AlternateContent>
          <mc:Choice Requires="wps">
            <w:drawing>
              <wp:inline distT="0" distB="0" distL="0" distR="0">
                <wp:extent cx="6480175" cy="0"/>
                <wp:effectExtent l="6985" t="6350" r="889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E18022"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rsidR="006132C5" w:rsidRPr="00EB45FF" w:rsidRDefault="006132C5" w:rsidP="0095317F">
      <w:pPr>
        <w:pStyle w:val="Keywords"/>
      </w:pPr>
      <w:r w:rsidRPr="00EB45FF">
        <w:rPr>
          <w:b/>
        </w:rPr>
        <w:t>Keywords:</w:t>
      </w:r>
      <w:r w:rsidRPr="00EB45FF">
        <w:t xml:space="preserve"> </w:t>
      </w:r>
      <w:r w:rsidR="003C1574">
        <w:t>multi-component measurement;</w:t>
      </w:r>
      <w:r w:rsidR="0024724E" w:rsidRPr="0024724E">
        <w:t xml:space="preserve"> measurement uncertainty budget</w:t>
      </w:r>
      <w:r w:rsidR="003C1574">
        <w:t>;</w:t>
      </w:r>
      <w:r w:rsidR="0024724E" w:rsidRPr="0024724E">
        <w:t xml:space="preserve"> torque</w:t>
      </w:r>
      <w:r w:rsidR="003C1574">
        <w:t>;</w:t>
      </w:r>
      <w:r w:rsidR="0024724E" w:rsidRPr="0024724E">
        <w:t xml:space="preserve"> force</w:t>
      </w:r>
      <w:r w:rsidR="003C1574">
        <w:t>;</w:t>
      </w:r>
      <w:r w:rsidR="0024724E" w:rsidRPr="0024724E">
        <w:t xml:space="preserve"> </w:t>
      </w:r>
      <w:r w:rsidR="0058136F">
        <w:t xml:space="preserve">signal crosstalk; </w:t>
      </w:r>
      <w:r w:rsidR="0024724E" w:rsidRPr="0024724E">
        <w:t>friction coefficient sensor</w:t>
      </w:r>
    </w:p>
    <w:p w:rsidR="006132C5" w:rsidRPr="00EB45FF" w:rsidRDefault="006132C5" w:rsidP="009F753E">
      <w:pPr>
        <w:pStyle w:val="Citation"/>
      </w:pPr>
      <w:r w:rsidRPr="00EB45FF">
        <w:rPr>
          <w:b/>
        </w:rPr>
        <w:t>Citation:</w:t>
      </w:r>
      <w:r w:rsidR="0024724E" w:rsidRPr="00EB45FF">
        <w:t xml:space="preserve"> </w:t>
      </w:r>
    </w:p>
    <w:p w:rsidR="006132C5" w:rsidRPr="00EB45FF" w:rsidRDefault="007C6EC7" w:rsidP="006132C5">
      <w:pPr>
        <w:pStyle w:val="Editor"/>
      </w:pPr>
      <w:r>
        <w:rPr>
          <w:b/>
        </w:rPr>
        <w:t xml:space="preserve">Section </w:t>
      </w:r>
      <w:r w:rsidR="009844C6" w:rsidRPr="00DA4117">
        <w:rPr>
          <w:b/>
        </w:rPr>
        <w:t>Editor:</w:t>
      </w:r>
      <w:r w:rsidR="009844C6" w:rsidRPr="00DA4117">
        <w:t xml:space="preserve"> </w:t>
      </w:r>
    </w:p>
    <w:p w:rsidR="006C6914" w:rsidRPr="004A78B2" w:rsidRDefault="006132C5" w:rsidP="006C6914">
      <w:pPr>
        <w:pStyle w:val="SignificantDates"/>
      </w:pPr>
      <w:r w:rsidRPr="00EB45FF">
        <w:rPr>
          <w:b/>
        </w:rPr>
        <w:t>Received</w:t>
      </w:r>
      <w:r w:rsidRPr="00EB45FF">
        <w:t xml:space="preserve"> </w:t>
      </w:r>
    </w:p>
    <w:p w:rsidR="00C36087" w:rsidRPr="00EB45FF" w:rsidRDefault="006132C5" w:rsidP="006C6914">
      <w:pPr>
        <w:pStyle w:val="SignificantDates"/>
      </w:pPr>
      <w:r w:rsidRPr="00EB45FF">
        <w:rPr>
          <w:b/>
        </w:rPr>
        <w:t>Copyright:</w:t>
      </w:r>
      <w:r w:rsidRPr="00EB45FF">
        <w:t xml:space="preserve"> </w:t>
      </w:r>
    </w:p>
    <w:p w:rsidR="006132C5" w:rsidRPr="00EB45FF" w:rsidRDefault="006132C5" w:rsidP="00C825FD">
      <w:pPr>
        <w:pStyle w:val="Editor"/>
      </w:pPr>
      <w:r w:rsidRPr="00EB45FF">
        <w:rPr>
          <w:b/>
        </w:rPr>
        <w:t>Funding:</w:t>
      </w:r>
      <w:r w:rsidRPr="00EB45FF">
        <w:t xml:space="preserve"> </w:t>
      </w:r>
    </w:p>
    <w:p w:rsidR="007D72F9" w:rsidRPr="00EB45FF" w:rsidRDefault="00C825FD" w:rsidP="0024724E">
      <w:pPr>
        <w:pStyle w:val="Corresponding"/>
      </w:pPr>
      <w:r w:rsidRPr="00EB45FF">
        <w:rPr>
          <w:b/>
          <w:lang w:val="en-US"/>
        </w:rPr>
        <w:t>Corresponding author:</w:t>
      </w:r>
      <w:r w:rsidRPr="00EB45FF">
        <w:rPr>
          <w:lang w:val="en-US"/>
        </w:rPr>
        <w:t xml:space="preserve"> </w:t>
      </w:r>
      <w:r w:rsidR="0024724E" w:rsidRPr="0024724E">
        <w:rPr>
          <w:lang w:val="en-US"/>
        </w:rPr>
        <w:t xml:space="preserve">Sebastian Baumgarten, e-mail: Sebastian.baumgarten@ptb.de </w:t>
      </w:r>
      <w:r w:rsidR="007B147E">
        <w:rPr>
          <w:noProof/>
          <w:lang w:val="de-DE" w:eastAsia="de-DE"/>
        </w:rPr>
        <mc:AlternateContent>
          <mc:Choice Requires="wps">
            <w:drawing>
              <wp:inline distT="0" distB="0" distL="0" distR="0">
                <wp:extent cx="6480175" cy="0"/>
                <wp:effectExtent l="6985" t="8255" r="8890" b="1079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82F03A0"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rsidR="00355654" w:rsidRPr="00EB45FF" w:rsidRDefault="00355654" w:rsidP="00E526EE">
      <w:pPr>
        <w:ind w:firstLine="0"/>
        <w:rPr>
          <w:lang w:val="en-US"/>
        </w:rPr>
        <w:sectPr w:rsidR="00355654" w:rsidRPr="00EB45FF"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rsidR="00543384" w:rsidRPr="00EB45FF" w:rsidRDefault="002C0334" w:rsidP="00AF213F">
      <w:pPr>
        <w:pStyle w:val="Level1Title"/>
      </w:pPr>
      <w:r w:rsidRPr="00EB45FF">
        <w:t>Introduction</w:t>
      </w:r>
    </w:p>
    <w:p w:rsidR="00B1079F" w:rsidRDefault="0024724E" w:rsidP="0024724E">
      <w:r w:rsidRPr="0024724E">
        <w:t xml:space="preserve">There is an increasing number of measuring systems that can detect more than one force or torque component of these </w:t>
      </w:r>
      <w:proofErr w:type="spellStart"/>
      <w:r w:rsidRPr="0024724E">
        <w:t>vectorial</w:t>
      </w:r>
      <w:proofErr w:type="spellEnd"/>
      <w:r w:rsidRPr="0024724E">
        <w:t xml:space="preserve"> physical quantities. There is</w:t>
      </w:r>
      <w:r w:rsidR="00473E88">
        <w:t>,</w:t>
      </w:r>
      <w:r w:rsidRPr="0024724E">
        <w:t xml:space="preserve"> therefore</w:t>
      </w:r>
      <w:r w:rsidR="00473E88">
        <w:t>,</w:t>
      </w:r>
      <w:r w:rsidRPr="0024724E">
        <w:t xml:space="preserve"> an increasing need for traceability with regard to multi-component measurements. Realizations of such measuring facilities with sufficient measurement uncertainty and a suitable measuring range are complex and rare. PTB's hexapod [2] and the measuring facility at IMGC [3] are examples of such a realization. The PTB use</w:t>
      </w:r>
      <w:r w:rsidR="00473E88">
        <w:t>s</w:t>
      </w:r>
      <w:r w:rsidRPr="0024724E">
        <w:t xml:space="preserve"> the infrastructure that is already available at </w:t>
      </w:r>
      <w:r w:rsidR="00473E88">
        <w:t xml:space="preserve">such </w:t>
      </w:r>
      <w:r w:rsidRPr="0024724E">
        <w:t xml:space="preserve">measuring facilities, to upgrade one facility by </w:t>
      </w:r>
      <w:r w:rsidR="00473E88">
        <w:t xml:space="preserve">adding </w:t>
      </w:r>
      <w:r w:rsidRPr="0024724E">
        <w:t>additional torque components. As a result of a project in PTB, within the</w:t>
      </w:r>
      <w:r w:rsidR="004F7045">
        <w:t xml:space="preserve"> 1 MN force standard machine (1 </w:t>
      </w:r>
      <w:r w:rsidR="00473E88">
        <w:t xml:space="preserve">MN FSM), </w:t>
      </w:r>
      <w:r w:rsidRPr="0024724E">
        <w:t xml:space="preserve">torques can now be generated by means of a lever/band/mass system. This extension of the FSM allows the combination of a force </w:t>
      </w:r>
      <w:r w:rsidR="004F7045">
        <w:t>measuring range from 20 </w:t>
      </w:r>
      <w:proofErr w:type="spellStart"/>
      <w:r w:rsidR="004F7045">
        <w:t>kN</w:t>
      </w:r>
      <w:proofErr w:type="spellEnd"/>
      <w:r w:rsidR="004F7045">
        <w:t xml:space="preserve"> to 1 </w:t>
      </w:r>
      <w:r w:rsidRPr="0024724E">
        <w:t>MN with a torque measuring range from 20 N·m to 2 kN·m. This, in turn, extends the service range of the measuring facility, and measuring systems such as friction coefficient sensors or wheel load sensors can, thus, be investigated specifically. The measurement uncertainty b</w:t>
      </w:r>
      <w:r>
        <w:t xml:space="preserve">udget (MUB) for </w:t>
      </w:r>
      <w:r w:rsidRPr="0024724E">
        <w:rPr>
          <w:i/>
        </w:rPr>
        <w:t>M</w:t>
      </w:r>
      <w:r w:rsidRPr="0024724E">
        <w:rPr>
          <w:vertAlign w:val="subscript"/>
        </w:rPr>
        <w:t>z</w:t>
      </w:r>
      <w:r>
        <w:t xml:space="preserve"> is presented</w:t>
      </w:r>
      <w:r w:rsidR="00B1079F" w:rsidRPr="00EB45FF">
        <w:t>.</w:t>
      </w:r>
    </w:p>
    <w:p w:rsidR="00604A83" w:rsidRDefault="00604A83" w:rsidP="0024724E"/>
    <w:p w:rsidR="00100F6F" w:rsidRPr="00EB45FF" w:rsidRDefault="0024724E" w:rsidP="00802D34">
      <w:pPr>
        <w:pStyle w:val="Level1Title"/>
      </w:pPr>
      <w:r>
        <w:t>Set-Up</w:t>
      </w:r>
    </w:p>
    <w:p w:rsidR="003C1574" w:rsidRPr="00EB45FF" w:rsidRDefault="0024724E" w:rsidP="00100F6F">
      <w:r w:rsidRPr="0024724E">
        <w:t xml:space="preserve">The additional torque device has a modular set-up and can be mounted into or removed from the force flow of the 1-MN FSM. It works on the basis of the principle of a two-armed lever at the ends of which a force couple acts. The force couple is equal value which, although parallel to each other, act in the opposite direction to each other. The cross forces thus neutralize each other and all in all, an active torque </w:t>
      </w:r>
      <w:r w:rsidRPr="0024724E">
        <w:rPr>
          <w:i/>
        </w:rPr>
        <w:t>M</w:t>
      </w:r>
      <w:r w:rsidRPr="0024724E">
        <w:rPr>
          <w:vertAlign w:val="subscript"/>
        </w:rPr>
        <w:t>z</w:t>
      </w:r>
      <w:r w:rsidRPr="0024724E">
        <w:t xml:space="preserve"> is realized. The forces are generated via two mass stacks that are located symmetrically on either side of the 1 MN FSM (see Fig. 1). Each of these mass stacks (see Fig. 2) is composed of a </w:t>
      </w:r>
      <w:proofErr w:type="spellStart"/>
      <w:r w:rsidRPr="0024724E">
        <w:t>lowerable</w:t>
      </w:r>
      <w:proofErr w:type="spellEnd"/>
      <w:r w:rsidRPr="0024724E">
        <w:t xml:space="preserve"> set of masses. The mass disks are coupled to a metallic band. The metallic band is diverted by means of an air-bearing rotor. The vertical gravitational force of the mass stacks becomes a horizontal tensile force. The metallic band is coupled to the lever arm and thus transmits the force onto the system. Sensors and step motors stabilize the system position under load and changing load conditions. The synchronous triggering, monitoring and data acquisition are effected by EXCEL macros and a DMP 41.</w:t>
      </w:r>
    </w:p>
    <w:p w:rsidR="006D0982" w:rsidRPr="00EB45FF" w:rsidRDefault="00BF245E" w:rsidP="006D0982">
      <w:pPr>
        <w:pStyle w:val="Figure"/>
        <w:keepNext/>
        <w:framePr w:w="10006" w:vSpace="284" w:wrap="notBeside" w:vAnchor="page" w:hAnchor="page" w:x="926" w:y="1000"/>
      </w:pPr>
      <w:r>
        <w:rPr>
          <w:noProof/>
          <w:lang w:val="de-DE" w:eastAsia="de-DE"/>
        </w:rPr>
        <w:lastRenderedPageBreak/>
        <w:drawing>
          <wp:inline distT="0" distB="0" distL="0" distR="0" wp14:anchorId="4AF24978">
            <wp:extent cx="6312643" cy="3355079"/>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18416" cy="3358147"/>
                    </a:xfrm>
                    <a:prstGeom prst="rect">
                      <a:avLst/>
                    </a:prstGeom>
                    <a:noFill/>
                  </pic:spPr>
                </pic:pic>
              </a:graphicData>
            </a:graphic>
          </wp:inline>
        </w:drawing>
      </w:r>
    </w:p>
    <w:p w:rsidR="006D0982" w:rsidRPr="00EB45FF" w:rsidRDefault="006D0982" w:rsidP="006D0982">
      <w:pPr>
        <w:pStyle w:val="FigureCaption"/>
        <w:framePr w:w="10006" w:vSpace="284" w:wrap="notBeside" w:vAnchor="page" w:hAnchor="page" w:x="926" w:y="1000"/>
        <w:spacing w:after="0"/>
      </w:pPr>
      <w:bookmarkStart w:id="0" w:name="_Ref312437359"/>
      <w:r w:rsidRPr="00EB45FF">
        <w:t xml:space="preserve">Figure </w:t>
      </w:r>
      <w:bookmarkEnd w:id="0"/>
      <w:r>
        <w:t>1</w:t>
      </w:r>
      <w:r w:rsidRPr="00EB45FF">
        <w:t xml:space="preserve">. </w:t>
      </w:r>
      <w:r w:rsidRPr="008B3C73">
        <w:t>Multi-compon</w:t>
      </w:r>
      <w:r>
        <w:t>ent measuring facility</w:t>
      </w:r>
      <w:r w:rsidRPr="008B3C73">
        <w:t>: 1 − mass stack A; 2 − mass stack B; 3 − metallic band for force application onto the lever; 4 − masses; 5 − two-armed lever; 6 − coordinate measuring device, mounted onto a column support; 7 − 1 MN FSM</w:t>
      </w:r>
    </w:p>
    <w:p w:rsidR="008B3C73" w:rsidRPr="00EB45FF" w:rsidRDefault="0024724E" w:rsidP="008B3C73">
      <w:pPr>
        <w:pStyle w:val="Level1Title"/>
      </w:pPr>
      <w:r>
        <w:t>Measurement Uncertainty Budget</w:t>
      </w:r>
    </w:p>
    <w:p w:rsidR="006D0982" w:rsidRPr="00EB45FF" w:rsidRDefault="00BF245E" w:rsidP="00BF245E">
      <w:pPr>
        <w:pStyle w:val="Figure"/>
        <w:keepNext/>
        <w:framePr w:w="4879" w:vSpace="284" w:wrap="notBeside" w:vAnchor="page" w:hAnchor="page" w:x="912" w:y="7128"/>
      </w:pPr>
      <w:r>
        <w:rPr>
          <w:noProof/>
          <w:lang w:val="de-DE" w:eastAsia="de-DE"/>
        </w:rPr>
        <w:drawing>
          <wp:inline distT="0" distB="0" distL="0" distR="0" wp14:anchorId="1FEEF873">
            <wp:extent cx="2096284" cy="3392794"/>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6950" cy="3426242"/>
                    </a:xfrm>
                    <a:prstGeom prst="rect">
                      <a:avLst/>
                    </a:prstGeom>
                    <a:noFill/>
                  </pic:spPr>
                </pic:pic>
              </a:graphicData>
            </a:graphic>
          </wp:inline>
        </w:drawing>
      </w:r>
    </w:p>
    <w:p w:rsidR="006D0982" w:rsidRPr="00EB45FF" w:rsidRDefault="006D0982" w:rsidP="00BF245E">
      <w:pPr>
        <w:pStyle w:val="FigureCaption"/>
        <w:framePr w:w="4879" w:vSpace="284" w:wrap="notBeside" w:vAnchor="page" w:hAnchor="page" w:x="912" w:y="7128"/>
        <w:spacing w:after="0"/>
      </w:pPr>
      <w:r w:rsidRPr="00EB45FF">
        <w:t xml:space="preserve">Figure </w:t>
      </w:r>
      <w:r>
        <w:t>2</w:t>
      </w:r>
      <w:r w:rsidRPr="00EB45FF">
        <w:t xml:space="preserve">. </w:t>
      </w:r>
      <w:r w:rsidRPr="008B3C73">
        <w:t>Mass stack B. Both mass stacks exhibit an identical design: 1 − SPS control; 2 − Support elements resting against the frame of the 1 MN FMS; 3 − block with step motors for the displacement and tilting of the air-bearing head; 4 − air-bearing head with integrated rotor for force diversion; 5 − metallic band and coupling element for force application; 6 − masses; 7 − rotational and linear table for position displacement of the mass stack</w:t>
      </w:r>
    </w:p>
    <w:p w:rsidR="00604A83" w:rsidRDefault="00E71CA5" w:rsidP="0024724E">
      <w:r>
        <w:t xml:space="preserve">The following chapters are only a summary of the important points of the measurement uncertainty budget, more details about </w:t>
      </w:r>
      <w:r w:rsidR="00A3141E">
        <w:t xml:space="preserve">this </w:t>
      </w:r>
      <w:r>
        <w:t xml:space="preserve">very comprehensive topic in [9]. </w:t>
      </w:r>
      <w:r w:rsidR="0024724E">
        <w:t xml:space="preserve">A specific measurement uncertainty budget for the additional facility is presented. It includes a model, Figure 3, taking physical and geometric influence factors into account. This includes different factors, among other things, environmental influences, geometric characteristics, or the influence of the mass stacks. The influence of different influence factors on the measurement uncertainty and on the signal stability (e.g. friction inside the air bearing) have been investigated. In this case of application, also the realignment process of the mass stacks, the flatness errors of adaption parts and angular deviations must be taken into account. The model therefore encompasses a consideration of the system according to the </w:t>
      </w:r>
      <w:proofErr w:type="spellStart"/>
      <w:r w:rsidR="0024724E">
        <w:t>vectorial</w:t>
      </w:r>
      <w:proofErr w:type="spellEnd"/>
      <w:r w:rsidR="0024724E">
        <w:t xml:space="preserve"> components of </w:t>
      </w:r>
      <w:r w:rsidR="0024724E" w:rsidRPr="0024724E">
        <w:rPr>
          <w:b/>
          <w:i/>
        </w:rPr>
        <w:t>M</w:t>
      </w:r>
      <w:r w:rsidR="0024724E">
        <w:t xml:space="preserve"> (1) and the analysis of the influence factors on the measurement uncertainty. In the coordinate system used, </w:t>
      </w:r>
      <w:r w:rsidR="0024724E" w:rsidRPr="0024724E">
        <w:rPr>
          <w:i/>
        </w:rPr>
        <w:t>M</w:t>
      </w:r>
      <w:r w:rsidR="0024724E" w:rsidRPr="0024724E">
        <w:rPr>
          <w:vertAlign w:val="subscript"/>
        </w:rPr>
        <w:t>z</w:t>
      </w:r>
      <w:r w:rsidR="0024724E">
        <w:t xml:space="preserve"> is the torque, </w:t>
      </w:r>
      <w:r w:rsidR="0024724E" w:rsidRPr="0024724E">
        <w:rPr>
          <w:i/>
        </w:rPr>
        <w:t>l</w:t>
      </w:r>
      <w:r w:rsidR="0024724E" w:rsidRPr="0024724E">
        <w:rPr>
          <w:vertAlign w:val="subscript"/>
        </w:rPr>
        <w:t>y</w:t>
      </w:r>
      <w:r w:rsidR="0024724E">
        <w:t xml:space="preserve"> is the lever length, and </w:t>
      </w:r>
      <w:proofErr w:type="gramStart"/>
      <w:r w:rsidR="0024724E" w:rsidRPr="0024724E">
        <w:rPr>
          <w:i/>
        </w:rPr>
        <w:t>F</w:t>
      </w:r>
      <w:r w:rsidR="0024724E" w:rsidRPr="0024724E">
        <w:rPr>
          <w:vertAlign w:val="subscript"/>
        </w:rPr>
        <w:t>x</w:t>
      </w:r>
      <w:proofErr w:type="gramEnd"/>
      <w:r w:rsidR="0024724E">
        <w:t xml:space="preserve"> is the applied force. The ideal case thus consists in the lever and the force vector lying in the x-y-plane and being oriented orthogonal to each other. An additional axial force </w:t>
      </w:r>
      <w:r w:rsidR="0024724E" w:rsidRPr="0024724E">
        <w:rPr>
          <w:i/>
        </w:rPr>
        <w:t>F</w:t>
      </w:r>
      <w:r w:rsidR="0024724E" w:rsidRPr="0024724E">
        <w:rPr>
          <w:vertAlign w:val="subscript"/>
        </w:rPr>
        <w:t>z</w:t>
      </w:r>
      <w:r w:rsidR="0024724E">
        <w:t xml:space="preserve"> can be applied onto the system by the 1 MN FSM.</w:t>
      </w:r>
    </w:p>
    <w:p w:rsidR="00604A83" w:rsidRPr="00750774" w:rsidRDefault="005D535D" w:rsidP="00604A83">
      <w:pPr>
        <w:pStyle w:val="Text"/>
        <w:rPr>
          <w:lang w:val="en-US" w:eastAsia="en-US"/>
        </w:rPr>
      </w:pPr>
      <m:oMath>
        <m:acc>
          <m:accPr>
            <m:chr m:val="⃗"/>
            <m:ctrlPr>
              <w:rPr>
                <w:rFonts w:ascii="Cambria Math" w:hAnsi="Cambria Math"/>
                <w:i/>
                <w:lang w:eastAsia="en-US"/>
              </w:rPr>
            </m:ctrlPr>
          </m:accPr>
          <m:e>
            <m:r>
              <w:rPr>
                <w:rFonts w:ascii="Cambria Math" w:hAnsi="Cambria Math"/>
                <w:lang w:eastAsia="en-US"/>
              </w:rPr>
              <m:t>M</m:t>
            </m:r>
          </m:e>
        </m:acc>
        <m:r>
          <w:rPr>
            <w:rFonts w:ascii="Cambria Math" w:hAnsi="Cambria Math"/>
            <w:lang w:val="en-US" w:eastAsia="en-US"/>
          </w:rPr>
          <m:t>=</m:t>
        </m:r>
        <m:acc>
          <m:accPr>
            <m:chr m:val="⃗"/>
            <m:ctrlPr>
              <w:rPr>
                <w:rFonts w:ascii="Cambria Math" w:hAnsi="Cambria Math"/>
                <w:i/>
                <w:lang w:eastAsia="en-US"/>
              </w:rPr>
            </m:ctrlPr>
          </m:accPr>
          <m:e>
            <m:r>
              <w:rPr>
                <w:rFonts w:ascii="Cambria Math" w:hAnsi="Cambria Math"/>
                <w:lang w:eastAsia="en-US"/>
              </w:rPr>
              <m:t>F</m:t>
            </m:r>
          </m:e>
        </m:acc>
        <m:r>
          <w:rPr>
            <w:rFonts w:ascii="Cambria Math" w:hAnsi="Cambria Math"/>
            <w:lang w:val="en-US" w:eastAsia="en-US"/>
          </w:rPr>
          <m:t>×</m:t>
        </m:r>
        <m:acc>
          <m:accPr>
            <m:chr m:val="⃗"/>
            <m:ctrlPr>
              <w:rPr>
                <w:rFonts w:ascii="Cambria Math" w:hAnsi="Cambria Math"/>
                <w:i/>
                <w:lang w:eastAsia="en-US"/>
              </w:rPr>
            </m:ctrlPr>
          </m:accPr>
          <m:e>
            <m:r>
              <w:rPr>
                <w:rFonts w:ascii="Cambria Math" w:hAnsi="Cambria Math"/>
                <w:lang w:eastAsia="en-US"/>
              </w:rPr>
              <m:t>l</m:t>
            </m:r>
          </m:e>
        </m:acc>
        <m:r>
          <w:rPr>
            <w:rFonts w:ascii="Cambria Math" w:hAnsi="Cambria Math"/>
            <w:lang w:val="en-US" w:eastAsia="en-US"/>
          </w:rPr>
          <m:t>=</m:t>
        </m:r>
        <m:d>
          <m:dPr>
            <m:begChr m:val="["/>
            <m:endChr m:val="]"/>
            <m:ctrlPr>
              <w:rPr>
                <w:rFonts w:ascii="Cambria Math" w:hAnsi="Cambria Math"/>
                <w:i/>
                <w:lang w:eastAsia="en-US"/>
              </w:rPr>
            </m:ctrlPr>
          </m:dPr>
          <m:e>
            <m:m>
              <m:mPr>
                <m:mcs>
                  <m:mc>
                    <m:mcPr>
                      <m:count m:val="1"/>
                      <m:mcJc m:val="center"/>
                    </m:mcPr>
                  </m:mc>
                </m:mcs>
                <m:ctrlPr>
                  <w:rPr>
                    <w:rFonts w:ascii="Cambria Math" w:hAnsi="Cambria Math"/>
                    <w:i/>
                    <w:lang w:eastAsia="en-US"/>
                  </w:rPr>
                </m:ctrlPr>
              </m:mPr>
              <m:mr>
                <m:e>
                  <m:sSub>
                    <m:sSubPr>
                      <m:ctrlPr>
                        <w:rPr>
                          <w:rFonts w:ascii="Cambria Math" w:hAnsi="Cambria Math"/>
                          <w:i/>
                          <w:lang w:eastAsia="en-US"/>
                        </w:rPr>
                      </m:ctrlPr>
                    </m:sSubPr>
                    <m:e>
                      <m:r>
                        <w:rPr>
                          <w:rFonts w:ascii="Cambria Math" w:hAnsi="Cambria Math"/>
                          <w:lang w:eastAsia="en-US"/>
                        </w:rPr>
                        <m:t>F</m:t>
                      </m:r>
                    </m:e>
                    <m:sub>
                      <m:r>
                        <w:rPr>
                          <w:rFonts w:ascii="Cambria Math" w:hAnsi="Cambria Math"/>
                          <w:lang w:eastAsia="en-US"/>
                        </w:rPr>
                        <m:t>x</m:t>
                      </m:r>
                    </m:sub>
                  </m:sSub>
                </m:e>
              </m:mr>
              <m:mr>
                <m:e>
                  <m:sSub>
                    <m:sSubPr>
                      <m:ctrlPr>
                        <w:rPr>
                          <w:rFonts w:ascii="Cambria Math" w:hAnsi="Cambria Math"/>
                          <w:i/>
                          <w:lang w:eastAsia="en-US"/>
                        </w:rPr>
                      </m:ctrlPr>
                    </m:sSubPr>
                    <m:e>
                      <m:r>
                        <w:rPr>
                          <w:rFonts w:ascii="Cambria Math" w:hAnsi="Cambria Math"/>
                          <w:lang w:eastAsia="en-US"/>
                        </w:rPr>
                        <m:t>F</m:t>
                      </m:r>
                    </m:e>
                    <m:sub>
                      <m:r>
                        <w:rPr>
                          <w:rFonts w:ascii="Cambria Math" w:hAnsi="Cambria Math"/>
                          <w:lang w:eastAsia="en-US"/>
                        </w:rPr>
                        <m:t>y</m:t>
                      </m:r>
                    </m:sub>
                  </m:sSub>
                </m:e>
              </m:mr>
              <m:mr>
                <m:e>
                  <m:sSub>
                    <m:sSubPr>
                      <m:ctrlPr>
                        <w:rPr>
                          <w:rFonts w:ascii="Cambria Math" w:hAnsi="Cambria Math"/>
                          <w:i/>
                          <w:lang w:eastAsia="en-US"/>
                        </w:rPr>
                      </m:ctrlPr>
                    </m:sSubPr>
                    <m:e>
                      <m:r>
                        <w:rPr>
                          <w:rFonts w:ascii="Cambria Math" w:hAnsi="Cambria Math"/>
                          <w:lang w:eastAsia="en-US"/>
                        </w:rPr>
                        <m:t>F</m:t>
                      </m:r>
                    </m:e>
                    <m:sub>
                      <m:r>
                        <w:rPr>
                          <w:rFonts w:ascii="Cambria Math" w:hAnsi="Cambria Math"/>
                          <w:lang w:eastAsia="en-US"/>
                        </w:rPr>
                        <m:t>z</m:t>
                      </m:r>
                    </m:sub>
                  </m:sSub>
                </m:e>
              </m:mr>
            </m:m>
          </m:e>
        </m:d>
        <m:r>
          <w:rPr>
            <w:rFonts w:ascii="Cambria Math" w:hAnsi="Cambria Math"/>
            <w:lang w:val="en-US" w:eastAsia="en-US"/>
          </w:rPr>
          <m:t>×</m:t>
        </m:r>
        <m:d>
          <m:dPr>
            <m:begChr m:val="["/>
            <m:endChr m:val="]"/>
            <m:ctrlPr>
              <w:rPr>
                <w:rFonts w:ascii="Cambria Math" w:hAnsi="Cambria Math"/>
                <w:i/>
                <w:lang w:eastAsia="en-US"/>
              </w:rPr>
            </m:ctrlPr>
          </m:dPr>
          <m:e>
            <m:m>
              <m:mPr>
                <m:mcs>
                  <m:mc>
                    <m:mcPr>
                      <m:count m:val="1"/>
                      <m:mcJc m:val="center"/>
                    </m:mcPr>
                  </m:mc>
                </m:mcs>
                <m:ctrlPr>
                  <w:rPr>
                    <w:rFonts w:ascii="Cambria Math" w:hAnsi="Cambria Math"/>
                    <w:i/>
                    <w:lang w:eastAsia="en-US"/>
                  </w:rPr>
                </m:ctrlPr>
              </m:mPr>
              <m:mr>
                <m:e>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x</m:t>
                      </m:r>
                    </m:sub>
                  </m:sSub>
                </m:e>
              </m:mr>
              <m:mr>
                <m:e>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y</m:t>
                      </m:r>
                    </m:sub>
                  </m:sSub>
                </m:e>
              </m:mr>
              <m:mr>
                <m:e>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z</m:t>
                      </m:r>
                    </m:sub>
                  </m:sSub>
                </m:e>
              </m:mr>
            </m:m>
          </m:e>
        </m:d>
        <m:r>
          <w:rPr>
            <w:rFonts w:ascii="Cambria Math" w:hAnsi="Cambria Math"/>
            <w:lang w:val="en-US" w:eastAsia="en-US"/>
          </w:rPr>
          <m:t>=</m:t>
        </m:r>
        <m:d>
          <m:dPr>
            <m:begChr m:val="["/>
            <m:endChr m:val="]"/>
            <m:ctrlPr>
              <w:rPr>
                <w:rFonts w:ascii="Cambria Math" w:hAnsi="Cambria Math"/>
                <w:i/>
                <w:lang w:eastAsia="en-US"/>
              </w:rPr>
            </m:ctrlPr>
          </m:dPr>
          <m:e>
            <m:m>
              <m:mPr>
                <m:mcs>
                  <m:mc>
                    <m:mcPr>
                      <m:count m:val="1"/>
                      <m:mcJc m:val="center"/>
                    </m:mcPr>
                  </m:mc>
                </m:mcs>
                <m:ctrlPr>
                  <w:rPr>
                    <w:rFonts w:ascii="Cambria Math" w:hAnsi="Cambria Math"/>
                    <w:i/>
                    <w:lang w:eastAsia="en-US"/>
                  </w:rPr>
                </m:ctrlPr>
              </m:mPr>
              <m:mr>
                <m:e>
                  <m:sSub>
                    <m:sSubPr>
                      <m:ctrlPr>
                        <w:rPr>
                          <w:rFonts w:ascii="Cambria Math" w:hAnsi="Cambria Math"/>
                          <w:i/>
                          <w:lang w:eastAsia="en-US"/>
                        </w:rPr>
                      </m:ctrlPr>
                    </m:sSubPr>
                    <m:e>
                      <m:r>
                        <w:rPr>
                          <w:rFonts w:ascii="Cambria Math" w:hAnsi="Cambria Math"/>
                          <w:lang w:eastAsia="en-US"/>
                        </w:rPr>
                        <m:t>F</m:t>
                      </m:r>
                    </m:e>
                    <m:sub>
                      <m:r>
                        <w:rPr>
                          <w:rFonts w:ascii="Cambria Math" w:hAnsi="Cambria Math"/>
                          <w:lang w:eastAsia="en-US"/>
                        </w:rPr>
                        <m:t>y</m:t>
                      </m:r>
                    </m:sub>
                  </m:sSub>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z</m:t>
                      </m:r>
                    </m:sub>
                  </m:sSub>
                  <m:r>
                    <w:rPr>
                      <w:rFonts w:ascii="Cambria Math" w:hAnsi="Cambria Math"/>
                      <w:lang w:val="en-US" w:eastAsia="en-US"/>
                    </w:rPr>
                    <m:t>-</m:t>
                  </m:r>
                  <m:sSub>
                    <m:sSubPr>
                      <m:ctrlPr>
                        <w:rPr>
                          <w:rFonts w:ascii="Cambria Math" w:hAnsi="Cambria Math"/>
                          <w:i/>
                          <w:lang w:eastAsia="en-US"/>
                        </w:rPr>
                      </m:ctrlPr>
                    </m:sSubPr>
                    <m:e>
                      <m:r>
                        <w:rPr>
                          <w:rFonts w:ascii="Cambria Math" w:hAnsi="Cambria Math"/>
                          <w:lang w:eastAsia="en-US"/>
                        </w:rPr>
                        <m:t>F</m:t>
                      </m:r>
                    </m:e>
                    <m:sub>
                      <m:r>
                        <w:rPr>
                          <w:rFonts w:ascii="Cambria Math" w:hAnsi="Cambria Math"/>
                          <w:lang w:eastAsia="en-US"/>
                        </w:rPr>
                        <m:t>z</m:t>
                      </m:r>
                    </m:sub>
                  </m:sSub>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y</m:t>
                      </m:r>
                    </m:sub>
                  </m:sSub>
                </m:e>
              </m:mr>
              <m:mr>
                <m:e>
                  <m:sSub>
                    <m:sSubPr>
                      <m:ctrlPr>
                        <w:rPr>
                          <w:rFonts w:ascii="Cambria Math" w:hAnsi="Cambria Math"/>
                          <w:i/>
                          <w:lang w:eastAsia="en-US"/>
                        </w:rPr>
                      </m:ctrlPr>
                    </m:sSubPr>
                    <m:e>
                      <m:r>
                        <w:rPr>
                          <w:rFonts w:ascii="Cambria Math" w:hAnsi="Cambria Math"/>
                          <w:lang w:eastAsia="en-US"/>
                        </w:rPr>
                        <m:t>F</m:t>
                      </m:r>
                    </m:e>
                    <m:sub>
                      <m:r>
                        <w:rPr>
                          <w:rFonts w:ascii="Cambria Math" w:hAnsi="Cambria Math"/>
                          <w:lang w:eastAsia="en-US"/>
                        </w:rPr>
                        <m:t>z</m:t>
                      </m:r>
                    </m:sub>
                  </m:sSub>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x</m:t>
                      </m:r>
                    </m:sub>
                  </m:sSub>
                  <m:r>
                    <w:rPr>
                      <w:rFonts w:ascii="Cambria Math" w:hAnsi="Cambria Math"/>
                      <w:lang w:val="en-US" w:eastAsia="en-US"/>
                    </w:rPr>
                    <m:t>-</m:t>
                  </m:r>
                  <m:sSub>
                    <m:sSubPr>
                      <m:ctrlPr>
                        <w:rPr>
                          <w:rFonts w:ascii="Cambria Math" w:hAnsi="Cambria Math"/>
                          <w:i/>
                          <w:lang w:eastAsia="en-US"/>
                        </w:rPr>
                      </m:ctrlPr>
                    </m:sSubPr>
                    <m:e>
                      <m:r>
                        <w:rPr>
                          <w:rFonts w:ascii="Cambria Math" w:hAnsi="Cambria Math"/>
                          <w:lang w:eastAsia="en-US"/>
                        </w:rPr>
                        <m:t>F</m:t>
                      </m:r>
                    </m:e>
                    <m:sub>
                      <m:r>
                        <w:rPr>
                          <w:rFonts w:ascii="Cambria Math" w:hAnsi="Cambria Math"/>
                          <w:lang w:eastAsia="en-US"/>
                        </w:rPr>
                        <m:t>x</m:t>
                      </m:r>
                    </m:sub>
                  </m:sSub>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z</m:t>
                      </m:r>
                    </m:sub>
                  </m:sSub>
                </m:e>
              </m:mr>
              <m:mr>
                <m:e>
                  <m:sSub>
                    <m:sSubPr>
                      <m:ctrlPr>
                        <w:rPr>
                          <w:rFonts w:ascii="Cambria Math" w:hAnsi="Cambria Math"/>
                          <w:i/>
                          <w:lang w:eastAsia="en-US"/>
                        </w:rPr>
                      </m:ctrlPr>
                    </m:sSubPr>
                    <m:e>
                      <m:r>
                        <w:rPr>
                          <w:rFonts w:ascii="Cambria Math" w:hAnsi="Cambria Math"/>
                          <w:lang w:eastAsia="en-US"/>
                        </w:rPr>
                        <m:t>F</m:t>
                      </m:r>
                    </m:e>
                    <m:sub>
                      <m:r>
                        <w:rPr>
                          <w:rFonts w:ascii="Cambria Math" w:hAnsi="Cambria Math"/>
                          <w:lang w:eastAsia="en-US"/>
                        </w:rPr>
                        <m:t>x</m:t>
                      </m:r>
                    </m:sub>
                  </m:sSub>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y</m:t>
                      </m:r>
                    </m:sub>
                  </m:sSub>
                  <m:r>
                    <w:rPr>
                      <w:rFonts w:ascii="Cambria Math" w:hAnsi="Cambria Math"/>
                      <w:lang w:val="en-US" w:eastAsia="en-US"/>
                    </w:rPr>
                    <m:t>-</m:t>
                  </m:r>
                  <m:sSub>
                    <m:sSubPr>
                      <m:ctrlPr>
                        <w:rPr>
                          <w:rFonts w:ascii="Cambria Math" w:hAnsi="Cambria Math"/>
                          <w:i/>
                          <w:lang w:eastAsia="en-US"/>
                        </w:rPr>
                      </m:ctrlPr>
                    </m:sSubPr>
                    <m:e>
                      <m:r>
                        <w:rPr>
                          <w:rFonts w:ascii="Cambria Math" w:hAnsi="Cambria Math"/>
                          <w:lang w:eastAsia="en-US"/>
                        </w:rPr>
                        <m:t>F</m:t>
                      </m:r>
                    </m:e>
                    <m:sub>
                      <m:r>
                        <w:rPr>
                          <w:rFonts w:ascii="Cambria Math" w:hAnsi="Cambria Math"/>
                          <w:lang w:eastAsia="en-US"/>
                        </w:rPr>
                        <m:t>y</m:t>
                      </m:r>
                    </m:sub>
                  </m:sSub>
                  <m:sSub>
                    <m:sSubPr>
                      <m:ctrlPr>
                        <w:rPr>
                          <w:rFonts w:ascii="Cambria Math" w:hAnsi="Cambria Math"/>
                          <w:i/>
                          <w:lang w:eastAsia="en-US"/>
                        </w:rPr>
                      </m:ctrlPr>
                    </m:sSubPr>
                    <m:e>
                      <m:r>
                        <w:rPr>
                          <w:rFonts w:ascii="Cambria Math" w:hAnsi="Cambria Math"/>
                          <w:lang w:eastAsia="en-US"/>
                        </w:rPr>
                        <m:t>l</m:t>
                      </m:r>
                    </m:e>
                    <m:sub>
                      <m:r>
                        <w:rPr>
                          <w:rFonts w:ascii="Cambria Math" w:hAnsi="Cambria Math"/>
                          <w:lang w:eastAsia="en-US"/>
                        </w:rPr>
                        <m:t>x</m:t>
                      </m:r>
                    </m:sub>
                  </m:sSub>
                </m:e>
              </m:mr>
            </m:m>
          </m:e>
        </m:d>
        <m:r>
          <w:rPr>
            <w:rFonts w:ascii="Cambria Math" w:hAnsi="Cambria Math"/>
            <w:lang w:val="en-US" w:eastAsia="en-US"/>
          </w:rPr>
          <m:t>=</m:t>
        </m:r>
        <m:d>
          <m:dPr>
            <m:begChr m:val="["/>
            <m:endChr m:val="]"/>
            <m:ctrlPr>
              <w:rPr>
                <w:rFonts w:ascii="Cambria Math" w:hAnsi="Cambria Math"/>
                <w:i/>
                <w:lang w:eastAsia="en-US"/>
              </w:rPr>
            </m:ctrlPr>
          </m:dPr>
          <m:e>
            <m:m>
              <m:mPr>
                <m:mcs>
                  <m:mc>
                    <m:mcPr>
                      <m:count m:val="1"/>
                      <m:mcJc m:val="center"/>
                    </m:mcPr>
                  </m:mc>
                </m:mcs>
                <m:ctrlPr>
                  <w:rPr>
                    <w:rFonts w:ascii="Cambria Math" w:hAnsi="Cambria Math"/>
                    <w:i/>
                    <w:lang w:eastAsia="en-US"/>
                  </w:rPr>
                </m:ctrlPr>
              </m:mPr>
              <m:mr>
                <m:e>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x</m:t>
                      </m:r>
                    </m:sub>
                  </m:sSub>
                </m:e>
              </m:mr>
              <m:mr>
                <m:e>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y</m:t>
                      </m:r>
                    </m:sub>
                  </m:sSub>
                </m:e>
              </m:mr>
              <m:mr>
                <m:e>
                  <m:sSub>
                    <m:sSubPr>
                      <m:ctrlPr>
                        <w:rPr>
                          <w:rFonts w:ascii="Cambria Math" w:hAnsi="Cambria Math"/>
                          <w:i/>
                          <w:lang w:eastAsia="en-US"/>
                        </w:rPr>
                      </m:ctrlPr>
                    </m:sSubPr>
                    <m:e>
                      <m:r>
                        <w:rPr>
                          <w:rFonts w:ascii="Cambria Math" w:hAnsi="Cambria Math"/>
                          <w:lang w:eastAsia="en-US"/>
                        </w:rPr>
                        <m:t>M</m:t>
                      </m:r>
                    </m:e>
                    <m:sub>
                      <m:r>
                        <w:rPr>
                          <w:rFonts w:ascii="Cambria Math" w:hAnsi="Cambria Math"/>
                          <w:lang w:eastAsia="en-US"/>
                        </w:rPr>
                        <m:t>z</m:t>
                      </m:r>
                    </m:sub>
                  </m:sSub>
                </m:e>
              </m:mr>
            </m:m>
          </m:e>
        </m:d>
      </m:oMath>
      <w:r w:rsidR="00604A83" w:rsidRPr="00750774">
        <w:rPr>
          <w:lang w:val="en-US"/>
        </w:rPr>
        <w:t xml:space="preserve">    (1)</w:t>
      </w:r>
    </w:p>
    <w:p w:rsidR="007801AC" w:rsidRDefault="0024724E" w:rsidP="0024724E">
      <w:r>
        <w:t xml:space="preserve">Tab. 1 shows identified factors and their percentage weighting for the load steps 20 N·m and 2000 N·m. Identical measurement uncertainty budgets </w:t>
      </w:r>
      <w:r w:rsidR="00473E88">
        <w:t>have</w:t>
      </w:r>
      <w:r>
        <w:t xml:space="preserve"> been established for each load step. According to the physical model, the measurement uncertainty (</w:t>
      </w:r>
      <w:r w:rsidR="00473E88" w:rsidRPr="00473E88">
        <w:t>k</w:t>
      </w:r>
      <w:r w:rsidR="00473E88">
        <w:rPr>
          <w:i/>
        </w:rPr>
        <w:t xml:space="preserve"> </w:t>
      </w:r>
      <w:r w:rsidR="006D0982">
        <w:t xml:space="preserve">= 2) for the minimum load step </w:t>
      </w:r>
      <w:r w:rsidR="00473E88" w:rsidRPr="00473E88">
        <w:rPr>
          <w:i/>
        </w:rPr>
        <w:t>M</w:t>
      </w:r>
      <w:r w:rsidR="00473E88" w:rsidRPr="00473E88">
        <w:rPr>
          <w:vertAlign w:val="subscript"/>
        </w:rPr>
        <w:t>z</w:t>
      </w:r>
      <w:r w:rsidR="00473E88">
        <w:t xml:space="preserve"> = (2</w:t>
      </w:r>
      <w:r w:rsidR="00473E88" w:rsidRPr="00473E88">
        <w:t>0</w:t>
      </w:r>
      <w:r w:rsidR="00473E88">
        <w:t xml:space="preserve"> ± 1.2·10</w:t>
      </w:r>
      <w:r w:rsidR="00473E88" w:rsidRPr="00473E88">
        <w:rPr>
          <w:vertAlign w:val="superscript"/>
        </w:rPr>
        <w:t>-3</w:t>
      </w:r>
      <w:r w:rsidR="00473E88">
        <w:t>)</w:t>
      </w:r>
      <w:r w:rsidR="00473E88" w:rsidRPr="0024724E">
        <w:t xml:space="preserve"> N·m</w:t>
      </w:r>
      <w:r w:rsidR="00473E88">
        <w:t xml:space="preserve"> </w:t>
      </w:r>
      <w:r>
        <w:t xml:space="preserve">and </w:t>
      </w:r>
      <w:r w:rsidR="0000028D">
        <w:t xml:space="preserve">  </w:t>
      </w:r>
      <w:r>
        <w:t xml:space="preserve">for the maximum load step </w:t>
      </w:r>
      <w:r w:rsidR="00473E88" w:rsidRPr="00473E88">
        <w:rPr>
          <w:i/>
        </w:rPr>
        <w:t>M</w:t>
      </w:r>
      <w:r w:rsidR="00473E88" w:rsidRPr="00473E88">
        <w:rPr>
          <w:vertAlign w:val="subscript"/>
        </w:rPr>
        <w:t>z</w:t>
      </w:r>
      <w:r w:rsidR="00473E88">
        <w:t xml:space="preserve"> = (</w:t>
      </w:r>
      <w:r w:rsidR="00473E88" w:rsidRPr="00473E88">
        <w:t>2000</w:t>
      </w:r>
      <w:r w:rsidR="00473E88">
        <w:t xml:space="preserve"> ± 0.084)</w:t>
      </w:r>
      <w:r w:rsidR="00473E88" w:rsidRPr="0024724E">
        <w:t xml:space="preserve"> N·m</w:t>
      </w:r>
      <w:r w:rsidR="00D9192B" w:rsidRPr="00EB45FF">
        <w:t xml:space="preserve">. </w:t>
      </w:r>
    </w:p>
    <w:p w:rsidR="004110A7" w:rsidRPr="00EB45FF" w:rsidRDefault="004110A7" w:rsidP="0024724E"/>
    <w:p w:rsidR="00937D8A" w:rsidRPr="00EB45FF" w:rsidRDefault="0024724E" w:rsidP="00352607">
      <w:pPr>
        <w:pStyle w:val="Level2Title"/>
      </w:pPr>
      <w:r>
        <w:t>Local gravitational acceleration</w:t>
      </w:r>
    </w:p>
    <w:p w:rsidR="00D9192B" w:rsidRPr="00EB45FF" w:rsidRDefault="0024724E" w:rsidP="00340C7C">
      <w:r w:rsidRPr="0024724E">
        <w:t>The local gravitational acceleration at the measuring station was determined by the Institute for Earth Measurement (</w:t>
      </w:r>
      <w:proofErr w:type="spellStart"/>
      <w:r w:rsidRPr="0024724E">
        <w:t>If</w:t>
      </w:r>
      <w:r w:rsidR="006D0982">
        <w:t>E</w:t>
      </w:r>
      <w:proofErr w:type="spellEnd"/>
      <w:r w:rsidR="006D0982">
        <w:t xml:space="preserve">), Hannover, as being </w:t>
      </w:r>
      <w:proofErr w:type="spellStart"/>
      <w:r w:rsidR="004F7045" w:rsidRPr="004F7045">
        <w:rPr>
          <w:i/>
        </w:rPr>
        <w:t>g</w:t>
      </w:r>
      <w:r w:rsidR="004F7045" w:rsidRPr="004F7045">
        <w:rPr>
          <w:vertAlign w:val="subscript"/>
        </w:rPr>
        <w:t>loc</w:t>
      </w:r>
      <w:proofErr w:type="spellEnd"/>
      <w:r w:rsidR="004F7045">
        <w:t> = </w:t>
      </w:r>
      <w:r w:rsidR="006D0982">
        <w:t>9.812524 </w:t>
      </w:r>
      <w:r w:rsidRPr="0024724E">
        <w:t>ms</w:t>
      </w:r>
      <w:r w:rsidRPr="00AE65FA">
        <w:rPr>
          <w:vertAlign w:val="superscript"/>
        </w:rPr>
        <w:t>-2</w:t>
      </w:r>
      <w:r w:rsidRPr="0024724E">
        <w:t xml:space="preserve"> with an expanded measurement uncertainty (</w:t>
      </w:r>
      <w:r w:rsidRPr="00AE65FA">
        <w:rPr>
          <w:i/>
        </w:rPr>
        <w:t>k</w:t>
      </w:r>
      <w:r w:rsidR="006D0982">
        <w:t xml:space="preserve"> = 2) of 10 </w:t>
      </w:r>
      <w:r w:rsidRPr="0024724E">
        <w:t>µ</w:t>
      </w:r>
      <w:r w:rsidR="00473E88">
        <w:t xml:space="preserve"> </w:t>
      </w:r>
      <w:r w:rsidRPr="0024724E">
        <w:t>ms</w:t>
      </w:r>
      <w:r w:rsidRPr="00AE65FA">
        <w:rPr>
          <w:vertAlign w:val="superscript"/>
        </w:rPr>
        <w:t>-2</w:t>
      </w:r>
      <w:r w:rsidRPr="0024724E">
        <w:t>.</w:t>
      </w:r>
    </w:p>
    <w:p w:rsidR="00D9192B" w:rsidRPr="00EB45FF" w:rsidRDefault="00AE65FA" w:rsidP="00456568">
      <w:pPr>
        <w:pStyle w:val="Level2Title"/>
        <w:keepNext/>
      </w:pPr>
      <w:r>
        <w:lastRenderedPageBreak/>
        <w:t>Density and masses of the weight</w:t>
      </w:r>
    </w:p>
    <w:p w:rsidR="00AE65FA" w:rsidRDefault="006E7CA5" w:rsidP="00AE65FA">
      <w:r>
        <w:t xml:space="preserve">One set of weights includes the following load steps </w:t>
      </w:r>
      <w:r w:rsidR="005955E4">
        <w:t>1 </w:t>
      </w:r>
      <w:r w:rsidR="005955E4" w:rsidRPr="005955E4">
        <w:t>×</w:t>
      </w:r>
      <w:r w:rsidR="005955E4">
        <w:t> 10 N, 2</w:t>
      </w:r>
      <w:r w:rsidR="005955E4">
        <w:t> </w:t>
      </w:r>
      <w:r w:rsidR="005955E4" w:rsidRPr="005955E4">
        <w:t>×</w:t>
      </w:r>
      <w:r w:rsidR="005955E4">
        <w:t> </w:t>
      </w:r>
      <w:r w:rsidR="005955E4">
        <w:t>2</w:t>
      </w:r>
      <w:r w:rsidR="005955E4">
        <w:t>0 N</w:t>
      </w:r>
      <w:r w:rsidR="005955E4">
        <w:t xml:space="preserve">, </w:t>
      </w:r>
      <w:r w:rsidR="005955E4">
        <w:t>1 </w:t>
      </w:r>
      <w:r w:rsidR="005955E4" w:rsidRPr="005955E4">
        <w:t>×</w:t>
      </w:r>
      <w:r w:rsidR="005955E4">
        <w:t> </w:t>
      </w:r>
      <w:r w:rsidR="005955E4">
        <w:t>5</w:t>
      </w:r>
      <w:r w:rsidR="005955E4">
        <w:t>0 N</w:t>
      </w:r>
      <w:r w:rsidR="005955E4">
        <w:t>, 3</w:t>
      </w:r>
      <w:r w:rsidR="005955E4">
        <w:t> </w:t>
      </w:r>
      <w:r w:rsidR="005955E4" w:rsidRPr="005955E4">
        <w:t>×</w:t>
      </w:r>
      <w:r w:rsidR="005955E4">
        <w:t> 1</w:t>
      </w:r>
      <w:r w:rsidR="005955E4">
        <w:t>0</w:t>
      </w:r>
      <w:r w:rsidR="005955E4">
        <w:t>0 N</w:t>
      </w:r>
      <w:r w:rsidR="005955E4">
        <w:t xml:space="preserve"> and 3</w:t>
      </w:r>
      <w:r w:rsidR="005955E4">
        <w:t> </w:t>
      </w:r>
      <w:r w:rsidR="005955E4" w:rsidRPr="005955E4">
        <w:t>×</w:t>
      </w:r>
      <w:r w:rsidR="005955E4">
        <w:t> </w:t>
      </w:r>
      <w:r w:rsidR="005955E4">
        <w:t>20</w:t>
      </w:r>
      <w:r w:rsidR="005955E4">
        <w:t>0 N</w:t>
      </w:r>
      <w:r>
        <w:t xml:space="preserve">. </w:t>
      </w:r>
      <w:r w:rsidR="00AE65FA" w:rsidRPr="00AE65FA">
        <w:t>The density of the material used for the cylindrical wei</w:t>
      </w:r>
      <w:r w:rsidR="006D0982">
        <w:t xml:space="preserve">ghts can be indicated as </w:t>
      </w:r>
      <w:r w:rsidR="004F7045" w:rsidRPr="004F7045">
        <w:rPr>
          <w:rFonts w:ascii="Symbol" w:hAnsi="Symbol"/>
          <w:i/>
        </w:rPr>
        <w:t></w:t>
      </w:r>
      <w:r w:rsidR="004F7045" w:rsidRPr="004F7045">
        <w:rPr>
          <w:vertAlign w:val="subscript"/>
        </w:rPr>
        <w:t>m</w:t>
      </w:r>
      <w:r w:rsidR="004F7045">
        <w:t> = </w:t>
      </w:r>
      <w:r w:rsidR="006D0982">
        <w:t>7979.7 </w:t>
      </w:r>
      <w:r w:rsidR="00AE65FA" w:rsidRPr="00AE65FA">
        <w:t>kg</w:t>
      </w:r>
      <w:r w:rsidR="00473E88">
        <w:t xml:space="preserve"> </w:t>
      </w:r>
      <w:r w:rsidR="00AE65FA" w:rsidRPr="00AE65FA">
        <w:t>m</w:t>
      </w:r>
      <w:r w:rsidR="00AE65FA" w:rsidRPr="00AE65FA">
        <w:rPr>
          <w:vertAlign w:val="superscript"/>
        </w:rPr>
        <w:t>-3</w:t>
      </w:r>
      <w:r w:rsidR="006D0982">
        <w:t> </w:t>
      </w:r>
      <w:r w:rsidR="00AE65FA">
        <w:t>±</w:t>
      </w:r>
      <w:r w:rsidR="006D0982">
        <w:t> </w:t>
      </w:r>
      <w:r w:rsidR="00AE65FA">
        <w:t>2.0 kg</w:t>
      </w:r>
      <w:r w:rsidR="00473E88">
        <w:t xml:space="preserve"> </w:t>
      </w:r>
      <w:r w:rsidR="00AE65FA">
        <w:t>m</w:t>
      </w:r>
      <w:r w:rsidR="00AE65FA" w:rsidRPr="00AE65FA">
        <w:rPr>
          <w:vertAlign w:val="superscript"/>
        </w:rPr>
        <w:t>-3</w:t>
      </w:r>
      <w:r w:rsidR="00AE65FA" w:rsidRPr="00AE65FA">
        <w:t xml:space="preserve"> (</w:t>
      </w:r>
      <w:r w:rsidR="00AE65FA" w:rsidRPr="00473E88">
        <w:t>k</w:t>
      </w:r>
      <w:r w:rsidR="006D0982">
        <w:rPr>
          <w:i/>
        </w:rPr>
        <w:t> </w:t>
      </w:r>
      <w:r w:rsidR="00AE65FA" w:rsidRPr="00AE65FA">
        <w:t>=</w:t>
      </w:r>
      <w:r w:rsidR="006D0982">
        <w:t> </w:t>
      </w:r>
      <w:r w:rsidR="00AE65FA" w:rsidRPr="00AE65FA">
        <w:t>2). The uncertainty components (</w:t>
      </w:r>
      <w:r w:rsidR="00AE65FA" w:rsidRPr="00E01608">
        <w:t>k</w:t>
      </w:r>
      <w:r w:rsidR="006D0982">
        <w:t> </w:t>
      </w:r>
      <w:r w:rsidR="00AE65FA" w:rsidRPr="00AE65FA">
        <w:t>=</w:t>
      </w:r>
      <w:r w:rsidR="006D0982">
        <w:t> </w:t>
      </w:r>
      <w:r w:rsidR="00AE65FA" w:rsidRPr="00AE65FA">
        <w:t xml:space="preserve">2) </w:t>
      </w:r>
      <w:r w:rsidR="006D0982">
        <w:t xml:space="preserve">lie for all masses </w:t>
      </w:r>
      <w:r w:rsidR="004F7045" w:rsidRPr="004F7045">
        <w:rPr>
          <w:i/>
        </w:rPr>
        <w:t>m</w:t>
      </w:r>
      <w:r w:rsidR="004F7045" w:rsidRPr="004F7045">
        <w:rPr>
          <w:vertAlign w:val="subscript"/>
        </w:rPr>
        <w:t>m</w:t>
      </w:r>
      <w:r w:rsidR="004F7045">
        <w:t xml:space="preserve"> </w:t>
      </w:r>
      <w:r w:rsidR="006D0982">
        <w:t>in a range </w:t>
      </w:r>
      <w:r w:rsidR="0000028D">
        <w:t>&lt; </w:t>
      </w:r>
      <w:r w:rsidR="00AE65FA" w:rsidRPr="00AE65FA">
        <w:t>5·10</w:t>
      </w:r>
      <w:r w:rsidR="00AE65FA" w:rsidRPr="00AE65FA">
        <w:rPr>
          <w:vertAlign w:val="superscript"/>
        </w:rPr>
        <w:t>-6</w:t>
      </w:r>
      <w:r w:rsidR="00AE65FA" w:rsidRPr="00AE65FA">
        <w:t xml:space="preserve"> kg and are computed separately for each load step.</w:t>
      </w:r>
      <w:r w:rsidR="005D535D">
        <w:t xml:space="preserve"> </w:t>
      </w:r>
      <w:r w:rsidR="00AE65FA" w:rsidRPr="00AE65FA">
        <w:t xml:space="preserve"> The contribution to the measurement uncertainty budget never exceeds 1.33 %.</w:t>
      </w:r>
    </w:p>
    <w:p w:rsidR="00AE65FA" w:rsidRPr="00EB45FF" w:rsidRDefault="00AE65FA" w:rsidP="00AE65FA">
      <w:pPr>
        <w:pStyle w:val="Level2Title"/>
        <w:keepNext/>
      </w:pPr>
      <w:r>
        <w:t>Environment</w:t>
      </w:r>
    </w:p>
    <w:p w:rsidR="00AE65FA" w:rsidRDefault="00AE65FA" w:rsidP="00AE65FA">
      <w:r w:rsidRPr="00AE65FA">
        <w:t xml:space="preserve">For the determination of the acting gravitational force, a buoyancy correction (2) was applied. The measuring facility is located in an air-conditioned hall. Changes in the ambient conditions are minimum. The actual values for the air pressure, the humidity and the temperature are acquired to compute the MUB. Their influence on the </w:t>
      </w:r>
      <w:r w:rsidR="006D0982">
        <w:t>MUB, however, lies in a range &lt; </w:t>
      </w:r>
      <w:r w:rsidRPr="00AE65FA">
        <w:t>0.01 %. The ambient parameters from Tab.</w:t>
      </w:r>
      <w:r w:rsidR="004F7045">
        <w:t xml:space="preserve"> 1 for the MUB are the humidity </w:t>
      </w:r>
      <w:proofErr w:type="spellStart"/>
      <w:r w:rsidR="004F7045" w:rsidRPr="004F7045">
        <w:rPr>
          <w:i/>
        </w:rPr>
        <w:t>h</w:t>
      </w:r>
      <w:r w:rsidR="004F7045" w:rsidRPr="004F7045">
        <w:rPr>
          <w:vertAlign w:val="subscript"/>
        </w:rPr>
        <w:t>L</w:t>
      </w:r>
      <w:proofErr w:type="spellEnd"/>
      <w:r w:rsidR="004F7045">
        <w:rPr>
          <w:vertAlign w:val="subscript"/>
        </w:rPr>
        <w:t> </w:t>
      </w:r>
      <w:r w:rsidR="004F7045" w:rsidRPr="004F7045">
        <w:t>=</w:t>
      </w:r>
      <w:r w:rsidR="00E01608">
        <w:t> 42 % </w:t>
      </w:r>
      <w:r w:rsidR="004F7045">
        <w:t>±</w:t>
      </w:r>
      <w:r w:rsidR="00E01608">
        <w:t> </w:t>
      </w:r>
      <w:r w:rsidR="004F7045">
        <w:t>5</w:t>
      </w:r>
      <w:r w:rsidR="00E01608">
        <w:t> </w:t>
      </w:r>
      <w:r w:rsidR="004F7045">
        <w:t>%, the temperature</w:t>
      </w:r>
      <w:r w:rsidRPr="00AE65FA">
        <w:t xml:space="preserve"> </w:t>
      </w:r>
      <w:r w:rsidR="004F7045" w:rsidRPr="004F7045">
        <w:rPr>
          <w:i/>
        </w:rPr>
        <w:t>T</w:t>
      </w:r>
      <w:r w:rsidR="004F7045" w:rsidRPr="004F7045">
        <w:rPr>
          <w:vertAlign w:val="subscript"/>
        </w:rPr>
        <w:t>L</w:t>
      </w:r>
      <w:r w:rsidR="004F7045">
        <w:t> = 21 °C ± 0.1 C°, and the ambient pressure</w:t>
      </w:r>
      <w:r w:rsidRPr="00AE65FA">
        <w:t xml:space="preserve"> </w:t>
      </w:r>
      <w:proofErr w:type="spellStart"/>
      <w:proofErr w:type="gramStart"/>
      <w:r w:rsidR="004F7045" w:rsidRPr="004F7045">
        <w:rPr>
          <w:i/>
        </w:rPr>
        <w:t>p</w:t>
      </w:r>
      <w:r w:rsidR="004F7045" w:rsidRPr="004F7045">
        <w:rPr>
          <w:vertAlign w:val="subscript"/>
        </w:rPr>
        <w:t>L</w:t>
      </w:r>
      <w:proofErr w:type="spellEnd"/>
      <w:proofErr w:type="gramEnd"/>
      <w:r w:rsidR="004F7045">
        <w:t> = </w:t>
      </w:r>
      <w:r w:rsidRPr="00AE65FA">
        <w:t>10</w:t>
      </w:r>
      <w:r w:rsidR="004F7045">
        <w:t>03.4 </w:t>
      </w:r>
      <w:r w:rsidR="004F7045" w:rsidRPr="00E01608">
        <w:t>h</w:t>
      </w:r>
      <w:r w:rsidR="00E01608">
        <w:t> </w:t>
      </w:r>
      <w:r w:rsidR="004F7045" w:rsidRPr="00E01608">
        <w:t>Pa</w:t>
      </w:r>
      <w:r w:rsidR="004F7045">
        <w:t> </w:t>
      </w:r>
      <w:r w:rsidRPr="00AE65FA">
        <w:t>± 2 h</w:t>
      </w:r>
      <w:r w:rsidR="00E01608">
        <w:t xml:space="preserve"> </w:t>
      </w:r>
      <w:r w:rsidRPr="00AE65FA">
        <w:t>Pa.</w:t>
      </w:r>
    </w:p>
    <w:p w:rsidR="005E4CF3" w:rsidRDefault="005E4CF3" w:rsidP="00AE65FA"/>
    <w:p w:rsidR="00604A83" w:rsidRPr="00750774" w:rsidRDefault="00604A83" w:rsidP="00604A83">
      <w:pPr>
        <w:pStyle w:val="Figure"/>
        <w:jc w:val="both"/>
        <w:rPr>
          <w:lang w:val="en-US"/>
        </w:rPr>
      </w:pPr>
      <w:r>
        <w:rPr>
          <w:lang w:val="en-US"/>
        </w:rPr>
        <w:t xml:space="preserve">     </w:t>
      </w:r>
      <w:r w:rsidRPr="00750774">
        <w:rPr>
          <w:lang w:val="en-US"/>
        </w:rPr>
        <w:t xml:space="preserve">  </w:t>
      </w:r>
      <m:oMath>
        <m:r>
          <w:rPr>
            <w:rFonts w:ascii="Cambria Math" w:hAnsi="Cambria Math"/>
            <w:lang w:val="en-US"/>
          </w:rPr>
          <m:t xml:space="preserve">    </m:t>
        </m:r>
        <m:sSub>
          <m:sSubPr>
            <m:ctrlPr>
              <w:rPr>
                <w:rFonts w:ascii="Cambria Math" w:hAnsi="Cambria Math"/>
                <w:i/>
              </w:rPr>
            </m:ctrlPr>
          </m:sSubPr>
          <m:e>
            <m:r>
              <w:rPr>
                <w:rFonts w:ascii="Cambria Math" w:hAnsi="Cambria Math"/>
              </w:rPr>
              <m:t>F</m:t>
            </m:r>
          </m:e>
          <m:sub>
            <m:r>
              <w:rPr>
                <w:rFonts w:ascii="Cambria Math" w:hAnsi="Cambria Math"/>
              </w:rPr>
              <m:t>x</m:t>
            </m:r>
          </m:sub>
        </m:sSub>
        <m:r>
          <w:rPr>
            <w:rFonts w:ascii="Cambria Math" w:hAnsi="Cambria Math"/>
            <w:lang w:val="en-US"/>
          </w:rPr>
          <m:t>=</m:t>
        </m:r>
        <m:sSub>
          <m:sSubPr>
            <m:ctrlPr>
              <w:rPr>
                <w:rFonts w:ascii="Cambria Math" w:hAnsi="Cambria Math"/>
                <w:i/>
              </w:rPr>
            </m:ctrlPr>
          </m:sSubPr>
          <m:e>
            <m:r>
              <w:rPr>
                <w:rFonts w:ascii="Cambria Math" w:hAnsi="Cambria Math"/>
              </w:rPr>
              <m:t>m</m:t>
            </m:r>
          </m:e>
          <m:sub>
            <m:r>
              <w:rPr>
                <w:rFonts w:ascii="Cambria Math" w:hAnsi="Cambria Math"/>
              </w:rPr>
              <m:t>m</m:t>
            </m:r>
          </m:sub>
        </m:sSub>
        <m:r>
          <w:rPr>
            <w:rFonts w:ascii="Cambria Math" w:hAnsi="Cambria Math"/>
            <w:lang w:val="en-US"/>
          </w:rPr>
          <m:t>·</m:t>
        </m:r>
        <m:sSub>
          <m:sSubPr>
            <m:ctrlPr>
              <w:rPr>
                <w:rFonts w:ascii="Cambria Math" w:hAnsi="Cambria Math"/>
                <w:i/>
              </w:rPr>
            </m:ctrlPr>
          </m:sSubPr>
          <m:e>
            <m:r>
              <w:rPr>
                <w:rFonts w:ascii="Cambria Math" w:hAnsi="Cambria Math"/>
              </w:rPr>
              <m:t>g</m:t>
            </m:r>
          </m:e>
          <m:sub>
            <m:r>
              <w:rPr>
                <w:rFonts w:ascii="Cambria Math" w:hAnsi="Cambria Math"/>
              </w:rPr>
              <m:t>loc</m:t>
            </m:r>
          </m:sub>
        </m:sSub>
        <m:r>
          <w:rPr>
            <w:rFonts w:ascii="Cambria Math" w:hAnsi="Cambria Math"/>
            <w:lang w:val="en-US"/>
          </w:rPr>
          <m:t>·</m:t>
        </m:r>
        <m:d>
          <m:dPr>
            <m:ctrlPr>
              <w:rPr>
                <w:rFonts w:ascii="Cambria Math" w:hAnsi="Cambria Math"/>
                <w:i/>
              </w:rPr>
            </m:ctrlPr>
          </m:dPr>
          <m:e>
            <m:r>
              <w:rPr>
                <w:rFonts w:ascii="Cambria Math" w:hAnsi="Cambria Math"/>
                <w:lang w:val="en-US"/>
              </w:rPr>
              <m:t>1-</m:t>
            </m:r>
            <m:f>
              <m:fPr>
                <m:ctrlPr>
                  <w:rPr>
                    <w:rFonts w:ascii="Cambria Math" w:hAnsi="Cambria Math"/>
                    <w:i/>
                  </w:rPr>
                </m:ctrlPr>
              </m:fPr>
              <m:num>
                <m:r>
                  <w:rPr>
                    <w:rFonts w:ascii="Cambria Math" w:hAnsi="Cambria Math"/>
                    <w:lang w:val="en-US"/>
                  </w:rPr>
                  <m:t>0,348·</m:t>
                </m:r>
                <m:sSub>
                  <m:sSubPr>
                    <m:ctrlPr>
                      <w:rPr>
                        <w:rFonts w:ascii="Cambria Math" w:hAnsi="Cambria Math"/>
                        <w:i/>
                      </w:rPr>
                    </m:ctrlPr>
                  </m:sSubPr>
                  <m:e>
                    <m:r>
                      <w:rPr>
                        <w:rFonts w:ascii="Cambria Math" w:hAnsi="Cambria Math"/>
                      </w:rPr>
                      <m:t>p</m:t>
                    </m:r>
                  </m:e>
                  <m:sub>
                    <m:r>
                      <w:rPr>
                        <w:rFonts w:ascii="Cambria Math" w:hAnsi="Cambria Math"/>
                      </w:rPr>
                      <m:t>L</m:t>
                    </m:r>
                  </m:sub>
                </m:sSub>
                <m:r>
                  <w:rPr>
                    <w:rFonts w:ascii="Cambria Math" w:hAnsi="Cambria Math"/>
                    <w:lang w:val="en-US"/>
                  </w:rPr>
                  <m:t>-0,009·</m:t>
                </m:r>
                <m:sSub>
                  <m:sSubPr>
                    <m:ctrlPr>
                      <w:rPr>
                        <w:rFonts w:ascii="Cambria Math" w:hAnsi="Cambria Math"/>
                        <w:i/>
                      </w:rPr>
                    </m:ctrlPr>
                  </m:sSubPr>
                  <m:e>
                    <m:r>
                      <w:rPr>
                        <w:rFonts w:ascii="Cambria Math" w:hAnsi="Cambria Math"/>
                        <w:lang w:val="en-US"/>
                      </w:rPr>
                      <m:t>h</m:t>
                    </m:r>
                  </m:e>
                  <m:sub>
                    <m:r>
                      <w:rPr>
                        <w:rFonts w:ascii="Cambria Math" w:hAnsi="Cambria Math"/>
                      </w:rPr>
                      <m:t>L</m:t>
                    </m:r>
                  </m:sub>
                </m:sSub>
                <m:r>
                  <w:rPr>
                    <w:rFonts w:ascii="Cambria Math" w:hAnsi="Cambria Math"/>
                    <w:lang w:val="en-US"/>
                  </w:rPr>
                  <m:t>·</m:t>
                </m:r>
                <m:sSup>
                  <m:sSupPr>
                    <m:ctrlPr>
                      <w:rPr>
                        <w:rFonts w:ascii="Cambria Math" w:hAnsi="Cambria Math"/>
                        <w:i/>
                      </w:rPr>
                    </m:ctrlPr>
                  </m:sSupPr>
                  <m:e>
                    <m:r>
                      <w:rPr>
                        <w:rFonts w:ascii="Cambria Math" w:hAnsi="Cambria Math"/>
                      </w:rPr>
                      <m:t>e</m:t>
                    </m:r>
                  </m:e>
                  <m:sup>
                    <m:r>
                      <w:rPr>
                        <w:rFonts w:ascii="Cambria Math" w:hAnsi="Cambria Math"/>
                        <w:lang w:val="en-US"/>
                      </w:rPr>
                      <m:t>0,06·</m:t>
                    </m:r>
                    <m:sSub>
                      <m:sSubPr>
                        <m:ctrlPr>
                          <w:rPr>
                            <w:rFonts w:ascii="Cambria Math" w:hAnsi="Cambria Math"/>
                            <w:i/>
                          </w:rPr>
                        </m:ctrlPr>
                      </m:sSubPr>
                      <m:e>
                        <m:r>
                          <w:rPr>
                            <w:rFonts w:ascii="Cambria Math" w:hAnsi="Cambria Math"/>
                          </w:rPr>
                          <m:t>T</m:t>
                        </m:r>
                      </m:e>
                      <m:sub>
                        <m:r>
                          <w:rPr>
                            <w:rFonts w:ascii="Cambria Math" w:hAnsi="Cambria Math"/>
                          </w:rPr>
                          <m:t>L</m:t>
                        </m:r>
                      </m:sub>
                    </m:sSub>
                  </m:sup>
                </m:sSup>
              </m:num>
              <m:den>
                <m:d>
                  <m:dPr>
                    <m:ctrlPr>
                      <w:rPr>
                        <w:rFonts w:ascii="Cambria Math" w:hAnsi="Cambria Math"/>
                        <w:i/>
                      </w:rPr>
                    </m:ctrlPr>
                  </m:dPr>
                  <m:e>
                    <m:r>
                      <w:rPr>
                        <w:rFonts w:ascii="Cambria Math" w:hAnsi="Cambria Math"/>
                        <w:lang w:val="en-US"/>
                      </w:rPr>
                      <m:t>273,15+</m:t>
                    </m:r>
                    <m:sSub>
                      <m:sSubPr>
                        <m:ctrlPr>
                          <w:rPr>
                            <w:rFonts w:ascii="Cambria Math" w:hAnsi="Cambria Math"/>
                            <w:i/>
                          </w:rPr>
                        </m:ctrlPr>
                      </m:sSubPr>
                      <m:e>
                        <m:r>
                          <w:rPr>
                            <w:rFonts w:ascii="Cambria Math" w:hAnsi="Cambria Math"/>
                          </w:rPr>
                          <m:t>T</m:t>
                        </m:r>
                      </m:e>
                      <m:sub>
                        <m:r>
                          <w:rPr>
                            <w:rFonts w:ascii="Cambria Math" w:hAnsi="Cambria Math"/>
                          </w:rPr>
                          <m:t>L</m:t>
                        </m:r>
                      </m:sub>
                    </m:sSub>
                  </m:e>
                </m:d>
                <m:r>
                  <w:rPr>
                    <w:rFonts w:ascii="Cambria Math" w:hAnsi="Cambria Math"/>
                    <w:lang w:val="en-US"/>
                  </w:rPr>
                  <m:t>·</m:t>
                </m:r>
                <m:sSub>
                  <m:sSubPr>
                    <m:ctrlPr>
                      <w:rPr>
                        <w:rFonts w:ascii="Cambria Math" w:hAnsi="Cambria Math"/>
                        <w:i/>
                      </w:rPr>
                    </m:ctrlPr>
                  </m:sSubPr>
                  <m:e>
                    <m:r>
                      <w:rPr>
                        <w:rFonts w:ascii="Cambria Math" w:hAnsi="Cambria Math"/>
                      </w:rPr>
                      <m:t>ρ</m:t>
                    </m:r>
                  </m:e>
                  <m:sub>
                    <m:r>
                      <w:rPr>
                        <w:rFonts w:ascii="Cambria Math" w:hAnsi="Cambria Math"/>
                      </w:rPr>
                      <m:t>m</m:t>
                    </m:r>
                  </m:sub>
                </m:sSub>
              </m:den>
            </m:f>
          </m:e>
        </m:d>
      </m:oMath>
      <w:r w:rsidRPr="00750774">
        <w:rPr>
          <w:lang w:val="en-US"/>
        </w:rPr>
        <w:t xml:space="preserve">              (2)</w:t>
      </w:r>
    </w:p>
    <w:p w:rsidR="008B3C73" w:rsidRDefault="008B3C73" w:rsidP="00AE65FA"/>
    <w:p w:rsidR="00AE65FA" w:rsidRPr="00EB45FF" w:rsidRDefault="00AE65FA" w:rsidP="00AE65FA">
      <w:pPr>
        <w:pStyle w:val="Level2Title"/>
        <w:keepNext/>
      </w:pPr>
      <w:r>
        <w:t>Lever length and thermal expansion</w:t>
      </w:r>
    </w:p>
    <w:p w:rsidR="006D0982" w:rsidRPr="00EB45FF" w:rsidRDefault="006D0982" w:rsidP="006D0982">
      <w:pPr>
        <w:pStyle w:val="TableCaption"/>
        <w:framePr w:w="5056" w:vSpace="284" w:wrap="notBeside" w:vAnchor="page" w:hAnchor="page" w:x="779" w:y="1074"/>
        <w:spacing w:before="0"/>
      </w:pPr>
      <w:r w:rsidRPr="00EB45FF">
        <w:t xml:space="preserve">Table 1. </w:t>
      </w:r>
      <w:r w:rsidRPr="00AC4FFC">
        <w:t>Measurement uncertainty budget for 20 N·m and 2000 N·m</w:t>
      </w:r>
    </w:p>
    <w:tbl>
      <w:tblPr>
        <w:tblW w:w="4907"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701"/>
        <w:gridCol w:w="283"/>
        <w:gridCol w:w="1135"/>
        <w:gridCol w:w="142"/>
        <w:gridCol w:w="1701"/>
      </w:tblGrid>
      <w:tr w:rsidR="006D0982" w:rsidRPr="00EB45FF" w:rsidTr="00E01608">
        <w:trPr>
          <w:trHeight w:val="410"/>
          <w:jc w:val="center"/>
        </w:trPr>
        <w:tc>
          <w:tcPr>
            <w:tcW w:w="1714" w:type="pct"/>
            <w:vMerge w:val="restart"/>
            <w:tcBorders>
              <w:top w:val="single" w:sz="4" w:space="0" w:color="auto"/>
              <w:left w:val="nil"/>
              <w:right w:val="nil"/>
            </w:tcBorders>
            <w:vAlign w:val="center"/>
          </w:tcPr>
          <w:p w:rsidR="006D0982" w:rsidRPr="00EB45FF" w:rsidRDefault="006D0982" w:rsidP="006D0982">
            <w:pPr>
              <w:framePr w:w="5056" w:vSpace="284" w:wrap="notBeside" w:vAnchor="page" w:hAnchor="page" w:x="779" w:y="1074"/>
              <w:jc w:val="left"/>
              <w:rPr>
                <w:rFonts w:ascii="Calibri" w:hAnsi="Calibri" w:cs="Calibri"/>
                <w:b/>
                <w:sz w:val="16"/>
                <w:szCs w:val="16"/>
              </w:rPr>
            </w:pPr>
            <w:r w:rsidRPr="008B3C73">
              <w:rPr>
                <w:rFonts w:ascii="Calibri" w:hAnsi="Calibri" w:cs="Calibri"/>
                <w:b/>
                <w:sz w:val="16"/>
                <w:szCs w:val="16"/>
              </w:rPr>
              <w:t>Influence quantities</w:t>
            </w:r>
          </w:p>
        </w:tc>
        <w:tc>
          <w:tcPr>
            <w:tcW w:w="3286" w:type="pct"/>
            <w:gridSpan w:val="4"/>
            <w:tcBorders>
              <w:top w:val="single" w:sz="4" w:space="0" w:color="auto"/>
              <w:left w:val="nil"/>
              <w:bottom w:val="nil"/>
              <w:right w:val="nil"/>
            </w:tcBorders>
            <w:vAlign w:val="center"/>
          </w:tcPr>
          <w:p w:rsidR="006D0982" w:rsidRPr="00EB45FF" w:rsidRDefault="006D0982" w:rsidP="006D0982">
            <w:pPr>
              <w:framePr w:w="5056" w:vSpace="284" w:wrap="notBeside" w:vAnchor="page" w:hAnchor="page" w:x="779" w:y="1074"/>
              <w:jc w:val="center"/>
              <w:rPr>
                <w:rFonts w:ascii="Calibri" w:hAnsi="Calibri" w:cs="Calibri"/>
                <w:b/>
                <w:sz w:val="16"/>
                <w:szCs w:val="16"/>
              </w:rPr>
            </w:pPr>
            <w:r>
              <w:rPr>
                <w:rFonts w:ascii="Calibri" w:hAnsi="Calibri" w:cs="Calibri"/>
                <w:b/>
                <w:sz w:val="16"/>
                <w:szCs w:val="16"/>
              </w:rPr>
              <w:t>Index of MUB</w:t>
            </w:r>
          </w:p>
        </w:tc>
      </w:tr>
      <w:tr w:rsidR="006D0982" w:rsidRPr="00EB45FF" w:rsidTr="00E01608">
        <w:trPr>
          <w:trHeight w:val="410"/>
          <w:jc w:val="center"/>
        </w:trPr>
        <w:tc>
          <w:tcPr>
            <w:tcW w:w="1714" w:type="pct"/>
            <w:vMerge/>
            <w:tcBorders>
              <w:left w:val="nil"/>
              <w:bottom w:val="single" w:sz="4" w:space="0" w:color="auto"/>
              <w:right w:val="nil"/>
            </w:tcBorders>
            <w:vAlign w:val="center"/>
          </w:tcPr>
          <w:p w:rsidR="006D0982" w:rsidRPr="008B3C73" w:rsidRDefault="006D0982" w:rsidP="006D0982">
            <w:pPr>
              <w:framePr w:w="5056" w:vSpace="284" w:wrap="notBeside" w:vAnchor="page" w:hAnchor="page" w:x="779" w:y="1074"/>
              <w:jc w:val="left"/>
              <w:rPr>
                <w:rFonts w:ascii="Calibri" w:hAnsi="Calibri" w:cs="Calibri"/>
                <w:b/>
                <w:sz w:val="16"/>
                <w:szCs w:val="16"/>
              </w:rPr>
            </w:pPr>
          </w:p>
        </w:tc>
        <w:tc>
          <w:tcPr>
            <w:tcW w:w="1572" w:type="pct"/>
            <w:gridSpan w:val="3"/>
            <w:tcBorders>
              <w:top w:val="nil"/>
              <w:left w:val="nil"/>
              <w:bottom w:val="nil"/>
              <w:right w:val="nil"/>
            </w:tcBorders>
            <w:vAlign w:val="center"/>
          </w:tcPr>
          <w:p w:rsidR="006D0982" w:rsidRPr="00EB45FF" w:rsidRDefault="00E01608" w:rsidP="006D0982">
            <w:pPr>
              <w:framePr w:w="5056" w:vSpace="284" w:wrap="notBeside" w:vAnchor="page" w:hAnchor="page" w:x="779" w:y="1074"/>
              <w:jc w:val="center"/>
              <w:rPr>
                <w:rFonts w:ascii="Calibri" w:hAnsi="Calibri" w:cs="Calibri"/>
                <w:b/>
                <w:sz w:val="16"/>
                <w:szCs w:val="16"/>
              </w:rPr>
            </w:pPr>
            <w:r w:rsidRPr="00E01608">
              <w:rPr>
                <w:rFonts w:ascii="Calibri" w:hAnsi="Calibri" w:cs="Calibri"/>
                <w:b/>
                <w:sz w:val="16"/>
                <w:szCs w:val="16"/>
              </w:rPr>
              <w:t xml:space="preserve"> </w:t>
            </w:r>
            <w:r>
              <w:rPr>
                <w:rFonts w:ascii="Calibri" w:hAnsi="Calibri" w:cs="Calibri"/>
                <w:b/>
                <w:sz w:val="16"/>
                <w:szCs w:val="16"/>
              </w:rPr>
              <w:t xml:space="preserve"> </w:t>
            </w:r>
            <w:r w:rsidRPr="00E01608">
              <w:rPr>
                <w:rFonts w:ascii="Calibri" w:hAnsi="Calibri" w:cs="Calibri"/>
                <w:b/>
                <w:sz w:val="16"/>
                <w:szCs w:val="16"/>
              </w:rPr>
              <w:t>(20 ± 1.2·10</w:t>
            </w:r>
            <w:r w:rsidRPr="00E01608">
              <w:rPr>
                <w:rFonts w:ascii="Calibri" w:hAnsi="Calibri" w:cs="Calibri"/>
                <w:b/>
                <w:sz w:val="16"/>
                <w:szCs w:val="16"/>
                <w:vertAlign w:val="superscript"/>
              </w:rPr>
              <w:t>-3</w:t>
            </w:r>
            <w:r w:rsidRPr="00E01608">
              <w:rPr>
                <w:rFonts w:ascii="Calibri" w:hAnsi="Calibri" w:cs="Calibri"/>
                <w:b/>
                <w:sz w:val="16"/>
                <w:szCs w:val="16"/>
              </w:rPr>
              <w:t>) N·m</w:t>
            </w:r>
          </w:p>
        </w:tc>
        <w:tc>
          <w:tcPr>
            <w:tcW w:w="1714" w:type="pct"/>
            <w:tcBorders>
              <w:top w:val="nil"/>
              <w:left w:val="nil"/>
              <w:bottom w:val="nil"/>
              <w:right w:val="nil"/>
            </w:tcBorders>
            <w:vAlign w:val="center"/>
          </w:tcPr>
          <w:p w:rsidR="006D0982" w:rsidRPr="00EB45FF" w:rsidRDefault="00E01608" w:rsidP="006D0982">
            <w:pPr>
              <w:framePr w:w="5056" w:vSpace="284" w:wrap="notBeside" w:vAnchor="page" w:hAnchor="page" w:x="779" w:y="1074"/>
              <w:jc w:val="center"/>
              <w:rPr>
                <w:rFonts w:ascii="Calibri" w:hAnsi="Calibri" w:cs="Calibri"/>
                <w:b/>
                <w:sz w:val="16"/>
                <w:szCs w:val="16"/>
              </w:rPr>
            </w:pPr>
            <w:r>
              <w:rPr>
                <w:rFonts w:ascii="Calibri" w:hAnsi="Calibri" w:cs="Calibri"/>
                <w:b/>
                <w:sz w:val="16"/>
                <w:szCs w:val="16"/>
              </w:rPr>
              <w:t>(</w:t>
            </w:r>
            <w:r w:rsidRPr="00E01608">
              <w:rPr>
                <w:rFonts w:ascii="Calibri" w:hAnsi="Calibri" w:cs="Calibri"/>
                <w:b/>
                <w:sz w:val="16"/>
                <w:szCs w:val="16"/>
              </w:rPr>
              <w:t>2000 ± 0.084) N·m</w:t>
            </w:r>
          </w:p>
        </w:tc>
      </w:tr>
      <w:tr w:rsidR="006D0982" w:rsidRPr="00EB45FF" w:rsidTr="00E01608">
        <w:trPr>
          <w:trHeight w:val="227"/>
          <w:jc w:val="center"/>
        </w:trPr>
        <w:tc>
          <w:tcPr>
            <w:tcW w:w="1999" w:type="pct"/>
            <w:gridSpan w:val="2"/>
            <w:tcBorders>
              <w:top w:val="single" w:sz="4" w:space="0" w:color="auto"/>
              <w:left w:val="nil"/>
              <w:bottom w:val="nil"/>
              <w:right w:val="nil"/>
            </w:tcBorders>
          </w:tcPr>
          <w:p w:rsidR="006D0982" w:rsidRPr="00395F3C" w:rsidRDefault="006D0982" w:rsidP="006D0982">
            <w:pPr>
              <w:framePr w:w="5056" w:vSpace="284" w:wrap="notBeside" w:vAnchor="page" w:hAnchor="page" w:x="779" w:y="1074"/>
              <w:jc w:val="right"/>
            </w:pPr>
            <w:r w:rsidRPr="00395F3C">
              <w:t xml:space="preserve">    Gravitational acceleration</w:t>
            </w:r>
          </w:p>
        </w:tc>
        <w:tc>
          <w:tcPr>
            <w:tcW w:w="1144" w:type="pct"/>
            <w:tcBorders>
              <w:top w:val="single" w:sz="4" w:space="0" w:color="auto"/>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0.05 %</w:t>
            </w:r>
          </w:p>
        </w:tc>
        <w:tc>
          <w:tcPr>
            <w:tcW w:w="1857" w:type="pct"/>
            <w:gridSpan w:val="2"/>
            <w:tcBorders>
              <w:top w:val="single" w:sz="4" w:space="0" w:color="auto"/>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0.12 %</w:t>
            </w:r>
          </w:p>
        </w:tc>
      </w:tr>
      <w:tr w:rsidR="006D0982" w:rsidRPr="00EB45FF" w:rsidTr="00E01608">
        <w:trPr>
          <w:trHeight w:val="227"/>
          <w:jc w:val="center"/>
        </w:trPr>
        <w:tc>
          <w:tcPr>
            <w:tcW w:w="1999" w:type="pct"/>
            <w:gridSpan w:val="2"/>
            <w:tcBorders>
              <w:top w:val="nil"/>
              <w:left w:val="nil"/>
              <w:bottom w:val="nil"/>
              <w:right w:val="nil"/>
            </w:tcBorders>
          </w:tcPr>
          <w:p w:rsidR="006D0982" w:rsidRPr="00395F3C" w:rsidRDefault="006D0982" w:rsidP="006D0982">
            <w:pPr>
              <w:framePr w:w="5056" w:vSpace="284" w:wrap="notBeside" w:vAnchor="page" w:hAnchor="page" w:x="779" w:y="1074"/>
              <w:jc w:val="right"/>
            </w:pPr>
            <w:r w:rsidRPr="00395F3C">
              <w:t>Ambient pressure</w:t>
            </w:r>
          </w:p>
        </w:tc>
        <w:tc>
          <w:tcPr>
            <w:tcW w:w="1144" w:type="pct"/>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&lt; 0.01 %</w:t>
            </w:r>
          </w:p>
        </w:tc>
        <w:tc>
          <w:tcPr>
            <w:tcW w:w="1857" w:type="pct"/>
            <w:gridSpan w:val="2"/>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&lt; 0.01 %</w:t>
            </w:r>
          </w:p>
        </w:tc>
      </w:tr>
      <w:tr w:rsidR="006D0982" w:rsidRPr="00EB45FF" w:rsidTr="00E01608">
        <w:trPr>
          <w:trHeight w:val="227"/>
          <w:jc w:val="center"/>
        </w:trPr>
        <w:tc>
          <w:tcPr>
            <w:tcW w:w="1999" w:type="pct"/>
            <w:gridSpan w:val="2"/>
            <w:tcBorders>
              <w:top w:val="nil"/>
              <w:left w:val="nil"/>
              <w:bottom w:val="nil"/>
              <w:right w:val="nil"/>
            </w:tcBorders>
          </w:tcPr>
          <w:p w:rsidR="006D0982" w:rsidRPr="00395F3C" w:rsidRDefault="006D0982" w:rsidP="006D0982">
            <w:pPr>
              <w:framePr w:w="5056" w:vSpace="284" w:wrap="notBeside" w:vAnchor="page" w:hAnchor="page" w:x="779" w:y="1074"/>
              <w:jc w:val="right"/>
            </w:pPr>
            <w:r w:rsidRPr="00395F3C">
              <w:t>Air humidity</w:t>
            </w:r>
          </w:p>
        </w:tc>
        <w:tc>
          <w:tcPr>
            <w:tcW w:w="1144" w:type="pct"/>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&lt; 0.01 %</w:t>
            </w:r>
          </w:p>
        </w:tc>
        <w:tc>
          <w:tcPr>
            <w:tcW w:w="1857" w:type="pct"/>
            <w:gridSpan w:val="2"/>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&lt; 0.01 %</w:t>
            </w:r>
          </w:p>
        </w:tc>
      </w:tr>
      <w:tr w:rsidR="006D0982" w:rsidRPr="00EB45FF" w:rsidTr="00E01608">
        <w:trPr>
          <w:trHeight w:val="227"/>
          <w:jc w:val="center"/>
        </w:trPr>
        <w:tc>
          <w:tcPr>
            <w:tcW w:w="1999" w:type="pct"/>
            <w:gridSpan w:val="2"/>
            <w:tcBorders>
              <w:top w:val="nil"/>
              <w:left w:val="nil"/>
              <w:bottom w:val="nil"/>
              <w:right w:val="nil"/>
            </w:tcBorders>
          </w:tcPr>
          <w:p w:rsidR="006D0982" w:rsidRPr="00395F3C" w:rsidRDefault="006D0982" w:rsidP="006D0982">
            <w:pPr>
              <w:framePr w:w="5056" w:vSpace="284" w:wrap="notBeside" w:vAnchor="page" w:hAnchor="page" w:x="779" w:y="1074"/>
              <w:jc w:val="right"/>
            </w:pPr>
            <w:r w:rsidRPr="00395F3C">
              <w:t>Temperature</w:t>
            </w:r>
          </w:p>
        </w:tc>
        <w:tc>
          <w:tcPr>
            <w:tcW w:w="1144" w:type="pct"/>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4.92 %</w:t>
            </w:r>
          </w:p>
        </w:tc>
        <w:tc>
          <w:tcPr>
            <w:tcW w:w="1857" w:type="pct"/>
            <w:gridSpan w:val="2"/>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9.73 %</w:t>
            </w:r>
          </w:p>
        </w:tc>
      </w:tr>
      <w:tr w:rsidR="006D0982" w:rsidRPr="00EB45FF" w:rsidTr="00E01608">
        <w:trPr>
          <w:trHeight w:val="227"/>
          <w:jc w:val="center"/>
        </w:trPr>
        <w:tc>
          <w:tcPr>
            <w:tcW w:w="1999" w:type="pct"/>
            <w:gridSpan w:val="2"/>
            <w:tcBorders>
              <w:top w:val="nil"/>
              <w:left w:val="nil"/>
              <w:bottom w:val="nil"/>
              <w:right w:val="nil"/>
            </w:tcBorders>
          </w:tcPr>
          <w:p w:rsidR="006D0982" w:rsidRPr="00395F3C" w:rsidRDefault="006D0982" w:rsidP="006D0982">
            <w:pPr>
              <w:framePr w:w="5056" w:vSpace="284" w:wrap="notBeside" w:vAnchor="page" w:hAnchor="page" w:x="779" w:y="1074"/>
              <w:jc w:val="right"/>
            </w:pPr>
            <w:r w:rsidRPr="00395F3C">
              <w:t>Weight of the masses</w:t>
            </w:r>
          </w:p>
        </w:tc>
        <w:tc>
          <w:tcPr>
            <w:tcW w:w="1144" w:type="pct"/>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1.36 %</w:t>
            </w:r>
          </w:p>
        </w:tc>
        <w:tc>
          <w:tcPr>
            <w:tcW w:w="1857" w:type="pct"/>
            <w:gridSpan w:val="2"/>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0.413 %</w:t>
            </w:r>
          </w:p>
        </w:tc>
      </w:tr>
      <w:tr w:rsidR="006D0982" w:rsidRPr="00EB45FF" w:rsidTr="00E01608">
        <w:trPr>
          <w:trHeight w:val="227"/>
          <w:jc w:val="center"/>
        </w:trPr>
        <w:tc>
          <w:tcPr>
            <w:tcW w:w="1999" w:type="pct"/>
            <w:gridSpan w:val="2"/>
            <w:tcBorders>
              <w:top w:val="nil"/>
              <w:left w:val="nil"/>
              <w:bottom w:val="nil"/>
              <w:right w:val="nil"/>
            </w:tcBorders>
          </w:tcPr>
          <w:p w:rsidR="006D0982" w:rsidRPr="00395F3C" w:rsidRDefault="006D0982" w:rsidP="006D0982">
            <w:pPr>
              <w:framePr w:w="5056" w:vSpace="284" w:wrap="notBeside" w:vAnchor="page" w:hAnchor="page" w:x="779" w:y="1074"/>
              <w:jc w:val="right"/>
            </w:pPr>
            <w:r>
              <w:t xml:space="preserve">       Metallic bands </w:t>
            </w:r>
            <w:r w:rsidRPr="00395F3C">
              <w:t>overlap</w:t>
            </w:r>
          </w:p>
        </w:tc>
        <w:tc>
          <w:tcPr>
            <w:tcW w:w="1144" w:type="pct"/>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&lt; 0.01 %</w:t>
            </w:r>
          </w:p>
        </w:tc>
        <w:tc>
          <w:tcPr>
            <w:tcW w:w="1857" w:type="pct"/>
            <w:gridSpan w:val="2"/>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&lt; 0.01 %</w:t>
            </w:r>
          </w:p>
        </w:tc>
      </w:tr>
      <w:tr w:rsidR="006D0982" w:rsidRPr="00EB45FF" w:rsidTr="00E01608">
        <w:trPr>
          <w:trHeight w:val="227"/>
          <w:jc w:val="center"/>
        </w:trPr>
        <w:tc>
          <w:tcPr>
            <w:tcW w:w="1999" w:type="pct"/>
            <w:gridSpan w:val="2"/>
            <w:tcBorders>
              <w:top w:val="nil"/>
              <w:left w:val="nil"/>
              <w:bottom w:val="nil"/>
              <w:right w:val="nil"/>
            </w:tcBorders>
          </w:tcPr>
          <w:p w:rsidR="006D0982" w:rsidRPr="00395F3C" w:rsidRDefault="006D0982" w:rsidP="006D0982">
            <w:pPr>
              <w:framePr w:w="5056" w:vSpace="284" w:wrap="notBeside" w:vAnchor="page" w:hAnchor="page" w:x="779" w:y="1074"/>
              <w:jc w:val="right"/>
            </w:pPr>
            <w:r w:rsidRPr="00395F3C">
              <w:t>Lever length</w:t>
            </w:r>
          </w:p>
        </w:tc>
        <w:tc>
          <w:tcPr>
            <w:tcW w:w="1144" w:type="pct"/>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45.24 %</w:t>
            </w:r>
          </w:p>
        </w:tc>
        <w:tc>
          <w:tcPr>
            <w:tcW w:w="1857" w:type="pct"/>
            <w:gridSpan w:val="2"/>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89.53 %</w:t>
            </w:r>
          </w:p>
        </w:tc>
      </w:tr>
      <w:tr w:rsidR="006D0982" w:rsidRPr="00EB45FF" w:rsidTr="00E01608">
        <w:trPr>
          <w:trHeight w:val="227"/>
          <w:jc w:val="center"/>
        </w:trPr>
        <w:tc>
          <w:tcPr>
            <w:tcW w:w="1999" w:type="pct"/>
            <w:gridSpan w:val="2"/>
            <w:tcBorders>
              <w:top w:val="nil"/>
              <w:left w:val="nil"/>
              <w:bottom w:val="nil"/>
              <w:right w:val="nil"/>
            </w:tcBorders>
          </w:tcPr>
          <w:p w:rsidR="006D0982" w:rsidRPr="00395F3C" w:rsidRDefault="006D0982" w:rsidP="006D0982">
            <w:pPr>
              <w:framePr w:w="5056" w:vSpace="284" w:wrap="notBeside" w:vAnchor="page" w:hAnchor="page" w:x="779" w:y="1074"/>
              <w:jc w:val="right"/>
            </w:pPr>
            <w:r w:rsidRPr="00395F3C">
              <w:t>Air bearing friction</w:t>
            </w:r>
          </w:p>
        </w:tc>
        <w:tc>
          <w:tcPr>
            <w:tcW w:w="1144" w:type="pct"/>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48.31 %</w:t>
            </w:r>
          </w:p>
        </w:tc>
        <w:tc>
          <w:tcPr>
            <w:tcW w:w="1857" w:type="pct"/>
            <w:gridSpan w:val="2"/>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&lt; 0.01 %</w:t>
            </w:r>
          </w:p>
        </w:tc>
      </w:tr>
      <w:tr w:rsidR="006D0982" w:rsidRPr="00EB45FF" w:rsidTr="00E01608">
        <w:trPr>
          <w:trHeight w:val="227"/>
          <w:jc w:val="center"/>
        </w:trPr>
        <w:tc>
          <w:tcPr>
            <w:tcW w:w="1999" w:type="pct"/>
            <w:gridSpan w:val="2"/>
            <w:tcBorders>
              <w:top w:val="nil"/>
              <w:left w:val="nil"/>
              <w:bottom w:val="nil"/>
              <w:right w:val="nil"/>
            </w:tcBorders>
          </w:tcPr>
          <w:p w:rsidR="006D0982" w:rsidRPr="00395F3C" w:rsidRDefault="006D0982" w:rsidP="006D0982">
            <w:pPr>
              <w:framePr w:w="5056" w:vSpace="284" w:wrap="notBeside" w:vAnchor="page" w:hAnchor="page" w:x="779" w:y="1074"/>
              <w:jc w:val="right"/>
            </w:pPr>
            <w:r w:rsidRPr="00395F3C">
              <w:t xml:space="preserve">        Metallic band thickness</w:t>
            </w:r>
          </w:p>
        </w:tc>
        <w:tc>
          <w:tcPr>
            <w:tcW w:w="1144" w:type="pct"/>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0.06 %</w:t>
            </w:r>
          </w:p>
        </w:tc>
        <w:tc>
          <w:tcPr>
            <w:tcW w:w="1857" w:type="pct"/>
            <w:gridSpan w:val="2"/>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0.11 %</w:t>
            </w:r>
          </w:p>
        </w:tc>
      </w:tr>
      <w:tr w:rsidR="006D0982" w:rsidRPr="00EB45FF" w:rsidTr="00E01608">
        <w:trPr>
          <w:trHeight w:val="227"/>
          <w:jc w:val="center"/>
        </w:trPr>
        <w:tc>
          <w:tcPr>
            <w:tcW w:w="1999" w:type="pct"/>
            <w:gridSpan w:val="2"/>
            <w:tcBorders>
              <w:top w:val="nil"/>
              <w:left w:val="nil"/>
              <w:bottom w:val="nil"/>
              <w:right w:val="nil"/>
            </w:tcBorders>
          </w:tcPr>
          <w:p w:rsidR="006D0982" w:rsidRPr="00395F3C" w:rsidRDefault="006D0982" w:rsidP="006D0982">
            <w:pPr>
              <w:framePr w:w="5056" w:vSpace="284" w:wrap="notBeside" w:vAnchor="page" w:hAnchor="page" w:x="779" w:y="1074"/>
              <w:jc w:val="right"/>
            </w:pPr>
            <w:r w:rsidRPr="00395F3C">
              <w:t>Height discrepancy</w:t>
            </w:r>
          </w:p>
        </w:tc>
        <w:tc>
          <w:tcPr>
            <w:tcW w:w="1144" w:type="pct"/>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&lt; 0.01 %</w:t>
            </w:r>
          </w:p>
        </w:tc>
        <w:tc>
          <w:tcPr>
            <w:tcW w:w="1857" w:type="pct"/>
            <w:gridSpan w:val="2"/>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&lt; 0.01 %</w:t>
            </w:r>
          </w:p>
        </w:tc>
      </w:tr>
      <w:tr w:rsidR="006D0982" w:rsidRPr="00EB45FF" w:rsidTr="00E01608">
        <w:trPr>
          <w:trHeight w:val="227"/>
          <w:jc w:val="center"/>
        </w:trPr>
        <w:tc>
          <w:tcPr>
            <w:tcW w:w="1999" w:type="pct"/>
            <w:gridSpan w:val="2"/>
            <w:tcBorders>
              <w:top w:val="nil"/>
              <w:left w:val="nil"/>
              <w:bottom w:val="nil"/>
              <w:right w:val="nil"/>
            </w:tcBorders>
          </w:tcPr>
          <w:p w:rsidR="006D0982" w:rsidRPr="00395F3C" w:rsidRDefault="006D0982" w:rsidP="006D0982">
            <w:pPr>
              <w:framePr w:w="5056" w:vSpace="284" w:wrap="notBeside" w:vAnchor="page" w:hAnchor="page" w:x="779" w:y="1074"/>
              <w:jc w:val="right"/>
            </w:pPr>
            <w:r w:rsidRPr="00395F3C">
              <w:t>Parallelism error</w:t>
            </w:r>
          </w:p>
        </w:tc>
        <w:tc>
          <w:tcPr>
            <w:tcW w:w="1144" w:type="pct"/>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0.04 %</w:t>
            </w:r>
          </w:p>
        </w:tc>
        <w:tc>
          <w:tcPr>
            <w:tcW w:w="1857" w:type="pct"/>
            <w:gridSpan w:val="2"/>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0.07 %</w:t>
            </w:r>
          </w:p>
        </w:tc>
      </w:tr>
      <w:tr w:rsidR="006D0982" w:rsidRPr="00EB45FF" w:rsidTr="00E01608">
        <w:trPr>
          <w:trHeight w:val="227"/>
          <w:jc w:val="center"/>
        </w:trPr>
        <w:tc>
          <w:tcPr>
            <w:tcW w:w="1999" w:type="pct"/>
            <w:gridSpan w:val="2"/>
            <w:tcBorders>
              <w:top w:val="nil"/>
              <w:left w:val="nil"/>
              <w:bottom w:val="nil"/>
              <w:right w:val="nil"/>
            </w:tcBorders>
          </w:tcPr>
          <w:p w:rsidR="006D0982" w:rsidRPr="00395F3C" w:rsidRDefault="006D0982" w:rsidP="006D0982">
            <w:pPr>
              <w:framePr w:w="5056" w:vSpace="284" w:wrap="notBeside" w:vAnchor="page" w:hAnchor="page" w:x="779" w:y="1074"/>
              <w:jc w:val="right"/>
            </w:pPr>
            <w:r w:rsidRPr="00395F3C">
              <w:t>Angular error of the pressure plate</w:t>
            </w:r>
          </w:p>
        </w:tc>
        <w:tc>
          <w:tcPr>
            <w:tcW w:w="1144" w:type="pct"/>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&lt; 0.01 %</w:t>
            </w:r>
          </w:p>
        </w:tc>
        <w:tc>
          <w:tcPr>
            <w:tcW w:w="1857" w:type="pct"/>
            <w:gridSpan w:val="2"/>
            <w:tcBorders>
              <w:top w:val="nil"/>
              <w:left w:val="nil"/>
              <w:bottom w:val="nil"/>
              <w:right w:val="nil"/>
            </w:tcBorders>
            <w:vAlign w:val="center"/>
          </w:tcPr>
          <w:p w:rsidR="006D0982" w:rsidRPr="00395F3C" w:rsidRDefault="006D0982" w:rsidP="006D0982">
            <w:pPr>
              <w:framePr w:w="5056" w:vSpace="284" w:wrap="notBeside" w:vAnchor="page" w:hAnchor="page" w:x="779" w:y="1074"/>
              <w:jc w:val="center"/>
            </w:pPr>
            <w:r w:rsidRPr="00395F3C">
              <w:t>&lt; 0.01 %</w:t>
            </w:r>
          </w:p>
        </w:tc>
      </w:tr>
      <w:tr w:rsidR="006D0982" w:rsidRPr="00EB45FF" w:rsidTr="00E01608">
        <w:trPr>
          <w:trHeight w:val="227"/>
          <w:jc w:val="center"/>
        </w:trPr>
        <w:tc>
          <w:tcPr>
            <w:tcW w:w="1999" w:type="pct"/>
            <w:gridSpan w:val="2"/>
            <w:tcBorders>
              <w:top w:val="nil"/>
              <w:left w:val="nil"/>
              <w:bottom w:val="single" w:sz="4" w:space="0" w:color="auto"/>
              <w:right w:val="nil"/>
            </w:tcBorders>
          </w:tcPr>
          <w:p w:rsidR="006D0982" w:rsidRPr="00395F3C" w:rsidRDefault="006D0982" w:rsidP="006D0982">
            <w:pPr>
              <w:framePr w:w="5056" w:vSpace="284" w:wrap="notBeside" w:vAnchor="page" w:hAnchor="page" w:x="779" w:y="1074"/>
              <w:jc w:val="right"/>
            </w:pPr>
            <w:r w:rsidRPr="00395F3C">
              <w:t>Angular error of the adaption/sensor  system</w:t>
            </w:r>
          </w:p>
        </w:tc>
        <w:tc>
          <w:tcPr>
            <w:tcW w:w="1144" w:type="pct"/>
            <w:tcBorders>
              <w:top w:val="nil"/>
              <w:left w:val="nil"/>
              <w:bottom w:val="single" w:sz="4" w:space="0" w:color="auto"/>
              <w:right w:val="nil"/>
            </w:tcBorders>
            <w:vAlign w:val="center"/>
          </w:tcPr>
          <w:p w:rsidR="006D0982" w:rsidRPr="00395F3C" w:rsidRDefault="006D0982" w:rsidP="006D0982">
            <w:pPr>
              <w:framePr w:w="5056" w:vSpace="284" w:wrap="notBeside" w:vAnchor="page" w:hAnchor="page" w:x="779" w:y="1074"/>
              <w:jc w:val="center"/>
            </w:pPr>
            <w:r w:rsidRPr="00395F3C">
              <w:t>&lt; 0.01 %</w:t>
            </w:r>
          </w:p>
        </w:tc>
        <w:tc>
          <w:tcPr>
            <w:tcW w:w="1857" w:type="pct"/>
            <w:gridSpan w:val="2"/>
            <w:tcBorders>
              <w:top w:val="nil"/>
              <w:left w:val="nil"/>
              <w:bottom w:val="single" w:sz="4" w:space="0" w:color="auto"/>
              <w:right w:val="nil"/>
            </w:tcBorders>
            <w:vAlign w:val="center"/>
          </w:tcPr>
          <w:p w:rsidR="006D0982" w:rsidRDefault="006D0982" w:rsidP="006D0982">
            <w:pPr>
              <w:framePr w:w="5056" w:vSpace="284" w:wrap="notBeside" w:vAnchor="page" w:hAnchor="page" w:x="779" w:y="1074"/>
              <w:jc w:val="center"/>
            </w:pPr>
            <w:r w:rsidRPr="00395F3C">
              <w:t>&lt; 0.01 %</w:t>
            </w:r>
          </w:p>
        </w:tc>
      </w:tr>
    </w:tbl>
    <w:p w:rsidR="00AE65FA" w:rsidRDefault="00AE65FA" w:rsidP="00AE65FA">
      <w:r w:rsidRPr="00AE65FA">
        <w:t>A two-armed lever is used. A specified value of 999.92 mm applies to both sides. The length of the whole lever was calibrated at PTB's Coordinate Metrology Division; the result obt</w:t>
      </w:r>
      <w:r w:rsidR="006D0982">
        <w:t xml:space="preserve">ained was: </w:t>
      </w:r>
      <w:r w:rsidR="00E01608">
        <w:t>1999.882</w:t>
      </w:r>
      <w:r w:rsidR="006D0982">
        <w:t> mm </w:t>
      </w:r>
      <w:r w:rsidRPr="00AE65FA">
        <w:t>±</w:t>
      </w:r>
      <w:r w:rsidR="006D0982">
        <w:t> </w:t>
      </w:r>
      <w:r w:rsidRPr="00AE65FA">
        <w:t>0.028</w:t>
      </w:r>
      <w:r w:rsidR="006D0982">
        <w:t> </w:t>
      </w:r>
      <w:r w:rsidRPr="00AE65FA">
        <w:t>mm (</w:t>
      </w:r>
      <w:r w:rsidRPr="00E01608">
        <w:t>k</w:t>
      </w:r>
      <w:r w:rsidR="006D0982">
        <w:rPr>
          <w:i/>
        </w:rPr>
        <w:t> </w:t>
      </w:r>
      <w:r w:rsidRPr="00AE65FA">
        <w:t>=</w:t>
      </w:r>
      <w:r w:rsidR="006D0982">
        <w:t> </w:t>
      </w:r>
      <w:r w:rsidRPr="00AE65FA">
        <w:t xml:space="preserve">2). When calculating the total length, also the half of the thickness of the metallic bands for force application must be taken into account. The </w:t>
      </w:r>
      <w:r>
        <w:t>thickness is 0.08</w:t>
      </w:r>
      <w:r w:rsidR="006D0982">
        <w:t> </w:t>
      </w:r>
      <w:r>
        <w:t>mm</w:t>
      </w:r>
      <w:r w:rsidR="006D0982">
        <w:t> </w:t>
      </w:r>
      <w:r>
        <w:t>±</w:t>
      </w:r>
      <w:r w:rsidR="006D0982">
        <w:t> </w:t>
      </w:r>
      <w:r>
        <w:t>0.001</w:t>
      </w:r>
      <w:r w:rsidR="006D0982">
        <w:t> </w:t>
      </w:r>
      <w:r>
        <w:t>mm</w:t>
      </w:r>
      <w:r w:rsidRPr="00AE65FA">
        <w:t xml:space="preserve">. </w:t>
      </w:r>
      <w:r>
        <w:t xml:space="preserve">The measurement uncertainty of the determination of the lever length represents the largest contribution to the MUB for </w:t>
      </w:r>
      <w:r w:rsidRPr="00AE65FA">
        <w:rPr>
          <w:i/>
        </w:rPr>
        <w:t>M</w:t>
      </w:r>
      <w:r w:rsidRPr="00AE65FA">
        <w:rPr>
          <w:vertAlign w:val="subscript"/>
        </w:rPr>
        <w:t>z</w:t>
      </w:r>
      <w:r>
        <w:t>. Due to the geometrical dimension of the lever, this uncertainty cannot be further reduced with the existing coordinate measuring machines.</w:t>
      </w:r>
    </w:p>
    <w:p w:rsidR="006D0982" w:rsidRDefault="00AE65FA" w:rsidP="006E7CA5">
      <w:r>
        <w:t>The lever is made of an aluminium alloy. The thermal expansion for this alloy is 2·10</w:t>
      </w:r>
      <w:r w:rsidR="004F7045">
        <w:rPr>
          <w:vertAlign w:val="superscript"/>
        </w:rPr>
        <w:t>-5</w:t>
      </w:r>
      <w:r>
        <w:t xml:space="preserve"> K</w:t>
      </w:r>
      <w:r w:rsidRPr="00AE65FA">
        <w:rPr>
          <w:vertAlign w:val="superscript"/>
        </w:rPr>
        <w:t>-1</w:t>
      </w:r>
      <w:r>
        <w:t xml:space="preserve">. Accordingly, temperature fluctuations of 0.1 C° have an influence of 4.92 % on the MUB. The lever will later be replaced by another lever made of a </w:t>
      </w:r>
      <w:r w:rsidR="006E7CA5">
        <w:t>temperature-stable INVAR alloy.</w:t>
      </w:r>
    </w:p>
    <w:p w:rsidR="00CA5976" w:rsidRPr="00EB45FF" w:rsidRDefault="00CA5976" w:rsidP="00CA5976">
      <w:pPr>
        <w:pStyle w:val="Figure"/>
        <w:framePr w:w="4961" w:vSpace="284" w:wrap="notBeside" w:vAnchor="page" w:hAnchor="page" w:x="6084" w:y="1000"/>
      </w:pPr>
      <w:r>
        <w:rPr>
          <w:noProof/>
          <w:lang w:val="de-DE" w:eastAsia="de-DE"/>
        </w:rPr>
        <w:drawing>
          <wp:inline distT="0" distB="0" distL="0" distR="0" wp14:anchorId="5B976225" wp14:editId="599D068C">
            <wp:extent cx="3149961" cy="1919559"/>
            <wp:effectExtent l="0" t="0" r="0" b="508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67031" cy="1929961"/>
                    </a:xfrm>
                    <a:prstGeom prst="rect">
                      <a:avLst/>
                    </a:prstGeom>
                    <a:noFill/>
                  </pic:spPr>
                </pic:pic>
              </a:graphicData>
            </a:graphic>
          </wp:inline>
        </w:drawing>
      </w:r>
    </w:p>
    <w:p w:rsidR="00CA5976" w:rsidRPr="00EB45FF" w:rsidRDefault="00CA5976" w:rsidP="00CA5976">
      <w:pPr>
        <w:pStyle w:val="FigureCaption"/>
        <w:framePr w:w="4961" w:vSpace="284" w:wrap="notBeside" w:vAnchor="page" w:hAnchor="page" w:x="6084" w:y="1000"/>
        <w:spacing w:after="0"/>
      </w:pPr>
      <w:bookmarkStart w:id="1" w:name="_Ref316057347"/>
      <w:r w:rsidRPr="00EB45FF">
        <w:t xml:space="preserve">Figure </w:t>
      </w:r>
      <w:bookmarkEnd w:id="1"/>
      <w:r>
        <w:t>3</w:t>
      </w:r>
      <w:r w:rsidRPr="00EB45FF">
        <w:t xml:space="preserve">. </w:t>
      </w:r>
      <w:r w:rsidRPr="008B3C73">
        <w:t xml:space="preserve">Overview of the acting influence factors in the form of an Ishikawa diagram for </w:t>
      </w:r>
      <w:r w:rsidRPr="008B3C73">
        <w:rPr>
          <w:i/>
        </w:rPr>
        <w:t>M</w:t>
      </w:r>
      <w:r w:rsidRPr="008B3C73">
        <w:rPr>
          <w:vertAlign w:val="subscript"/>
        </w:rPr>
        <w:t>z</w:t>
      </w:r>
    </w:p>
    <w:p w:rsidR="00AE65FA" w:rsidRPr="00EB45FF" w:rsidRDefault="00AE65FA" w:rsidP="00AE65FA">
      <w:pPr>
        <w:pStyle w:val="Level2Title"/>
        <w:keepNext/>
      </w:pPr>
      <w:r>
        <w:t>Friction of the air bearings</w:t>
      </w:r>
    </w:p>
    <w:p w:rsidR="00AE65FA" w:rsidRDefault="00AE65FA" w:rsidP="00AE65FA">
      <w:r w:rsidRPr="00AE65FA">
        <w:t>The air bearings do not provide absolutely friction-free force diversion. The influence of the friction inside the air bearing on the torque signal must therefore be investigated [5]. For this investigation, additional weight</w:t>
      </w:r>
      <w:r w:rsidR="00E01608">
        <w:t>s</w:t>
      </w:r>
      <w:r w:rsidRPr="00AE65FA">
        <w:t xml:space="preserve"> having a defined mass were applied. The weights are selected in such a way that, with the measuring chain used, a change in</w:t>
      </w:r>
      <w:r w:rsidR="0000028D">
        <w:t xml:space="preserve"> signal of practically one</w:t>
      </w:r>
      <w:r w:rsidRPr="00AE65FA">
        <w:t xml:space="preserve"> digit is expected. The measurements were repeated at all load steps</w:t>
      </w:r>
      <w:r w:rsidR="005955E4">
        <w:t xml:space="preserve"> up to 600 N·m</w:t>
      </w:r>
      <w:r w:rsidRPr="00AE65FA">
        <w:t xml:space="preserve"> and yielded the same result. A change of 1 digit, however, also corresponds to the signal stability of the measuring amplifier</w:t>
      </w:r>
      <w:r w:rsidR="005955E4">
        <w:t xml:space="preserve"> (DMP41 with low pass filter 0.04 Hz Butterworth)</w:t>
      </w:r>
      <w:r w:rsidRPr="00AE65FA">
        <w:t>, the influence has,</w:t>
      </w:r>
      <w:r w:rsidR="0000028D">
        <w:t xml:space="preserve"> thus, been estimated as being two</w:t>
      </w:r>
      <w:r w:rsidRPr="00AE65FA">
        <w:t xml:space="preserve"> digits. This corresponds to a maximum torque proportion of 3.1·10</w:t>
      </w:r>
      <w:r w:rsidRPr="00AE65FA">
        <w:rPr>
          <w:vertAlign w:val="superscript"/>
        </w:rPr>
        <w:t>-4</w:t>
      </w:r>
      <w:r w:rsidRPr="00AE65FA">
        <w:t xml:space="preserve"> N·m. The contribution to the MUB is constant across the load steps. The percentage contribution to the MUB for small load steps, </w:t>
      </w:r>
      <w:r>
        <w:t>48.3</w:t>
      </w:r>
      <w:r w:rsidR="00E01608">
        <w:t> </w:t>
      </w:r>
      <w:r>
        <w:t>%, is therefore the largest</w:t>
      </w:r>
      <w:r w:rsidRPr="00AE65FA">
        <w:t>.</w:t>
      </w:r>
    </w:p>
    <w:p w:rsidR="00AE65FA" w:rsidRPr="00EB45FF" w:rsidRDefault="00AE65FA" w:rsidP="00AE65FA">
      <w:pPr>
        <w:pStyle w:val="Level2Title"/>
        <w:keepNext/>
      </w:pPr>
      <w:r>
        <w:t>Influence of torsion under load</w:t>
      </w:r>
    </w:p>
    <w:p w:rsidR="00604A83" w:rsidRDefault="00AE65FA" w:rsidP="00AE65FA">
      <w:r w:rsidRPr="00AE65FA">
        <w:t xml:space="preserve">Loading the system with a torque leads to a torsion of the adaption/sensor system. Torsion, in turn, leads to a reduction of the length of the metallic band between the lever and the unwinding point at the air bearing. The difference represents the overlapping of the metallic band on the side of the force generation </w:t>
      </w:r>
      <w:proofErr w:type="gramStart"/>
      <w:r w:rsidRPr="00AE65FA">
        <w:rPr>
          <w:i/>
        </w:rPr>
        <w:t>F</w:t>
      </w:r>
      <w:r w:rsidRPr="00AE65FA">
        <w:rPr>
          <w:vertAlign w:val="subscript"/>
        </w:rPr>
        <w:t>x</w:t>
      </w:r>
      <w:proofErr w:type="gramEnd"/>
      <w:r w:rsidRPr="00AE65FA">
        <w:t xml:space="preserve"> and, as an additional mass, it contributes accordingly to the torque </w:t>
      </w:r>
      <w:r w:rsidRPr="00AE65FA">
        <w:rPr>
          <w:i/>
        </w:rPr>
        <w:t>M</w:t>
      </w:r>
      <w:r w:rsidRPr="00AE65FA">
        <w:rPr>
          <w:vertAlign w:val="subscript"/>
        </w:rPr>
        <w:t>z</w:t>
      </w:r>
      <w:r w:rsidRPr="00AE65FA">
        <w:t>. The proportion directly depends on the load step. The differential length is determined</w:t>
      </w:r>
      <w:r w:rsidR="00E01608">
        <w:t>,</w:t>
      </w:r>
      <w:r w:rsidRPr="00AE65FA">
        <w:t xml:space="preserve"> by means o</w:t>
      </w:r>
      <w:r w:rsidR="00CA5976">
        <w:t>f a laser sensor as being to 10 </w:t>
      </w:r>
      <w:r w:rsidRPr="00AE65FA">
        <w:t>µm. The change in mass is determined by means of the</w:t>
      </w:r>
      <w:r w:rsidR="00CA5976">
        <w:t xml:space="preserve"> band thickness 0.08</w:t>
      </w:r>
      <w:r w:rsidR="00E01608">
        <w:t>0</w:t>
      </w:r>
      <w:r w:rsidR="00CA5976">
        <w:t> mm ± 0.001 mm, height 30</w:t>
      </w:r>
      <w:r w:rsidR="00E01608">
        <w:t>.0</w:t>
      </w:r>
      <w:r w:rsidR="00CA5976">
        <w:t> </w:t>
      </w:r>
      <w:r w:rsidRPr="00AE65FA">
        <w:t>mm</w:t>
      </w:r>
      <w:r w:rsidR="00CA5976">
        <w:t> </w:t>
      </w:r>
      <w:r w:rsidRPr="00AE65FA">
        <w:t>±</w:t>
      </w:r>
      <w:r w:rsidR="00CA5976">
        <w:t> </w:t>
      </w:r>
      <w:r w:rsidRPr="00AE65FA">
        <w:t>0.1</w:t>
      </w:r>
      <w:r w:rsidR="00CA5976">
        <w:t> </w:t>
      </w:r>
      <w:r w:rsidRPr="00AE65FA">
        <w:t>mm and density 7850 kg</w:t>
      </w:r>
      <w:r w:rsidR="00E01608">
        <w:t xml:space="preserve"> </w:t>
      </w:r>
      <w:r w:rsidRPr="00AE65FA">
        <w:t>m</w:t>
      </w:r>
      <w:r w:rsidRPr="00AE65FA">
        <w:rPr>
          <w:vertAlign w:val="superscript"/>
        </w:rPr>
        <w:t>-3</w:t>
      </w:r>
      <w:r w:rsidRPr="00AE65FA">
        <w:t xml:space="preserve"> ± 20 kg</w:t>
      </w:r>
      <w:r w:rsidR="00E01608">
        <w:t xml:space="preserve"> </w:t>
      </w:r>
      <w:r w:rsidRPr="00AE65FA">
        <w:t>m</w:t>
      </w:r>
      <w:r w:rsidRPr="00AE65FA">
        <w:rPr>
          <w:vertAlign w:val="superscript"/>
        </w:rPr>
        <w:t>-3</w:t>
      </w:r>
      <w:r w:rsidRPr="00AE65FA">
        <w:t xml:space="preserve"> and it is taken into account for the torque calculation. The con</w:t>
      </w:r>
      <w:r w:rsidR="0000028D">
        <w:t>tribution to the MUB is &lt; 0.01%</w:t>
      </w:r>
      <w:r w:rsidRPr="00AE65FA">
        <w:t>.</w:t>
      </w:r>
    </w:p>
    <w:p w:rsidR="004110A7" w:rsidRDefault="004110A7" w:rsidP="00AE65FA"/>
    <w:p w:rsidR="004110A7" w:rsidRDefault="004110A7" w:rsidP="00AE65FA"/>
    <w:p w:rsidR="004110A7" w:rsidRDefault="004110A7" w:rsidP="00AE65FA"/>
    <w:p w:rsidR="004110A7" w:rsidRPr="00EB45FF" w:rsidRDefault="004110A7" w:rsidP="00AE65FA"/>
    <w:p w:rsidR="00443205" w:rsidRPr="00EB45FF" w:rsidRDefault="00AE65FA" w:rsidP="00080E6E">
      <w:pPr>
        <w:pStyle w:val="Level1Title"/>
      </w:pPr>
      <w:r>
        <w:lastRenderedPageBreak/>
        <w:t>Geometrical Characteristics</w:t>
      </w:r>
    </w:p>
    <w:p w:rsidR="00080E6E" w:rsidRDefault="00080E6E" w:rsidP="00080E6E">
      <w:r>
        <w:t>To calculate the MUB and the disturbing quantities, the orientation as well as the geometric deviation from the optimal orientation must be detected. Parallelism differences, angular deviations, tilts of the lever and height differences are part of these deviations.</w:t>
      </w:r>
    </w:p>
    <w:p w:rsidR="008B3C73" w:rsidRDefault="00080E6E" w:rsidP="00080E6E">
      <w:r>
        <w:t>A coordinate measuring device acquires the geometric characteristics. By scanning any given point, the coordinate measuring device, with the aid of various angular encoders, computes the spatial position in relation to the machine coordinate system. The quality of a measurement depends on the measurement process, on the user, on individual errors of the angular encoders as well as on the computation performed by the coordinate measuring device. We have assumed that the accumulation of the individual errors follows a Gaussian distribution. The hypothesis was checked – and confirmed – by repeated measurements and by means of a Shapiro-Wilk test [6] for the individual measurement processes.</w:t>
      </w:r>
    </w:p>
    <w:p w:rsidR="00080E6E" w:rsidRPr="00EB45FF" w:rsidRDefault="00080E6E" w:rsidP="00080E6E">
      <w:r>
        <w:t>Sine and cosine functions must be used to calculate the MUB according to (1). The problem is that the sensitivity coefficient often tends to be zero at small angles. For this reason, an upper estimation is used for the influence [7].</w:t>
      </w:r>
    </w:p>
    <w:p w:rsidR="00443205" w:rsidRPr="00EB45FF" w:rsidRDefault="00080E6E" w:rsidP="00443205">
      <w:pPr>
        <w:pStyle w:val="Level2Title"/>
      </w:pPr>
      <w:r>
        <w:t>Deviation in parallelism orientation</w:t>
      </w:r>
    </w:p>
    <w:p w:rsidR="00436325" w:rsidRPr="00EB45FF" w:rsidRDefault="00080E6E" w:rsidP="00436325">
      <w:r w:rsidRPr="00080E6E">
        <w:t>For an ideal couple, both metallic bands must be exactly parallel to each other. Measurement points for the coordinate measuring device on the lever and on the air bearing serve as reference points to determine the angle. The uncertainty across the measurement process was estimated by averaging with (</w:t>
      </w:r>
      <w:r w:rsidRPr="00E01608">
        <w:t>k</w:t>
      </w:r>
      <w:r w:rsidR="0000028D">
        <w:t> </w:t>
      </w:r>
      <w:r w:rsidRPr="00080E6E">
        <w:t>=</w:t>
      </w:r>
      <w:r w:rsidR="0000028D">
        <w:t> </w:t>
      </w:r>
      <w:r w:rsidRPr="00080E6E">
        <w:t>2) 0.02°. Together with the fine adjustment of the angular orientation, a parallelism error of 0.072° is obtained.</w:t>
      </w:r>
    </w:p>
    <w:p w:rsidR="00023E1A" w:rsidRPr="00EB45FF" w:rsidRDefault="00080E6E" w:rsidP="00023E1A">
      <w:pPr>
        <w:pStyle w:val="Level2Title"/>
      </w:pPr>
      <w:r>
        <w:t>Deviation in height orientation</w:t>
      </w:r>
    </w:p>
    <w:p w:rsidR="0000028D" w:rsidRPr="00EB45FF" w:rsidRDefault="0000028D" w:rsidP="00CA5976">
      <w:pPr>
        <w:pStyle w:val="TableCaption"/>
        <w:framePr w:w="5056" w:vSpace="284" w:wrap="notBeside" w:vAnchor="page" w:hAnchor="page" w:x="6113" w:y="8508"/>
        <w:spacing w:before="0"/>
      </w:pPr>
      <w:r>
        <w:t>Table 2</w:t>
      </w:r>
      <w:r w:rsidRPr="00EB45FF">
        <w:t xml:space="preserve">. </w:t>
      </w:r>
      <w:r w:rsidRPr="00AC4FFC">
        <w:t xml:space="preserve">Significant influences on the MUB of </w:t>
      </w:r>
      <w:r w:rsidRPr="00AC4FFC">
        <w:rPr>
          <w:i/>
        </w:rPr>
        <w:t>M</w:t>
      </w:r>
      <w:r w:rsidRPr="00AC4FFC">
        <w:rPr>
          <w:vertAlign w:val="subscript"/>
        </w:rPr>
        <w:t>x</w:t>
      </w:r>
      <w:r w:rsidRPr="00AC4FFC">
        <w:t xml:space="preserve"> and </w:t>
      </w:r>
      <w:proofErr w:type="gramStart"/>
      <w:r w:rsidRPr="00AC4FFC">
        <w:rPr>
          <w:i/>
        </w:rPr>
        <w:t>M</w:t>
      </w:r>
      <w:r w:rsidRPr="00AC4FFC">
        <w:rPr>
          <w:vertAlign w:val="subscript"/>
        </w:rPr>
        <w:t>y</w:t>
      </w:r>
      <w:proofErr w:type="gramEnd"/>
      <w:r w:rsidRPr="00AC4FFC">
        <w:t xml:space="preserve"> for the 2000 N·m </w:t>
      </w:r>
    </w:p>
    <w:tbl>
      <w:tblPr>
        <w:tblW w:w="4907"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984"/>
        <w:gridCol w:w="1277"/>
        <w:gridCol w:w="141"/>
        <w:gridCol w:w="1560"/>
      </w:tblGrid>
      <w:tr w:rsidR="0000028D" w:rsidRPr="00EB45FF" w:rsidTr="0000028D">
        <w:trPr>
          <w:trHeight w:val="410"/>
          <w:jc w:val="center"/>
        </w:trPr>
        <w:tc>
          <w:tcPr>
            <w:tcW w:w="1999" w:type="pct"/>
            <w:vMerge w:val="restart"/>
            <w:tcBorders>
              <w:top w:val="single" w:sz="4" w:space="0" w:color="auto"/>
              <w:left w:val="nil"/>
              <w:right w:val="nil"/>
            </w:tcBorders>
            <w:vAlign w:val="center"/>
          </w:tcPr>
          <w:p w:rsidR="0000028D" w:rsidRPr="00EB45FF" w:rsidRDefault="0000028D" w:rsidP="00CA5976">
            <w:pPr>
              <w:framePr w:w="5056" w:vSpace="284" w:wrap="notBeside" w:vAnchor="page" w:hAnchor="page" w:x="6113" w:y="8508"/>
              <w:jc w:val="left"/>
              <w:rPr>
                <w:rFonts w:ascii="Calibri" w:hAnsi="Calibri" w:cs="Calibri"/>
                <w:b/>
                <w:sz w:val="16"/>
                <w:szCs w:val="16"/>
              </w:rPr>
            </w:pPr>
            <w:r w:rsidRPr="008B3C73">
              <w:rPr>
                <w:rFonts w:ascii="Calibri" w:hAnsi="Calibri" w:cs="Calibri"/>
                <w:b/>
                <w:sz w:val="16"/>
                <w:szCs w:val="16"/>
              </w:rPr>
              <w:t>Influence quantities</w:t>
            </w:r>
          </w:p>
        </w:tc>
        <w:tc>
          <w:tcPr>
            <w:tcW w:w="3001" w:type="pct"/>
            <w:gridSpan w:val="3"/>
            <w:tcBorders>
              <w:top w:val="single" w:sz="4" w:space="0" w:color="auto"/>
              <w:left w:val="nil"/>
              <w:bottom w:val="nil"/>
              <w:right w:val="nil"/>
            </w:tcBorders>
            <w:vAlign w:val="center"/>
          </w:tcPr>
          <w:p w:rsidR="0000028D" w:rsidRPr="00EB45FF" w:rsidRDefault="0000028D" w:rsidP="00CA5976">
            <w:pPr>
              <w:framePr w:w="5056" w:vSpace="284" w:wrap="notBeside" w:vAnchor="page" w:hAnchor="page" w:x="6113" w:y="8508"/>
              <w:jc w:val="center"/>
              <w:rPr>
                <w:rFonts w:ascii="Calibri" w:hAnsi="Calibri" w:cs="Calibri"/>
                <w:b/>
                <w:sz w:val="16"/>
                <w:szCs w:val="16"/>
              </w:rPr>
            </w:pPr>
            <w:r>
              <w:rPr>
                <w:rFonts w:ascii="Calibri" w:hAnsi="Calibri" w:cs="Calibri"/>
                <w:b/>
                <w:sz w:val="16"/>
                <w:szCs w:val="16"/>
              </w:rPr>
              <w:t>Index of MUB</w:t>
            </w:r>
          </w:p>
        </w:tc>
      </w:tr>
      <w:tr w:rsidR="0000028D" w:rsidRPr="00EB45FF" w:rsidTr="00E91105">
        <w:trPr>
          <w:trHeight w:val="410"/>
          <w:jc w:val="center"/>
        </w:trPr>
        <w:tc>
          <w:tcPr>
            <w:tcW w:w="1999" w:type="pct"/>
            <w:vMerge/>
            <w:tcBorders>
              <w:left w:val="nil"/>
              <w:bottom w:val="single" w:sz="4" w:space="0" w:color="auto"/>
              <w:right w:val="nil"/>
            </w:tcBorders>
            <w:vAlign w:val="center"/>
          </w:tcPr>
          <w:p w:rsidR="0000028D" w:rsidRPr="008B3C73" w:rsidRDefault="0000028D" w:rsidP="00CA5976">
            <w:pPr>
              <w:framePr w:w="5056" w:vSpace="284" w:wrap="notBeside" w:vAnchor="page" w:hAnchor="page" w:x="6113" w:y="8508"/>
              <w:jc w:val="left"/>
              <w:rPr>
                <w:rFonts w:ascii="Calibri" w:hAnsi="Calibri" w:cs="Calibri"/>
                <w:b/>
                <w:sz w:val="16"/>
                <w:szCs w:val="16"/>
              </w:rPr>
            </w:pPr>
          </w:p>
        </w:tc>
        <w:tc>
          <w:tcPr>
            <w:tcW w:w="1287" w:type="pct"/>
            <w:tcBorders>
              <w:top w:val="nil"/>
              <w:left w:val="nil"/>
              <w:bottom w:val="single" w:sz="4" w:space="0" w:color="auto"/>
              <w:right w:val="nil"/>
            </w:tcBorders>
            <w:vAlign w:val="center"/>
          </w:tcPr>
          <w:p w:rsidR="0000028D" w:rsidRPr="00EB45FF" w:rsidRDefault="0000028D" w:rsidP="00CA5976">
            <w:pPr>
              <w:framePr w:w="5056" w:vSpace="284" w:wrap="notBeside" w:vAnchor="page" w:hAnchor="page" w:x="6113" w:y="8508"/>
              <w:jc w:val="center"/>
              <w:rPr>
                <w:rFonts w:ascii="Calibri" w:hAnsi="Calibri" w:cs="Calibri"/>
                <w:b/>
                <w:sz w:val="16"/>
                <w:szCs w:val="16"/>
              </w:rPr>
            </w:pPr>
            <w:r w:rsidRPr="00AC4FFC">
              <w:rPr>
                <w:rFonts w:ascii="Calibri" w:hAnsi="Calibri" w:cs="Calibri"/>
                <w:b/>
                <w:i/>
                <w:sz w:val="16"/>
                <w:szCs w:val="16"/>
              </w:rPr>
              <w:t>M</w:t>
            </w:r>
            <w:r w:rsidRPr="00AC4FFC">
              <w:rPr>
                <w:rFonts w:ascii="Calibri" w:hAnsi="Calibri" w:cs="Calibri"/>
                <w:b/>
                <w:sz w:val="16"/>
                <w:szCs w:val="16"/>
                <w:vertAlign w:val="subscript"/>
              </w:rPr>
              <w:t>x</w:t>
            </w:r>
            <w:r>
              <w:rPr>
                <w:rFonts w:ascii="Calibri" w:hAnsi="Calibri" w:cs="Calibri"/>
                <w:b/>
                <w:sz w:val="16"/>
                <w:szCs w:val="16"/>
              </w:rPr>
              <w:t xml:space="preserve"> / </w:t>
            </w:r>
            <w:r w:rsidR="004F7045">
              <w:rPr>
                <w:rFonts w:ascii="Calibri" w:hAnsi="Calibri" w:cs="Calibri"/>
                <w:b/>
                <w:sz w:val="16"/>
                <w:szCs w:val="16"/>
              </w:rPr>
              <w:t>(</w:t>
            </w:r>
            <w:r>
              <w:rPr>
                <w:rFonts w:ascii="Calibri" w:hAnsi="Calibri" w:cs="Calibri"/>
                <w:b/>
                <w:sz w:val="16"/>
                <w:szCs w:val="16"/>
              </w:rPr>
              <w:t>0.4 N·m</w:t>
            </w:r>
            <w:r w:rsidR="004F7045">
              <w:rPr>
                <w:rFonts w:ascii="Calibri" w:hAnsi="Calibri" w:cs="Calibri"/>
                <w:b/>
                <w:sz w:val="16"/>
                <w:szCs w:val="16"/>
              </w:rPr>
              <w:t>)</w:t>
            </w:r>
          </w:p>
        </w:tc>
        <w:tc>
          <w:tcPr>
            <w:tcW w:w="1714" w:type="pct"/>
            <w:gridSpan w:val="2"/>
            <w:tcBorders>
              <w:top w:val="nil"/>
              <w:left w:val="nil"/>
              <w:bottom w:val="single" w:sz="4" w:space="0" w:color="auto"/>
              <w:right w:val="nil"/>
            </w:tcBorders>
            <w:vAlign w:val="center"/>
          </w:tcPr>
          <w:p w:rsidR="0000028D" w:rsidRPr="00EB45FF" w:rsidRDefault="0000028D" w:rsidP="00CA5976">
            <w:pPr>
              <w:framePr w:w="5056" w:vSpace="284" w:wrap="notBeside" w:vAnchor="page" w:hAnchor="page" w:x="6113" w:y="8508"/>
              <w:jc w:val="center"/>
              <w:rPr>
                <w:rFonts w:ascii="Calibri" w:hAnsi="Calibri" w:cs="Calibri"/>
                <w:b/>
                <w:sz w:val="16"/>
                <w:szCs w:val="16"/>
              </w:rPr>
            </w:pPr>
            <w:r w:rsidRPr="00AC4FFC">
              <w:rPr>
                <w:rFonts w:ascii="Calibri" w:hAnsi="Calibri" w:cs="Calibri"/>
                <w:b/>
                <w:i/>
                <w:sz w:val="16"/>
                <w:szCs w:val="16"/>
              </w:rPr>
              <w:t>M</w:t>
            </w:r>
            <w:r w:rsidRPr="00AC4FFC">
              <w:rPr>
                <w:rFonts w:ascii="Calibri" w:hAnsi="Calibri" w:cs="Calibri"/>
                <w:b/>
                <w:sz w:val="16"/>
                <w:szCs w:val="16"/>
                <w:vertAlign w:val="subscript"/>
              </w:rPr>
              <w:t>y</w:t>
            </w:r>
            <w:r>
              <w:rPr>
                <w:rFonts w:ascii="Calibri" w:hAnsi="Calibri" w:cs="Calibri"/>
                <w:b/>
                <w:sz w:val="16"/>
                <w:szCs w:val="16"/>
              </w:rPr>
              <w:t xml:space="preserve"> / </w:t>
            </w:r>
            <w:r w:rsidR="004F7045">
              <w:rPr>
                <w:rFonts w:ascii="Calibri" w:hAnsi="Calibri" w:cs="Calibri"/>
                <w:b/>
                <w:sz w:val="16"/>
                <w:szCs w:val="16"/>
              </w:rPr>
              <w:t>(</w:t>
            </w:r>
            <w:r>
              <w:rPr>
                <w:rFonts w:ascii="Calibri" w:hAnsi="Calibri" w:cs="Calibri"/>
                <w:b/>
                <w:sz w:val="16"/>
                <w:szCs w:val="16"/>
              </w:rPr>
              <w:t>1.01 N·m</w:t>
            </w:r>
            <w:r w:rsidR="004F7045">
              <w:rPr>
                <w:rFonts w:ascii="Calibri" w:hAnsi="Calibri" w:cs="Calibri"/>
                <w:b/>
                <w:sz w:val="16"/>
                <w:szCs w:val="16"/>
              </w:rPr>
              <w:t>)</w:t>
            </w:r>
          </w:p>
        </w:tc>
      </w:tr>
      <w:tr w:rsidR="0000028D" w:rsidRPr="00EB45FF" w:rsidTr="00E91105">
        <w:trPr>
          <w:trHeight w:val="227"/>
          <w:jc w:val="center"/>
        </w:trPr>
        <w:tc>
          <w:tcPr>
            <w:tcW w:w="1999" w:type="pct"/>
            <w:tcBorders>
              <w:top w:val="single" w:sz="4" w:space="0" w:color="auto"/>
              <w:left w:val="nil"/>
              <w:bottom w:val="nil"/>
              <w:right w:val="nil"/>
            </w:tcBorders>
          </w:tcPr>
          <w:p w:rsidR="0000028D" w:rsidRPr="00395F3C" w:rsidRDefault="0000028D" w:rsidP="00CA5976">
            <w:pPr>
              <w:framePr w:w="5056" w:vSpace="284" w:wrap="notBeside" w:vAnchor="page" w:hAnchor="page" w:x="6113" w:y="8508"/>
              <w:jc w:val="right"/>
            </w:pPr>
            <w:r w:rsidRPr="00395F3C">
              <w:t>Height discrepancy</w:t>
            </w:r>
          </w:p>
        </w:tc>
        <w:tc>
          <w:tcPr>
            <w:tcW w:w="1429" w:type="pct"/>
            <w:gridSpan w:val="2"/>
            <w:tcBorders>
              <w:top w:val="single" w:sz="4" w:space="0" w:color="auto"/>
              <w:left w:val="nil"/>
              <w:bottom w:val="nil"/>
              <w:right w:val="nil"/>
            </w:tcBorders>
            <w:vAlign w:val="center"/>
          </w:tcPr>
          <w:p w:rsidR="0000028D" w:rsidRPr="00395F3C" w:rsidRDefault="0000028D" w:rsidP="00CA5976">
            <w:pPr>
              <w:framePr w:w="5056" w:vSpace="284" w:wrap="notBeside" w:vAnchor="page" w:hAnchor="page" w:x="6113" w:y="8508"/>
              <w:jc w:val="center"/>
            </w:pPr>
            <w:r>
              <w:t>99.97</w:t>
            </w:r>
            <w:r w:rsidRPr="00395F3C">
              <w:t xml:space="preserve"> %</w:t>
            </w:r>
          </w:p>
        </w:tc>
        <w:tc>
          <w:tcPr>
            <w:tcW w:w="1572" w:type="pct"/>
            <w:tcBorders>
              <w:top w:val="single" w:sz="4" w:space="0" w:color="auto"/>
              <w:left w:val="nil"/>
              <w:bottom w:val="nil"/>
              <w:right w:val="nil"/>
            </w:tcBorders>
            <w:vAlign w:val="center"/>
          </w:tcPr>
          <w:p w:rsidR="0000028D" w:rsidRPr="00395F3C" w:rsidRDefault="0000028D" w:rsidP="00CA5976">
            <w:pPr>
              <w:framePr w:w="5056" w:vSpace="284" w:wrap="notBeside" w:vAnchor="page" w:hAnchor="page" w:x="6113" w:y="8508"/>
              <w:jc w:val="center"/>
            </w:pPr>
            <w:r w:rsidRPr="00395F3C">
              <w:t>&lt; 0.01 %</w:t>
            </w:r>
          </w:p>
        </w:tc>
      </w:tr>
      <w:tr w:rsidR="0000028D" w:rsidRPr="00EB45FF" w:rsidTr="0000028D">
        <w:trPr>
          <w:trHeight w:val="227"/>
          <w:jc w:val="center"/>
        </w:trPr>
        <w:tc>
          <w:tcPr>
            <w:tcW w:w="1999" w:type="pct"/>
            <w:tcBorders>
              <w:top w:val="nil"/>
              <w:left w:val="nil"/>
              <w:bottom w:val="nil"/>
              <w:right w:val="nil"/>
            </w:tcBorders>
          </w:tcPr>
          <w:p w:rsidR="0000028D" w:rsidRPr="00395F3C" w:rsidRDefault="0000028D" w:rsidP="00CA5976">
            <w:pPr>
              <w:framePr w:w="5056" w:vSpace="284" w:wrap="notBeside" w:vAnchor="page" w:hAnchor="page" w:x="6113" w:y="8508"/>
              <w:jc w:val="right"/>
            </w:pPr>
            <w:r w:rsidRPr="00395F3C">
              <w:t>Parallelism error</w:t>
            </w:r>
          </w:p>
        </w:tc>
        <w:tc>
          <w:tcPr>
            <w:tcW w:w="1429" w:type="pct"/>
            <w:gridSpan w:val="2"/>
            <w:tcBorders>
              <w:top w:val="nil"/>
              <w:left w:val="nil"/>
              <w:bottom w:val="nil"/>
              <w:right w:val="nil"/>
            </w:tcBorders>
            <w:vAlign w:val="center"/>
          </w:tcPr>
          <w:p w:rsidR="0000028D" w:rsidRPr="00395F3C" w:rsidRDefault="0000028D" w:rsidP="00CA5976">
            <w:pPr>
              <w:framePr w:w="5056" w:vSpace="284" w:wrap="notBeside" w:vAnchor="page" w:hAnchor="page" w:x="6113" w:y="8508"/>
              <w:jc w:val="center"/>
            </w:pPr>
            <w:r>
              <w:t>0.02</w:t>
            </w:r>
            <w:r w:rsidRPr="00395F3C">
              <w:t xml:space="preserve"> %</w:t>
            </w:r>
          </w:p>
        </w:tc>
        <w:tc>
          <w:tcPr>
            <w:tcW w:w="1572" w:type="pct"/>
            <w:tcBorders>
              <w:top w:val="nil"/>
              <w:left w:val="nil"/>
              <w:bottom w:val="nil"/>
              <w:right w:val="nil"/>
            </w:tcBorders>
            <w:vAlign w:val="center"/>
          </w:tcPr>
          <w:p w:rsidR="0000028D" w:rsidRPr="00395F3C" w:rsidRDefault="0000028D" w:rsidP="00CA5976">
            <w:pPr>
              <w:framePr w:w="5056" w:vSpace="284" w:wrap="notBeside" w:vAnchor="page" w:hAnchor="page" w:x="6113" w:y="8508"/>
              <w:jc w:val="center"/>
            </w:pPr>
            <w:r w:rsidRPr="00395F3C">
              <w:t>&lt; 0.01 %</w:t>
            </w:r>
          </w:p>
        </w:tc>
      </w:tr>
      <w:tr w:rsidR="0000028D" w:rsidRPr="00EB45FF" w:rsidTr="0000028D">
        <w:trPr>
          <w:trHeight w:val="227"/>
          <w:jc w:val="center"/>
        </w:trPr>
        <w:tc>
          <w:tcPr>
            <w:tcW w:w="1999" w:type="pct"/>
            <w:tcBorders>
              <w:top w:val="nil"/>
              <w:left w:val="nil"/>
              <w:bottom w:val="nil"/>
              <w:right w:val="nil"/>
            </w:tcBorders>
          </w:tcPr>
          <w:p w:rsidR="0000028D" w:rsidRPr="00395F3C" w:rsidRDefault="0000028D" w:rsidP="00CA5976">
            <w:pPr>
              <w:framePr w:w="5056" w:vSpace="284" w:wrap="notBeside" w:vAnchor="page" w:hAnchor="page" w:x="6113" w:y="8508"/>
              <w:jc w:val="right"/>
            </w:pPr>
            <w:r w:rsidRPr="00395F3C">
              <w:t>Angular error of the pressure plate</w:t>
            </w:r>
          </w:p>
        </w:tc>
        <w:tc>
          <w:tcPr>
            <w:tcW w:w="1429" w:type="pct"/>
            <w:gridSpan w:val="2"/>
            <w:tcBorders>
              <w:top w:val="nil"/>
              <w:left w:val="nil"/>
              <w:bottom w:val="nil"/>
              <w:right w:val="nil"/>
            </w:tcBorders>
            <w:vAlign w:val="center"/>
          </w:tcPr>
          <w:p w:rsidR="0000028D" w:rsidRPr="00395F3C" w:rsidRDefault="0000028D" w:rsidP="00CA5976">
            <w:pPr>
              <w:framePr w:w="5056" w:vSpace="284" w:wrap="notBeside" w:vAnchor="page" w:hAnchor="page" w:x="6113" w:y="8508"/>
              <w:jc w:val="center"/>
            </w:pPr>
            <w:r w:rsidRPr="00395F3C">
              <w:t>&lt; 0.01 %</w:t>
            </w:r>
          </w:p>
        </w:tc>
        <w:tc>
          <w:tcPr>
            <w:tcW w:w="1572" w:type="pct"/>
            <w:tcBorders>
              <w:top w:val="nil"/>
              <w:left w:val="nil"/>
              <w:bottom w:val="nil"/>
              <w:right w:val="nil"/>
            </w:tcBorders>
            <w:vAlign w:val="center"/>
          </w:tcPr>
          <w:p w:rsidR="0000028D" w:rsidRPr="00395F3C" w:rsidRDefault="0000028D" w:rsidP="00CA5976">
            <w:pPr>
              <w:framePr w:w="5056" w:vSpace="284" w:wrap="notBeside" w:vAnchor="page" w:hAnchor="page" w:x="6113" w:y="8508"/>
              <w:jc w:val="center"/>
            </w:pPr>
            <w:r>
              <w:t>43.98</w:t>
            </w:r>
            <w:r w:rsidRPr="00395F3C">
              <w:t xml:space="preserve"> %</w:t>
            </w:r>
          </w:p>
        </w:tc>
      </w:tr>
      <w:tr w:rsidR="0000028D" w:rsidRPr="00EB45FF" w:rsidTr="0000028D">
        <w:trPr>
          <w:trHeight w:val="227"/>
          <w:jc w:val="center"/>
        </w:trPr>
        <w:tc>
          <w:tcPr>
            <w:tcW w:w="1999" w:type="pct"/>
            <w:tcBorders>
              <w:top w:val="nil"/>
              <w:left w:val="nil"/>
              <w:bottom w:val="single" w:sz="4" w:space="0" w:color="auto"/>
              <w:right w:val="nil"/>
            </w:tcBorders>
          </w:tcPr>
          <w:p w:rsidR="0000028D" w:rsidRPr="00395F3C" w:rsidRDefault="0000028D" w:rsidP="00CA5976">
            <w:pPr>
              <w:framePr w:w="5056" w:vSpace="284" w:wrap="notBeside" w:vAnchor="page" w:hAnchor="page" w:x="6113" w:y="8508"/>
              <w:jc w:val="right"/>
            </w:pPr>
            <w:r w:rsidRPr="00395F3C">
              <w:t>Angular error of the adaption/sensor  system</w:t>
            </w:r>
          </w:p>
        </w:tc>
        <w:tc>
          <w:tcPr>
            <w:tcW w:w="1429" w:type="pct"/>
            <w:gridSpan w:val="2"/>
            <w:tcBorders>
              <w:top w:val="nil"/>
              <w:left w:val="nil"/>
              <w:bottom w:val="single" w:sz="4" w:space="0" w:color="auto"/>
              <w:right w:val="nil"/>
            </w:tcBorders>
            <w:vAlign w:val="center"/>
          </w:tcPr>
          <w:p w:rsidR="0000028D" w:rsidRPr="00395F3C" w:rsidRDefault="0000028D" w:rsidP="00CA5976">
            <w:pPr>
              <w:framePr w:w="5056" w:vSpace="284" w:wrap="notBeside" w:vAnchor="page" w:hAnchor="page" w:x="6113" w:y="8508"/>
              <w:jc w:val="center"/>
            </w:pPr>
            <w:r w:rsidRPr="00395F3C">
              <w:t>&lt; 0.01 %</w:t>
            </w:r>
          </w:p>
        </w:tc>
        <w:tc>
          <w:tcPr>
            <w:tcW w:w="1572" w:type="pct"/>
            <w:tcBorders>
              <w:top w:val="nil"/>
              <w:left w:val="nil"/>
              <w:bottom w:val="single" w:sz="4" w:space="0" w:color="auto"/>
              <w:right w:val="nil"/>
            </w:tcBorders>
            <w:vAlign w:val="center"/>
          </w:tcPr>
          <w:p w:rsidR="0000028D" w:rsidRDefault="0000028D" w:rsidP="00CA5976">
            <w:pPr>
              <w:framePr w:w="5056" w:vSpace="284" w:wrap="notBeside" w:vAnchor="page" w:hAnchor="page" w:x="6113" w:y="8508"/>
              <w:jc w:val="center"/>
            </w:pPr>
            <w:r>
              <w:t>56.02</w:t>
            </w:r>
            <w:r w:rsidRPr="00395F3C">
              <w:t xml:space="preserve"> %</w:t>
            </w:r>
          </w:p>
        </w:tc>
      </w:tr>
    </w:tbl>
    <w:p w:rsidR="00080E6E" w:rsidRPr="00080E6E" w:rsidRDefault="00080E6E" w:rsidP="00080E6E">
      <w:pPr>
        <w:pStyle w:val="Figure"/>
        <w:jc w:val="both"/>
        <w:rPr>
          <w:szCs w:val="20"/>
          <w:lang w:val="en-US"/>
        </w:rPr>
      </w:pPr>
      <w:r w:rsidRPr="00080E6E">
        <w:rPr>
          <w:szCs w:val="20"/>
          <w:lang w:val="en-US"/>
        </w:rPr>
        <w:t>For the ideal orientation, the height of the force application point at the lever must be in agreement with the band unwinding point at the air bearing. Reference points are used for the height orientation of the system; with 45 µm (</w:t>
      </w:r>
      <w:r w:rsidRPr="00E01608">
        <w:rPr>
          <w:szCs w:val="20"/>
          <w:lang w:val="en-US"/>
        </w:rPr>
        <w:t>k</w:t>
      </w:r>
      <w:r w:rsidRPr="00080E6E">
        <w:rPr>
          <w:szCs w:val="20"/>
          <w:lang w:val="en-US"/>
        </w:rPr>
        <w:t xml:space="preserve"> = 2) for the </w:t>
      </w:r>
      <w:r w:rsidR="00E01608">
        <w:rPr>
          <w:szCs w:val="20"/>
          <w:lang w:val="en-US"/>
        </w:rPr>
        <w:t xml:space="preserve">normal </w:t>
      </w:r>
      <w:r w:rsidRPr="00080E6E">
        <w:rPr>
          <w:szCs w:val="20"/>
          <w:lang w:val="en-US"/>
        </w:rPr>
        <w:t>contribution throughout the measurement process. The stability of the height is given by differential</w:t>
      </w:r>
      <w:r>
        <w:rPr>
          <w:szCs w:val="20"/>
          <w:lang w:val="en-US"/>
        </w:rPr>
        <w:t xml:space="preserve"> </w:t>
      </w:r>
      <w:r w:rsidRPr="00080E6E">
        <w:rPr>
          <w:szCs w:val="20"/>
          <w:lang w:val="en-US"/>
        </w:rPr>
        <w:t>height measurements with a laser sensor at the end of the lever and by the displacement of the air bearing via a step motor. The signal threshold level for the adjustment was laid down as being 100 µm. If the signal threshold level and the contributions due to the uncertainties of differential height measurements and of the displacement by means of the step motor, then one obtains a total contribution of 186 µm. A reduction of the signal threshold level considerably reduces the uncertainty; however, the effort for the adjustment control then increases tremendously. A one-sided height difference of 186</w:t>
      </w:r>
      <w:r w:rsidR="0000028D">
        <w:rPr>
          <w:szCs w:val="20"/>
          <w:lang w:val="en-US"/>
        </w:rPr>
        <w:t> </w:t>
      </w:r>
      <w:r w:rsidRPr="00080E6E">
        <w:rPr>
          <w:szCs w:val="20"/>
          <w:lang w:val="en-US"/>
        </w:rPr>
        <w:t>µm, related to a band length of 1440 mm, corresponds, at 1000 N, to a negligible change in torque of 8.3·10</w:t>
      </w:r>
      <w:r w:rsidRPr="00080E6E">
        <w:rPr>
          <w:szCs w:val="20"/>
          <w:vertAlign w:val="superscript"/>
          <w:lang w:val="en-US"/>
        </w:rPr>
        <w:t>-6</w:t>
      </w:r>
      <w:r w:rsidRPr="00080E6E">
        <w:rPr>
          <w:szCs w:val="20"/>
          <w:lang w:val="en-US"/>
        </w:rPr>
        <w:t xml:space="preserve"> N·m.</w:t>
      </w:r>
      <w:r w:rsidRPr="00080E6E">
        <w:t xml:space="preserve"> </w:t>
      </w:r>
      <w:r w:rsidRPr="00080E6E">
        <w:rPr>
          <w:szCs w:val="20"/>
          <w:lang w:val="en-US"/>
        </w:rPr>
        <w:t xml:space="preserve">When loading with the 1 MN FSM with </w:t>
      </w:r>
      <w:r w:rsidRPr="00080E6E">
        <w:rPr>
          <w:i/>
          <w:szCs w:val="20"/>
          <w:lang w:val="en-US"/>
        </w:rPr>
        <w:t>F</w:t>
      </w:r>
      <w:r w:rsidRPr="00080E6E">
        <w:rPr>
          <w:szCs w:val="20"/>
          <w:vertAlign w:val="subscript"/>
          <w:lang w:val="en-US"/>
        </w:rPr>
        <w:t>z</w:t>
      </w:r>
      <w:r w:rsidRPr="00080E6E">
        <w:rPr>
          <w:szCs w:val="20"/>
          <w:lang w:val="en-US"/>
        </w:rPr>
        <w:t>, the adaptor/sensor/lever set-up lowers itself. This is due to elongations in the 1 MN adjustment control and compression of the adapter/sensor system. For 50</w:t>
      </w:r>
      <w:r w:rsidR="00CA5976">
        <w:rPr>
          <w:szCs w:val="20"/>
          <w:lang w:val="en-US"/>
        </w:rPr>
        <w:t xml:space="preserve">0 </w:t>
      </w:r>
      <w:proofErr w:type="spellStart"/>
      <w:proofErr w:type="gramStart"/>
      <w:r w:rsidR="00CA5976">
        <w:rPr>
          <w:szCs w:val="20"/>
          <w:lang w:val="en-US"/>
        </w:rPr>
        <w:t>kN</w:t>
      </w:r>
      <w:proofErr w:type="spellEnd"/>
      <w:proofErr w:type="gramEnd"/>
      <w:r w:rsidR="00CA5976">
        <w:rPr>
          <w:szCs w:val="20"/>
          <w:lang w:val="en-US"/>
        </w:rPr>
        <w:t xml:space="preserve"> this lowering amounts to ~ </w:t>
      </w:r>
      <w:r w:rsidRPr="00080E6E">
        <w:rPr>
          <w:szCs w:val="20"/>
          <w:lang w:val="en-US"/>
        </w:rPr>
        <w:t>2.6</w:t>
      </w:r>
      <w:r w:rsidR="00CA5976">
        <w:rPr>
          <w:szCs w:val="20"/>
          <w:lang w:val="en-US"/>
        </w:rPr>
        <w:t> </w:t>
      </w:r>
      <w:r w:rsidRPr="00080E6E">
        <w:rPr>
          <w:szCs w:val="20"/>
          <w:lang w:val="en-US"/>
        </w:rPr>
        <w:t xml:space="preserve">mm. This height difference to the air bearing is corrected automatically by the adjustment control when the load is changed. The orientation therefore remains stable, even under an </w:t>
      </w:r>
      <w:r w:rsidRPr="00080E6E">
        <w:rPr>
          <w:i/>
          <w:szCs w:val="20"/>
          <w:lang w:val="en-US"/>
        </w:rPr>
        <w:t>F</w:t>
      </w:r>
      <w:r w:rsidRPr="00080E6E">
        <w:rPr>
          <w:szCs w:val="20"/>
          <w:vertAlign w:val="subscript"/>
          <w:lang w:val="en-US"/>
        </w:rPr>
        <w:t>z</w:t>
      </w:r>
      <w:r w:rsidRPr="00080E6E">
        <w:rPr>
          <w:szCs w:val="20"/>
          <w:lang w:val="en-US"/>
        </w:rPr>
        <w:t xml:space="preserve"> load, in a range of 186</w:t>
      </w:r>
      <w:r w:rsidR="0000028D">
        <w:rPr>
          <w:szCs w:val="20"/>
          <w:lang w:val="en-US"/>
        </w:rPr>
        <w:t> </w:t>
      </w:r>
      <w:r w:rsidRPr="00080E6E">
        <w:rPr>
          <w:szCs w:val="20"/>
          <w:lang w:val="en-US"/>
        </w:rPr>
        <w:t>µm.</w:t>
      </w:r>
    </w:p>
    <w:p w:rsidR="00023E1A" w:rsidRPr="00EB45FF" w:rsidRDefault="00080E6E" w:rsidP="00023E1A">
      <w:pPr>
        <w:pStyle w:val="Level2Title"/>
      </w:pPr>
      <w:r>
        <w:t>Deviation in planarity of the pressure plate, adaptation and sensor</w:t>
      </w:r>
    </w:p>
    <w:p w:rsidR="00080E6E" w:rsidRDefault="00080E6E" w:rsidP="00080E6E">
      <w:r>
        <w:t xml:space="preserve">The lever's tilt in relation to the ideal x-y-plane depends on the orientation of the adaptor/sensor system. The adaptor parts </w:t>
      </w:r>
      <w:r>
        <w:t xml:space="preserve">are mechanical components to mounting the sensors at the multi-component facility. Deviations lead to angular errors and, thus, to a tilt of the lever. The standard reference is the pressure plate of the 1 MN FMS. Averaging over different measurement series provides an estimate of the flatness. This can be specified as </w:t>
      </w:r>
      <w:proofErr w:type="spellStart"/>
      <w:r w:rsidR="00E01608" w:rsidRPr="00E01608">
        <w:rPr>
          <w:rFonts w:ascii="Symbol" w:hAnsi="Symbol"/>
          <w:i/>
        </w:rPr>
        <w:t></w:t>
      </w:r>
      <w:r w:rsidR="00E01608" w:rsidRPr="00E01608">
        <w:rPr>
          <w:vertAlign w:val="subscript"/>
        </w:rPr>
        <w:t>PP</w:t>
      </w:r>
      <w:proofErr w:type="spellEnd"/>
      <w:r w:rsidR="00E01608">
        <w:t> = </w:t>
      </w:r>
      <w:r>
        <w:t>0° ± 0.0178°. The angle refers to a tilt of the plane in relation to the ideal x-y-plane. Correspon</w:t>
      </w:r>
      <w:r w:rsidR="0000028D">
        <w:t xml:space="preserve">dingly, an angular deviation </w:t>
      </w:r>
      <w:r w:rsidR="00E01608" w:rsidRPr="00E01608">
        <w:rPr>
          <w:rFonts w:ascii="Symbol" w:hAnsi="Symbol"/>
          <w:i/>
        </w:rPr>
        <w:t></w:t>
      </w:r>
      <w:r w:rsidR="00E01608" w:rsidRPr="00E01608">
        <w:rPr>
          <w:vertAlign w:val="subscript"/>
        </w:rPr>
        <w:t>PP</w:t>
      </w:r>
      <w:r w:rsidR="00E01608">
        <w:t> = </w:t>
      </w:r>
      <w:r w:rsidR="0000028D">
        <w:t>0° ± </w:t>
      </w:r>
      <w:r>
        <w:t>0.0178° also applies to the lever.</w:t>
      </w:r>
    </w:p>
    <w:p w:rsidR="00075CAB" w:rsidRPr="00EB45FF" w:rsidRDefault="00080E6E" w:rsidP="00222FBC">
      <w:r>
        <w:t>In addition, the flatness errors accumulate due to the adaption parts, the sensor and their installation. The resulting angular error depends on the quality of the components and must therefore be determined separately for each adaptor/sensor system. In the case of the MUB described in</w:t>
      </w:r>
      <w:r w:rsidR="0000028D">
        <w:t xml:space="preserve"> Tab. 1, an angular error </w:t>
      </w:r>
      <w:r w:rsidR="00E01608" w:rsidRPr="00E01608">
        <w:rPr>
          <w:rFonts w:ascii="Symbol" w:hAnsi="Symbol"/>
          <w:i/>
        </w:rPr>
        <w:t></w:t>
      </w:r>
      <w:r w:rsidR="00E01608">
        <w:rPr>
          <w:vertAlign w:val="subscript"/>
        </w:rPr>
        <w:t>A</w:t>
      </w:r>
      <w:r w:rsidR="00E01608" w:rsidRPr="00E01608">
        <w:rPr>
          <w:vertAlign w:val="subscript"/>
        </w:rPr>
        <w:t>P</w:t>
      </w:r>
      <w:r w:rsidR="00E01608">
        <w:t> = </w:t>
      </w:r>
      <w:r w:rsidR="0000028D">
        <w:t>0.18° </w:t>
      </w:r>
      <w:r>
        <w:t>±</w:t>
      </w:r>
      <w:r w:rsidR="0000028D">
        <w:t> </w:t>
      </w:r>
      <w:r>
        <w:t>0.0201° can be stated. The MUB does not take the orientation of the angular error into account. The error is upper estimated by considering it as bei</w:t>
      </w:r>
      <w:r w:rsidR="00222FBC">
        <w:t xml:space="preserve">ng constant for all directions. </w:t>
      </w:r>
      <w:r>
        <w:t>According to the calibration results obtained by the Coordinate Metrology Division, the deflection of the lever due to its dead weight can be neglected</w:t>
      </w:r>
      <w:r w:rsidR="008050EC" w:rsidRPr="00EB45FF">
        <w:t>.</w:t>
      </w:r>
    </w:p>
    <w:p w:rsidR="00937D8A" w:rsidRPr="00EB45FF" w:rsidRDefault="00222FBC" w:rsidP="00802D34">
      <w:pPr>
        <w:pStyle w:val="Level1Title"/>
      </w:pPr>
      <w:r>
        <w:t>Disturbing Quantities</w:t>
      </w:r>
    </w:p>
    <w:p w:rsidR="00222FBC" w:rsidRDefault="00222FBC" w:rsidP="00222FBC">
      <w:r>
        <w:t xml:space="preserve">The quantities considered as disturbing quantities are the shearing force </w:t>
      </w:r>
      <w:r w:rsidRPr="00222FBC">
        <w:rPr>
          <w:i/>
        </w:rPr>
        <w:t>F</w:t>
      </w:r>
      <w:r w:rsidRPr="00222FBC">
        <w:rPr>
          <w:vertAlign w:val="subscript"/>
        </w:rPr>
        <w:t>y</w:t>
      </w:r>
      <w:r>
        <w:t xml:space="preserve">, an additional axial force </w:t>
      </w:r>
      <w:r w:rsidRPr="00222FBC">
        <w:rPr>
          <w:i/>
        </w:rPr>
        <w:t>F</w:t>
      </w:r>
      <w:r w:rsidRPr="00222FBC">
        <w:rPr>
          <w:vertAlign w:val="subscript"/>
        </w:rPr>
        <w:t>z</w:t>
      </w:r>
      <w:r>
        <w:t xml:space="preserve"> and the bending moments </w:t>
      </w:r>
      <w:r w:rsidRPr="00222FBC">
        <w:rPr>
          <w:i/>
        </w:rPr>
        <w:t>M</w:t>
      </w:r>
      <w:r w:rsidRPr="00222FBC">
        <w:rPr>
          <w:vertAlign w:val="subscript"/>
        </w:rPr>
        <w:t>x</w:t>
      </w:r>
      <w:r>
        <w:t xml:space="preserve"> and </w:t>
      </w:r>
      <w:r w:rsidRPr="00222FBC">
        <w:rPr>
          <w:i/>
        </w:rPr>
        <w:t>M</w:t>
      </w:r>
      <w:r w:rsidRPr="00222FBC">
        <w:rPr>
          <w:vertAlign w:val="subscript"/>
        </w:rPr>
        <w:t>y</w:t>
      </w:r>
      <w:r>
        <w:t>. A nominal value 0 is the goal for all disturbing quantities. Deviations of the geometric orientation (essentially), however, result in an uncertainty for the nominal value; this applies to each quantity.</w:t>
      </w:r>
    </w:p>
    <w:p w:rsidR="00E01608" w:rsidRDefault="00222FBC" w:rsidP="00222FBC">
      <w:r>
        <w:t>The computation is carried out separately for each torque lo</w:t>
      </w:r>
      <w:r w:rsidR="00E01608">
        <w:t>ad step and must be calculated</w:t>
      </w:r>
      <w:r w:rsidR="0000028D">
        <w:t xml:space="preserve"> </w:t>
      </w:r>
      <w:r>
        <w:t>new for each adaptor/sensor system. For the system to which also Tab</w:t>
      </w:r>
      <w:r w:rsidR="00E01608">
        <w:t>. 1 applies, at 2000 N·m, 0 N·m </w:t>
      </w:r>
      <w:r>
        <w:t xml:space="preserve">± 0.4 N·m is obtained for </w:t>
      </w:r>
      <w:r w:rsidRPr="00222FBC">
        <w:rPr>
          <w:i/>
        </w:rPr>
        <w:t>M</w:t>
      </w:r>
      <w:r w:rsidRPr="00222FBC">
        <w:rPr>
          <w:vertAlign w:val="subscript"/>
        </w:rPr>
        <w:t>x</w:t>
      </w:r>
      <w:r>
        <w:t xml:space="preserve"> and 3.49 N·m ± 1.01 N·m for </w:t>
      </w:r>
      <w:proofErr w:type="gramStart"/>
      <w:r w:rsidRPr="00222FBC">
        <w:rPr>
          <w:i/>
        </w:rPr>
        <w:t>M</w:t>
      </w:r>
      <w:r w:rsidRPr="00222FBC">
        <w:rPr>
          <w:vertAlign w:val="subscript"/>
        </w:rPr>
        <w:t>y</w:t>
      </w:r>
      <w:proofErr w:type="gramEnd"/>
      <w:r>
        <w:t xml:space="preserve">. The deviation from the nominal value for </w:t>
      </w:r>
      <w:proofErr w:type="gramStart"/>
      <w:r w:rsidRPr="00222FBC">
        <w:rPr>
          <w:i/>
        </w:rPr>
        <w:t>M</w:t>
      </w:r>
      <w:r w:rsidRPr="00222FBC">
        <w:rPr>
          <w:vertAlign w:val="subscript"/>
        </w:rPr>
        <w:t>y</w:t>
      </w:r>
      <w:proofErr w:type="gramEnd"/>
      <w:r>
        <w:t xml:space="preserve"> is due to the acting force </w:t>
      </w:r>
      <w:r w:rsidRPr="00222FBC">
        <w:rPr>
          <w:i/>
        </w:rPr>
        <w:t>F</w:t>
      </w:r>
      <w:r w:rsidRPr="00222FBC">
        <w:rPr>
          <w:vertAlign w:val="subscript"/>
        </w:rPr>
        <w:t>x</w:t>
      </w:r>
      <w:r>
        <w:t xml:space="preserve"> and to an effective lever length </w:t>
      </w:r>
      <w:r w:rsidRPr="00222FBC">
        <w:rPr>
          <w:i/>
        </w:rPr>
        <w:t>l</w:t>
      </w:r>
      <w:r w:rsidRPr="00222FBC">
        <w:rPr>
          <w:vertAlign w:val="subscript"/>
        </w:rPr>
        <w:t>z</w:t>
      </w:r>
      <w:r>
        <w:t xml:space="preserve"> as a result of the lever's tilt. Due to adaption parts with smaller flatness errors, it is possible to reduce the lever's tilt as well as the resulting bending moments significantly. Tab. 2 shows the percentage contribution of the significant influence quantities on the uncertainty of </w:t>
      </w:r>
      <w:proofErr w:type="gramStart"/>
      <w:r w:rsidRPr="00222FBC">
        <w:rPr>
          <w:i/>
        </w:rPr>
        <w:t>M</w:t>
      </w:r>
      <w:r w:rsidRPr="00222FBC">
        <w:rPr>
          <w:vertAlign w:val="subscript"/>
        </w:rPr>
        <w:t>y</w:t>
      </w:r>
      <w:proofErr w:type="gramEnd"/>
      <w:r>
        <w:t xml:space="preserve"> and </w:t>
      </w:r>
      <w:r w:rsidRPr="00222FBC">
        <w:rPr>
          <w:i/>
        </w:rPr>
        <w:t>M</w:t>
      </w:r>
      <w:r w:rsidRPr="00222FBC">
        <w:rPr>
          <w:vertAlign w:val="subscript"/>
        </w:rPr>
        <w:t>x</w:t>
      </w:r>
      <w:r>
        <w:t>. The influence quantities that are not mentioned there, see Tab. 1, have a negligibly small influence on the MUB amounting to &lt; 0.0001 %.</w:t>
      </w:r>
    </w:p>
    <w:p w:rsidR="00E01608" w:rsidRDefault="00E01608" w:rsidP="00222FBC"/>
    <w:p w:rsidR="00222FBC" w:rsidRDefault="00222FBC" w:rsidP="00222FBC">
      <w:r>
        <w:t xml:space="preserve">The disturbing quantities </w:t>
      </w:r>
      <w:proofErr w:type="gramStart"/>
      <w:r w:rsidRPr="00222FBC">
        <w:rPr>
          <w:i/>
        </w:rPr>
        <w:t>F</w:t>
      </w:r>
      <w:r w:rsidRPr="00222FBC">
        <w:rPr>
          <w:vertAlign w:val="subscript"/>
        </w:rPr>
        <w:t>y</w:t>
      </w:r>
      <w:proofErr w:type="gramEnd"/>
      <w:r>
        <w:t xml:space="preserve"> and </w:t>
      </w:r>
      <w:r w:rsidRPr="00222FBC">
        <w:rPr>
          <w:i/>
        </w:rPr>
        <w:t>F</w:t>
      </w:r>
      <w:r w:rsidRPr="00222FBC">
        <w:rPr>
          <w:vertAlign w:val="subscript"/>
        </w:rPr>
        <w:t>z</w:t>
      </w:r>
      <w:r>
        <w:t xml:space="preserve"> were also computed from the geometric deviations. At the maximum load step 2000 N·m, one obtains for the system 0 N ± 2.6 N for </w:t>
      </w:r>
      <w:proofErr w:type="gramStart"/>
      <w:r w:rsidRPr="00222FBC">
        <w:rPr>
          <w:i/>
        </w:rPr>
        <w:t>F</w:t>
      </w:r>
      <w:r w:rsidRPr="00222FBC">
        <w:rPr>
          <w:vertAlign w:val="subscript"/>
        </w:rPr>
        <w:t>y</w:t>
      </w:r>
      <w:proofErr w:type="gramEnd"/>
      <w:r>
        <w:t xml:space="preserve"> and 0 N ± 0.3 N for </w:t>
      </w:r>
      <w:r w:rsidRPr="00222FBC">
        <w:rPr>
          <w:i/>
        </w:rPr>
        <w:t>F</w:t>
      </w:r>
      <w:r w:rsidRPr="00222FBC">
        <w:rPr>
          <w:vertAlign w:val="subscript"/>
        </w:rPr>
        <w:t>z</w:t>
      </w:r>
      <w:r>
        <w:t>.</w:t>
      </w:r>
    </w:p>
    <w:p w:rsidR="004110A7" w:rsidRDefault="004110A7" w:rsidP="00222FBC"/>
    <w:p w:rsidR="004110A7" w:rsidRDefault="004110A7" w:rsidP="00222FBC"/>
    <w:p w:rsidR="004110A7" w:rsidRPr="007E7B63" w:rsidRDefault="004110A7" w:rsidP="004110A7">
      <w:pPr>
        <w:pStyle w:val="Figure"/>
        <w:framePr w:w="4961" w:vSpace="284" w:wrap="notBeside" w:vAnchor="page" w:hAnchor="page" w:x="861" w:y="2619"/>
        <w:rPr>
          <w:color w:val="000000" w:themeColor="text1"/>
        </w:rPr>
      </w:pPr>
      <w:r>
        <w:rPr>
          <w:noProof/>
          <w:color w:val="000000" w:themeColor="text1"/>
          <w:lang w:val="de-DE" w:eastAsia="de-DE"/>
        </w:rPr>
        <w:lastRenderedPageBreak/>
        <w:drawing>
          <wp:inline distT="0" distB="0" distL="0" distR="0" wp14:anchorId="7083B81D">
            <wp:extent cx="3367496" cy="2366010"/>
            <wp:effectExtent l="0" t="0" r="444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74148" cy="2370684"/>
                    </a:xfrm>
                    <a:prstGeom prst="rect">
                      <a:avLst/>
                    </a:prstGeom>
                    <a:noFill/>
                  </pic:spPr>
                </pic:pic>
              </a:graphicData>
            </a:graphic>
          </wp:inline>
        </w:drawing>
      </w:r>
    </w:p>
    <w:p w:rsidR="004110A7" w:rsidRPr="007E7B63" w:rsidRDefault="004110A7" w:rsidP="004110A7">
      <w:pPr>
        <w:pStyle w:val="FigureCaption"/>
        <w:framePr w:w="4961" w:vSpace="284" w:wrap="notBeside" w:vAnchor="page" w:hAnchor="page" w:x="861" w:y="2619"/>
        <w:spacing w:after="0"/>
        <w:rPr>
          <w:color w:val="000000" w:themeColor="text1"/>
          <w:vertAlign w:val="superscript"/>
        </w:rPr>
      </w:pPr>
      <w:r w:rsidRPr="007E7B63">
        <w:rPr>
          <w:color w:val="000000" w:themeColor="text1"/>
        </w:rPr>
        <w:t xml:space="preserve">Figure 4. Torque signal change </w:t>
      </w:r>
      <w:r w:rsidRPr="007E7B63">
        <w:rPr>
          <w:i/>
          <w:color w:val="000000" w:themeColor="text1"/>
        </w:rPr>
        <w:t>S</w:t>
      </w:r>
      <w:r w:rsidRPr="007E7B63">
        <w:rPr>
          <w:color w:val="000000" w:themeColor="text1"/>
          <w:vertAlign w:val="subscript"/>
        </w:rPr>
        <w:t xml:space="preserve">Mz </w:t>
      </w:r>
      <w:r w:rsidRPr="007E7B63">
        <w:rPr>
          <w:color w:val="000000" w:themeColor="text1"/>
        </w:rPr>
        <w:t>by combined load conditions</w:t>
      </w:r>
    </w:p>
    <w:p w:rsidR="004110A7" w:rsidRPr="007E7B63" w:rsidRDefault="004110A7" w:rsidP="004110A7">
      <w:pPr>
        <w:pStyle w:val="Figure"/>
        <w:keepNext/>
        <w:framePr w:w="4961" w:vSpace="284" w:wrap="notBeside" w:vAnchor="page" w:hAnchor="page" w:x="6079" w:y="2831"/>
        <w:rPr>
          <w:color w:val="000000" w:themeColor="text1"/>
        </w:rPr>
      </w:pPr>
      <w:r>
        <w:rPr>
          <w:noProof/>
          <w:color w:val="000000" w:themeColor="text1"/>
          <w:lang w:val="de-DE" w:eastAsia="de-DE"/>
        </w:rPr>
        <w:drawing>
          <wp:inline distT="0" distB="0" distL="0" distR="0" wp14:anchorId="402C16BA">
            <wp:extent cx="3205718" cy="2252345"/>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8211" cy="2268148"/>
                    </a:xfrm>
                    <a:prstGeom prst="rect">
                      <a:avLst/>
                    </a:prstGeom>
                    <a:noFill/>
                  </pic:spPr>
                </pic:pic>
              </a:graphicData>
            </a:graphic>
          </wp:inline>
        </w:drawing>
      </w:r>
    </w:p>
    <w:p w:rsidR="004110A7" w:rsidRPr="007E7B63" w:rsidRDefault="004110A7" w:rsidP="004110A7">
      <w:pPr>
        <w:pStyle w:val="FigureCaption"/>
        <w:framePr w:w="4961" w:vSpace="284" w:wrap="notBeside" w:vAnchor="page" w:hAnchor="page" w:x="6079" w:y="2831"/>
        <w:spacing w:after="0"/>
        <w:rPr>
          <w:color w:val="000000" w:themeColor="text1"/>
        </w:rPr>
      </w:pPr>
      <w:r w:rsidRPr="007E7B63">
        <w:rPr>
          <w:color w:val="000000" w:themeColor="text1"/>
        </w:rPr>
        <w:t xml:space="preserve">Figure 5. Relative signal change </w:t>
      </w:r>
      <w:r w:rsidRPr="007E7B63">
        <w:rPr>
          <w:i/>
          <w:color w:val="000000" w:themeColor="text1"/>
        </w:rPr>
        <w:t>S</w:t>
      </w:r>
      <w:r w:rsidRPr="007E7B63">
        <w:rPr>
          <w:color w:val="000000" w:themeColor="text1"/>
          <w:vertAlign w:val="subscript"/>
        </w:rPr>
        <w:t xml:space="preserve">Mz </w:t>
      </w:r>
      <w:r w:rsidRPr="007E7B63">
        <w:rPr>
          <w:color w:val="000000" w:themeColor="text1"/>
        </w:rPr>
        <w:t>by combined load conditions</w:t>
      </w:r>
    </w:p>
    <w:p w:rsidR="00E01608" w:rsidRDefault="00222FBC" w:rsidP="00222FBC">
      <w:r>
        <w:t>Disturbing quantities may cause the characteristic curve of a sensor to shift. The signal crosstalk as a function of these quantities is often difficult to describe [8]. With little technical effort, it is possible to use the measuring device asynchronously in order to, for example, estimate the sensitivity of a sensor to a certain disturbing quantity.</w:t>
      </w:r>
    </w:p>
    <w:p w:rsidR="004C5196" w:rsidRPr="007E7B63" w:rsidRDefault="004C5196" w:rsidP="00802D34">
      <w:pPr>
        <w:pStyle w:val="Level1Title"/>
        <w:rPr>
          <w:color w:val="000000" w:themeColor="text1"/>
        </w:rPr>
      </w:pPr>
      <w:r w:rsidRPr="007E7B63">
        <w:rPr>
          <w:color w:val="000000" w:themeColor="text1"/>
        </w:rPr>
        <w:t>s</w:t>
      </w:r>
      <w:r w:rsidR="009C4F68" w:rsidRPr="007E7B63">
        <w:rPr>
          <w:color w:val="000000" w:themeColor="text1"/>
        </w:rPr>
        <w:t xml:space="preserve">ignal crosstalk for </w:t>
      </w:r>
      <w:r w:rsidR="009C4F68" w:rsidRPr="007E7B63">
        <w:rPr>
          <w:i/>
          <w:color w:val="000000" w:themeColor="text1"/>
        </w:rPr>
        <w:t>S</w:t>
      </w:r>
      <w:r w:rsidR="009C4F68" w:rsidRPr="007E7B63">
        <w:rPr>
          <w:color w:val="000000" w:themeColor="text1"/>
          <w:vertAlign w:val="subscript"/>
        </w:rPr>
        <w:t>mz</w:t>
      </w:r>
    </w:p>
    <w:p w:rsidR="002D084F" w:rsidRPr="007E7B63" w:rsidRDefault="009D6B20" w:rsidP="009D6B20">
      <w:pPr>
        <w:rPr>
          <w:color w:val="000000" w:themeColor="text1"/>
        </w:rPr>
      </w:pPr>
      <w:r w:rsidRPr="007E7B63">
        <w:rPr>
          <w:color w:val="000000" w:themeColor="text1"/>
        </w:rPr>
        <w:t xml:space="preserve">The combined load conditions between </w:t>
      </w:r>
      <w:r w:rsidRPr="007E7B63">
        <w:rPr>
          <w:i/>
          <w:color w:val="000000" w:themeColor="text1"/>
        </w:rPr>
        <w:t>F</w:t>
      </w:r>
      <w:r w:rsidRPr="007E7B63">
        <w:rPr>
          <w:color w:val="000000" w:themeColor="text1"/>
          <w:vertAlign w:val="subscript"/>
        </w:rPr>
        <w:t>z</w:t>
      </w:r>
      <w:r w:rsidRPr="007E7B63">
        <w:rPr>
          <w:color w:val="000000" w:themeColor="text1"/>
        </w:rPr>
        <w:t xml:space="preserve"> and </w:t>
      </w:r>
      <w:r w:rsidRPr="007E7B63">
        <w:rPr>
          <w:i/>
          <w:color w:val="000000" w:themeColor="text1"/>
        </w:rPr>
        <w:t>M</w:t>
      </w:r>
      <w:r w:rsidRPr="007E7B63">
        <w:rPr>
          <w:color w:val="000000" w:themeColor="text1"/>
          <w:vertAlign w:val="subscript"/>
        </w:rPr>
        <w:t>z</w:t>
      </w:r>
      <w:r w:rsidRPr="007E7B63">
        <w:rPr>
          <w:color w:val="000000" w:themeColor="text1"/>
        </w:rPr>
        <w:t xml:space="preserve"> and the signal crosstalk of </w:t>
      </w:r>
      <w:r w:rsidRPr="007E7B63">
        <w:rPr>
          <w:i/>
          <w:color w:val="000000" w:themeColor="text1"/>
        </w:rPr>
        <w:t>S</w:t>
      </w:r>
      <w:r w:rsidRPr="007E7B63">
        <w:rPr>
          <w:color w:val="000000" w:themeColor="text1"/>
          <w:vertAlign w:val="subscript"/>
        </w:rPr>
        <w:t>Fz</w:t>
      </w:r>
      <w:r w:rsidRPr="007E7B63">
        <w:rPr>
          <w:color w:val="000000" w:themeColor="text1"/>
        </w:rPr>
        <w:t xml:space="preserve"> and </w:t>
      </w:r>
      <w:r w:rsidRPr="007E7B63">
        <w:rPr>
          <w:i/>
          <w:color w:val="000000" w:themeColor="text1"/>
        </w:rPr>
        <w:t>S</w:t>
      </w:r>
      <w:r w:rsidRPr="007E7B63">
        <w:rPr>
          <w:color w:val="000000" w:themeColor="text1"/>
          <w:vertAlign w:val="subscript"/>
        </w:rPr>
        <w:t>Mz</w:t>
      </w:r>
      <w:r w:rsidRPr="007E7B63">
        <w:rPr>
          <w:color w:val="000000" w:themeColor="text1"/>
        </w:rPr>
        <w:t xml:space="preserve"> were investigated based on the example of a multi-component sensor (MCS) which is specially adapted to the auxiliary device. The subsequent objective being the traceability of industrial sensors, the measurement results will be used to derive and develop expedient and practical calibration procedures and sequences as well as evaluation and analytical procedures.</w:t>
      </w:r>
      <w:r w:rsidR="002D084F" w:rsidRPr="007E7B63">
        <w:rPr>
          <w:color w:val="000000" w:themeColor="text1"/>
          <w:lang w:val="en-US"/>
        </w:rPr>
        <w:t xml:space="preserve"> </w:t>
      </w:r>
    </w:p>
    <w:p w:rsidR="00CA5976" w:rsidRPr="007E7B63" w:rsidRDefault="00CA5976" w:rsidP="00222FBC">
      <w:pPr>
        <w:rPr>
          <w:color w:val="000000" w:themeColor="text1"/>
          <w:lang w:val="en-US"/>
        </w:rPr>
      </w:pPr>
    </w:p>
    <w:p w:rsidR="002D084F" w:rsidRPr="007E7B63" w:rsidRDefault="002D084F" w:rsidP="002D084F">
      <w:pPr>
        <w:pStyle w:val="Level2Title"/>
        <w:rPr>
          <w:color w:val="000000" w:themeColor="text1"/>
        </w:rPr>
      </w:pPr>
      <w:r w:rsidRPr="007E7B63">
        <w:rPr>
          <w:color w:val="000000" w:themeColor="text1"/>
        </w:rPr>
        <w:t>Multi-component sensor</w:t>
      </w:r>
    </w:p>
    <w:p w:rsidR="0015631D" w:rsidRPr="007E7B63" w:rsidRDefault="009D6B20" w:rsidP="009D6B20">
      <w:pPr>
        <w:rPr>
          <w:color w:val="000000" w:themeColor="text1"/>
        </w:rPr>
      </w:pPr>
      <w:r w:rsidRPr="007E7B63">
        <w:rPr>
          <w:color w:val="000000" w:themeColor="text1"/>
        </w:rPr>
        <w:t xml:space="preserve">The sensor has the nominal load ranges </w:t>
      </w:r>
      <w:r w:rsidRPr="007E7B63">
        <w:rPr>
          <w:i/>
          <w:color w:val="000000" w:themeColor="text1"/>
        </w:rPr>
        <w:t>F</w:t>
      </w:r>
      <w:r w:rsidRPr="007E7B63">
        <w:rPr>
          <w:color w:val="000000" w:themeColor="text1"/>
          <w:vertAlign w:val="subscript"/>
        </w:rPr>
        <w:t>z</w:t>
      </w:r>
      <w:r w:rsidRPr="007E7B63">
        <w:rPr>
          <w:color w:val="000000" w:themeColor="text1"/>
        </w:rPr>
        <w:t> = 500 </w:t>
      </w:r>
      <w:proofErr w:type="spellStart"/>
      <w:proofErr w:type="gramStart"/>
      <w:r w:rsidRPr="007E7B63">
        <w:rPr>
          <w:color w:val="000000" w:themeColor="text1"/>
        </w:rPr>
        <w:t>kN</w:t>
      </w:r>
      <w:proofErr w:type="spellEnd"/>
      <w:proofErr w:type="gramEnd"/>
      <w:r w:rsidRPr="007E7B63">
        <w:rPr>
          <w:color w:val="000000" w:themeColor="text1"/>
        </w:rPr>
        <w:t xml:space="preserve"> and </w:t>
      </w:r>
      <w:r w:rsidRPr="007E7B63">
        <w:rPr>
          <w:i/>
          <w:color w:val="000000" w:themeColor="text1"/>
        </w:rPr>
        <w:t>M</w:t>
      </w:r>
      <w:r w:rsidRPr="007E7B63">
        <w:rPr>
          <w:color w:val="000000" w:themeColor="text1"/>
          <w:vertAlign w:val="subscript"/>
        </w:rPr>
        <w:t>z</w:t>
      </w:r>
      <w:r w:rsidRPr="007E7B63">
        <w:rPr>
          <w:color w:val="000000" w:themeColor="text1"/>
        </w:rPr>
        <w:t xml:space="preserve"> = 500 N·m. Calibration for individual quantities was performed according to EN ISO 376 and DIN 51309. For </w:t>
      </w:r>
      <w:r w:rsidRPr="007E7B63">
        <w:rPr>
          <w:i/>
          <w:color w:val="000000" w:themeColor="text1"/>
        </w:rPr>
        <w:t>F</w:t>
      </w:r>
      <w:r w:rsidRPr="007E7B63">
        <w:rPr>
          <w:color w:val="000000" w:themeColor="text1"/>
          <w:vertAlign w:val="subscript"/>
        </w:rPr>
        <w:t>z</w:t>
      </w:r>
      <w:r w:rsidRPr="007E7B63">
        <w:rPr>
          <w:color w:val="000000" w:themeColor="text1"/>
        </w:rPr>
        <w:t xml:space="preserve">, the sensor achieved </w:t>
      </w:r>
      <w:r w:rsidR="00E71CA5">
        <w:rPr>
          <w:color w:val="000000" w:themeColor="text1"/>
        </w:rPr>
        <w:t>&lt; 5·10</w:t>
      </w:r>
      <w:r w:rsidR="00E71CA5" w:rsidRPr="00E71CA5">
        <w:rPr>
          <w:color w:val="000000" w:themeColor="text1"/>
          <w:vertAlign w:val="superscript"/>
        </w:rPr>
        <w:t>-4</w:t>
      </w:r>
      <w:r w:rsidR="00E71CA5">
        <w:rPr>
          <w:color w:val="000000" w:themeColor="text1"/>
        </w:rPr>
        <w:t xml:space="preserve"> for &gt; 100 </w:t>
      </w:r>
      <w:proofErr w:type="spellStart"/>
      <w:proofErr w:type="gramStart"/>
      <w:r w:rsidR="00E71CA5">
        <w:rPr>
          <w:color w:val="000000" w:themeColor="text1"/>
        </w:rPr>
        <w:t>kN</w:t>
      </w:r>
      <w:proofErr w:type="spellEnd"/>
      <w:proofErr w:type="gramEnd"/>
      <w:r w:rsidR="00E71CA5">
        <w:rPr>
          <w:color w:val="000000" w:themeColor="text1"/>
        </w:rPr>
        <w:t xml:space="preserve"> and &lt; 2·10</w:t>
      </w:r>
      <w:r w:rsidR="00E71CA5" w:rsidRPr="00E71CA5">
        <w:rPr>
          <w:color w:val="000000" w:themeColor="text1"/>
          <w:vertAlign w:val="superscript"/>
        </w:rPr>
        <w:t>-3</w:t>
      </w:r>
      <w:r w:rsidR="00E71CA5">
        <w:rPr>
          <w:color w:val="000000" w:themeColor="text1"/>
        </w:rPr>
        <w:t xml:space="preserve"> for &lt; 100 </w:t>
      </w:r>
      <w:proofErr w:type="spellStart"/>
      <w:r w:rsidR="00E71CA5">
        <w:rPr>
          <w:color w:val="000000" w:themeColor="text1"/>
        </w:rPr>
        <w:t>kN</w:t>
      </w:r>
      <w:proofErr w:type="spellEnd"/>
      <w:r w:rsidRPr="007E7B63">
        <w:rPr>
          <w:color w:val="000000" w:themeColor="text1"/>
        </w:rPr>
        <w:t xml:space="preserve">, and for </w:t>
      </w:r>
      <w:r w:rsidRPr="007E7B63">
        <w:rPr>
          <w:i/>
          <w:color w:val="000000" w:themeColor="text1"/>
        </w:rPr>
        <w:t>M</w:t>
      </w:r>
      <w:r w:rsidRPr="007E7B63">
        <w:rPr>
          <w:color w:val="000000" w:themeColor="text1"/>
          <w:vertAlign w:val="subscript"/>
        </w:rPr>
        <w:t>z</w:t>
      </w:r>
      <w:r w:rsidRPr="007E7B63">
        <w:rPr>
          <w:color w:val="000000" w:themeColor="text1"/>
        </w:rPr>
        <w:t xml:space="preserve">, the </w:t>
      </w:r>
      <w:r w:rsidR="005955E4">
        <w:rPr>
          <w:color w:val="000000" w:themeColor="text1"/>
        </w:rPr>
        <w:t xml:space="preserve">clock- and anti-clockwise </w:t>
      </w:r>
      <w:r w:rsidRPr="007E7B63">
        <w:rPr>
          <w:color w:val="000000" w:themeColor="text1"/>
        </w:rPr>
        <w:t>measurement uncertainty is (</w:t>
      </w:r>
      <w:r w:rsidRPr="007E7B63">
        <w:rPr>
          <w:i/>
          <w:color w:val="000000" w:themeColor="text1"/>
        </w:rPr>
        <w:t>k</w:t>
      </w:r>
      <w:r w:rsidRPr="007E7B63">
        <w:rPr>
          <w:color w:val="000000" w:themeColor="text1"/>
        </w:rPr>
        <w:t> = 2) &lt; 7·10</w:t>
      </w:r>
      <w:r w:rsidRPr="007E7B63">
        <w:rPr>
          <w:color w:val="000000" w:themeColor="text1"/>
          <w:vertAlign w:val="superscript"/>
        </w:rPr>
        <w:t>-4</w:t>
      </w:r>
      <w:r w:rsidRPr="007E7B63">
        <w:rPr>
          <w:color w:val="000000" w:themeColor="text1"/>
        </w:rPr>
        <w:t xml:space="preserve">. </w:t>
      </w:r>
      <w:r w:rsidRPr="007E7B63">
        <w:rPr>
          <w:i/>
          <w:color w:val="000000" w:themeColor="text1"/>
        </w:rPr>
        <w:t>F</w:t>
      </w:r>
      <w:r w:rsidRPr="007E7B63">
        <w:rPr>
          <w:color w:val="000000" w:themeColor="text1"/>
          <w:vertAlign w:val="subscript"/>
        </w:rPr>
        <w:t>z</w:t>
      </w:r>
      <w:r w:rsidRPr="007E7B63">
        <w:rPr>
          <w:color w:val="000000" w:themeColor="text1"/>
        </w:rPr>
        <w:t xml:space="preserve"> is kept constant for a measurement series, whereas </w:t>
      </w:r>
      <w:r w:rsidRPr="007E7B63">
        <w:rPr>
          <w:i/>
          <w:color w:val="000000" w:themeColor="text1"/>
        </w:rPr>
        <w:t>M</w:t>
      </w:r>
      <w:r w:rsidRPr="007E7B63">
        <w:rPr>
          <w:color w:val="000000" w:themeColor="text1"/>
          <w:vertAlign w:val="subscript"/>
        </w:rPr>
        <w:t>z</w:t>
      </w:r>
      <w:r w:rsidRPr="007E7B63">
        <w:rPr>
          <w:color w:val="000000" w:themeColor="text1"/>
        </w:rPr>
        <w:t xml:space="preserve"> is varied; the next load step </w:t>
      </w:r>
      <w:r w:rsidRPr="007E7B63">
        <w:rPr>
          <w:i/>
          <w:color w:val="000000" w:themeColor="text1"/>
        </w:rPr>
        <w:t>F</w:t>
      </w:r>
      <w:r w:rsidRPr="007E7B63">
        <w:rPr>
          <w:color w:val="000000" w:themeColor="text1"/>
          <w:vertAlign w:val="subscript"/>
        </w:rPr>
        <w:t>z</w:t>
      </w:r>
      <w:r w:rsidRPr="007E7B63">
        <w:rPr>
          <w:color w:val="000000" w:themeColor="text1"/>
        </w:rPr>
        <w:t xml:space="preserve"> is then selected and </w:t>
      </w:r>
      <w:r w:rsidRPr="007E7B63">
        <w:rPr>
          <w:i/>
          <w:color w:val="000000" w:themeColor="text1"/>
        </w:rPr>
        <w:t>M</w:t>
      </w:r>
      <w:r w:rsidRPr="007E7B63">
        <w:rPr>
          <w:color w:val="000000" w:themeColor="text1"/>
          <w:vertAlign w:val="subscript"/>
        </w:rPr>
        <w:t>z</w:t>
      </w:r>
      <w:r w:rsidRPr="007E7B63">
        <w:rPr>
          <w:color w:val="000000" w:themeColor="text1"/>
        </w:rPr>
        <w:t xml:space="preserve"> is varied again. This sequence must be observed to prevent the mass disks from coupling asymmetrically into the load frame of the 1 MN force standard machine. Figure 4 shows the result of the combined loading for the torque signal </w:t>
      </w:r>
      <w:r w:rsidRPr="007E7B63">
        <w:rPr>
          <w:i/>
          <w:color w:val="000000" w:themeColor="text1"/>
        </w:rPr>
        <w:t>S</w:t>
      </w:r>
      <w:r w:rsidRPr="007E7B63">
        <w:rPr>
          <w:color w:val="000000" w:themeColor="text1"/>
          <w:vertAlign w:val="subscript"/>
        </w:rPr>
        <w:t>Mz</w:t>
      </w:r>
      <w:r w:rsidRPr="007E7B63">
        <w:rPr>
          <w:color w:val="000000" w:themeColor="text1"/>
        </w:rPr>
        <w:t xml:space="preserve">. The represented signal is only the signal change caused by combined loading. To assess the influence of signal crosstalk quantitatively, Figure 5 shows the relative change in signal based on the signal evolution from the calibration function of </w:t>
      </w:r>
      <w:r w:rsidRPr="007E7B63">
        <w:rPr>
          <w:i/>
          <w:color w:val="000000" w:themeColor="text1"/>
        </w:rPr>
        <w:t>M</w:t>
      </w:r>
      <w:r w:rsidRPr="007E7B63">
        <w:rPr>
          <w:color w:val="000000" w:themeColor="text1"/>
          <w:vertAlign w:val="subscript"/>
        </w:rPr>
        <w:t>Z</w:t>
      </w:r>
      <w:r w:rsidRPr="007E7B63">
        <w:rPr>
          <w:color w:val="000000" w:themeColor="text1"/>
        </w:rPr>
        <w:t xml:space="preserve">. Without correction, the error share can reach 4 %. This error inherent in the system must therefore be taken into account. The signal crosstalk of </w:t>
      </w:r>
      <w:r w:rsidRPr="007E7B63">
        <w:rPr>
          <w:i/>
          <w:color w:val="000000" w:themeColor="text1"/>
        </w:rPr>
        <w:t>M</w:t>
      </w:r>
      <w:r w:rsidRPr="007E7B63">
        <w:rPr>
          <w:color w:val="000000" w:themeColor="text1"/>
          <w:vertAlign w:val="subscript"/>
        </w:rPr>
        <w:t>z</w:t>
      </w:r>
      <w:r w:rsidRPr="007E7B63">
        <w:rPr>
          <w:color w:val="000000" w:themeColor="text1"/>
        </w:rPr>
        <w:t xml:space="preserve"> on the bridges of </w:t>
      </w:r>
      <w:r w:rsidRPr="007E7B63">
        <w:rPr>
          <w:i/>
          <w:color w:val="000000" w:themeColor="text1"/>
        </w:rPr>
        <w:t>S</w:t>
      </w:r>
      <w:r w:rsidRPr="007E7B63">
        <w:rPr>
          <w:color w:val="000000" w:themeColor="text1"/>
          <w:vertAlign w:val="subscript"/>
        </w:rPr>
        <w:t>Fz</w:t>
      </w:r>
      <w:r w:rsidRPr="007E7B63">
        <w:rPr>
          <w:color w:val="000000" w:themeColor="text1"/>
        </w:rPr>
        <w:t xml:space="preserve"> is negligibly small and is therefore not represented here.</w:t>
      </w:r>
    </w:p>
    <w:p w:rsidR="00A21CC2" w:rsidRPr="007E7B63" w:rsidRDefault="009D6B20" w:rsidP="005D535D">
      <w:pPr>
        <w:pStyle w:val="Level2Title"/>
        <w:ind w:left="576" w:hanging="576"/>
        <w:rPr>
          <w:color w:val="000000" w:themeColor="text1"/>
        </w:rPr>
      </w:pPr>
      <w:r w:rsidRPr="007E7B63">
        <w:rPr>
          <w:color w:val="000000" w:themeColor="text1"/>
        </w:rPr>
        <w:t>Analysis by means of multiple polynomial regression</w:t>
      </w:r>
    </w:p>
    <w:p w:rsidR="00C22ED8" w:rsidRPr="007E7B63" w:rsidRDefault="009D6B20" w:rsidP="009D6B20">
      <w:pPr>
        <w:rPr>
          <w:color w:val="000000" w:themeColor="text1"/>
        </w:rPr>
      </w:pPr>
      <w:r w:rsidRPr="007E7B63">
        <w:rPr>
          <w:color w:val="000000" w:themeColor="text1"/>
        </w:rPr>
        <w:t xml:space="preserve">As shown in Figure 4, the signal behaviour can, as a matter of principle, be represented by means of a higher-dimension regression surface. The multiple polynomial regression (MPR) method was applied. Equation (3) describes the calculation of a parameter matrix </w:t>
      </w:r>
      <w:r w:rsidRPr="007E7B63">
        <w:rPr>
          <w:rFonts w:ascii="Symbol" w:hAnsi="Symbol"/>
          <w:i/>
          <w:color w:val="000000" w:themeColor="text1"/>
        </w:rPr>
        <w:t></w:t>
      </w:r>
      <w:r w:rsidRPr="007E7B63">
        <w:rPr>
          <w:color w:val="000000" w:themeColor="text1"/>
        </w:rPr>
        <w:t xml:space="preserve"> from the identity matrix </w:t>
      </w:r>
      <w:r w:rsidRPr="007E7B63">
        <w:rPr>
          <w:b/>
          <w:i/>
          <w:color w:val="000000" w:themeColor="text1"/>
        </w:rPr>
        <w:t>A</w:t>
      </w:r>
      <w:r w:rsidRPr="007E7B63">
        <w:rPr>
          <w:color w:val="000000" w:themeColor="text1"/>
        </w:rPr>
        <w:t xml:space="preserve"> and a signal matrix </w:t>
      </w:r>
      <w:r w:rsidRPr="007E7B63">
        <w:rPr>
          <w:b/>
          <w:i/>
          <w:color w:val="000000" w:themeColor="text1"/>
        </w:rPr>
        <w:t>Z</w:t>
      </w:r>
      <w:r w:rsidRPr="007E7B63">
        <w:rPr>
          <w:color w:val="000000" w:themeColor="text1"/>
        </w:rPr>
        <w:t xml:space="preserve">. Depending on the order you are aiming at for the solution, a minimum number of data points are required. For a reliable statement with, e.g., a cubic approximate solution, five different </w:t>
      </w:r>
      <w:r w:rsidRPr="007E7B63">
        <w:rPr>
          <w:i/>
          <w:color w:val="000000" w:themeColor="text1"/>
        </w:rPr>
        <w:t>F</w:t>
      </w:r>
      <w:r w:rsidRPr="007E7B63">
        <w:rPr>
          <w:color w:val="000000" w:themeColor="text1"/>
          <w:vertAlign w:val="subscript"/>
        </w:rPr>
        <w:t>z</w:t>
      </w:r>
      <w:r w:rsidRPr="007E7B63">
        <w:rPr>
          <w:color w:val="000000" w:themeColor="text1"/>
        </w:rPr>
        <w:t xml:space="preserve"> and </w:t>
      </w:r>
      <w:r w:rsidRPr="007E7B63">
        <w:rPr>
          <w:i/>
          <w:color w:val="000000" w:themeColor="text1"/>
        </w:rPr>
        <w:t>M</w:t>
      </w:r>
      <w:r w:rsidRPr="007E7B63">
        <w:rPr>
          <w:color w:val="000000" w:themeColor="text1"/>
          <w:vertAlign w:val="subscript"/>
        </w:rPr>
        <w:t>z</w:t>
      </w:r>
      <w:r w:rsidRPr="007E7B63">
        <w:rPr>
          <w:color w:val="000000" w:themeColor="text1"/>
        </w:rPr>
        <w:t xml:space="preserve"> load steps – i.e. 25 independent data points </w:t>
      </w:r>
      <w:bookmarkStart w:id="2" w:name="_GoBack"/>
      <w:bookmarkEnd w:id="2"/>
      <w:r w:rsidRPr="007E7B63">
        <w:rPr>
          <w:color w:val="000000" w:themeColor="text1"/>
        </w:rPr>
        <w:t>– are necessary.</w:t>
      </w:r>
      <w:r w:rsidR="00BA54FE" w:rsidRPr="007E7B63">
        <w:rPr>
          <w:color w:val="000000" w:themeColor="text1"/>
          <w:lang w:val="en-US"/>
        </w:rPr>
        <w:t xml:space="preserve"> </w:t>
      </w:r>
      <w:r w:rsidR="00F30988" w:rsidRPr="007E7B63">
        <w:rPr>
          <w:color w:val="000000" w:themeColor="text1"/>
          <w:lang w:val="en-US"/>
        </w:rPr>
        <w:t xml:space="preserve">  </w:t>
      </w:r>
    </w:p>
    <w:p w:rsidR="007840F7" w:rsidRPr="007E7B63" w:rsidRDefault="007840F7" w:rsidP="007840F7">
      <w:pPr>
        <w:pStyle w:val="TableCaption"/>
        <w:framePr w:w="10206" w:vSpace="284" w:wrap="notBeside" w:vAnchor="page" w:hAnchor="page" w:x="927" w:y="1103"/>
        <w:spacing w:before="0"/>
        <w:rPr>
          <w:color w:val="000000" w:themeColor="text1"/>
        </w:rPr>
      </w:pPr>
      <w:r w:rsidRPr="007E7B63">
        <w:rPr>
          <w:color w:val="000000" w:themeColor="text1"/>
        </w:rPr>
        <w:t>Table 3. Cubic solution parameter for the measurements of F</w:t>
      </w:r>
      <w:r w:rsidR="0000028D" w:rsidRPr="007E7B63">
        <w:rPr>
          <w:color w:val="000000" w:themeColor="text1"/>
        </w:rPr>
        <w:t>igure 4</w:t>
      </w:r>
      <w:r w:rsidRPr="007E7B63">
        <w:rPr>
          <w:color w:val="000000" w:themeColor="text1"/>
        </w:rPr>
        <w:t xml:space="preserve">  </w:t>
      </w:r>
    </w:p>
    <w:tbl>
      <w:tblPr>
        <w:tblW w:w="4931" w:type="pct"/>
        <w:jc w:val="center"/>
        <w:tblBorders>
          <w:top w:val="single" w:sz="12" w:space="0" w:color="000000"/>
          <w:bottom w:val="single" w:sz="12" w:space="0" w:color="000000"/>
        </w:tblBorders>
        <w:tblLayout w:type="fixed"/>
        <w:tblCellMar>
          <w:left w:w="0" w:type="dxa"/>
          <w:right w:w="0" w:type="dxa"/>
        </w:tblCellMar>
        <w:tblLook w:val="0000" w:firstRow="0" w:lastRow="0" w:firstColumn="0" w:lastColumn="0" w:noHBand="0" w:noVBand="0"/>
      </w:tblPr>
      <w:tblGrid>
        <w:gridCol w:w="1006"/>
        <w:gridCol w:w="1006"/>
        <w:gridCol w:w="1006"/>
        <w:gridCol w:w="1006"/>
        <w:gridCol w:w="1006"/>
        <w:gridCol w:w="1007"/>
        <w:gridCol w:w="1007"/>
        <w:gridCol w:w="1007"/>
        <w:gridCol w:w="1007"/>
        <w:gridCol w:w="1007"/>
      </w:tblGrid>
      <w:tr w:rsidR="007E7B63" w:rsidRPr="007E7B63" w:rsidTr="007B0C84">
        <w:trPr>
          <w:trHeight w:val="410"/>
          <w:jc w:val="center"/>
        </w:trPr>
        <w:tc>
          <w:tcPr>
            <w:tcW w:w="5000" w:type="pct"/>
            <w:gridSpan w:val="10"/>
            <w:tcBorders>
              <w:top w:val="single" w:sz="4" w:space="0" w:color="auto"/>
              <w:left w:val="nil"/>
              <w:bottom w:val="nil"/>
              <w:right w:val="nil"/>
            </w:tcBorders>
            <w:vAlign w:val="center"/>
          </w:tcPr>
          <w:p w:rsidR="007B0C84" w:rsidRPr="007E7B63" w:rsidRDefault="007B0C84" w:rsidP="007B0C84">
            <w:pPr>
              <w:framePr w:w="10206" w:vSpace="284" w:wrap="notBeside" w:vAnchor="page" w:hAnchor="page" w:x="927" w:y="1103"/>
              <w:jc w:val="center"/>
              <w:rPr>
                <w:rFonts w:ascii="Calibri" w:hAnsi="Calibri" w:cs="Calibri"/>
                <w:b/>
                <w:color w:val="000000" w:themeColor="text1"/>
                <w:szCs w:val="20"/>
              </w:rPr>
            </w:pPr>
            <w:r w:rsidRPr="007E7B63">
              <w:rPr>
                <w:rFonts w:ascii="Calibri" w:hAnsi="Calibri" w:cs="Calibri"/>
                <w:b/>
                <w:color w:val="000000" w:themeColor="text1"/>
                <w:szCs w:val="20"/>
              </w:rPr>
              <w:t xml:space="preserve">Parameter for the cubic solution </w:t>
            </w:r>
          </w:p>
        </w:tc>
      </w:tr>
      <w:tr w:rsidR="007E7B63" w:rsidRPr="007E7B63" w:rsidTr="007B0C84">
        <w:trPr>
          <w:trHeight w:val="227"/>
          <w:jc w:val="center"/>
        </w:trPr>
        <w:tc>
          <w:tcPr>
            <w:tcW w:w="500" w:type="pct"/>
            <w:tcBorders>
              <w:top w:val="nil"/>
              <w:left w:val="nil"/>
              <w:bottom w:val="single" w:sz="4" w:space="0" w:color="auto"/>
              <w:right w:val="nil"/>
            </w:tcBorders>
            <w:vAlign w:val="center"/>
          </w:tcPr>
          <w:p w:rsidR="007B0C84" w:rsidRPr="007E7B63" w:rsidRDefault="007B0C84" w:rsidP="007B0C84">
            <w:pPr>
              <w:framePr w:w="10206" w:vSpace="284" w:wrap="notBeside" w:vAnchor="page" w:hAnchor="page" w:x="927" w:y="1103"/>
              <w:jc w:val="center"/>
              <w:rPr>
                <w:color w:val="000000" w:themeColor="text1"/>
                <w:szCs w:val="20"/>
              </w:rPr>
            </w:pPr>
            <w:r w:rsidRPr="007E7B63">
              <w:rPr>
                <w:color w:val="000000" w:themeColor="text1"/>
                <w:szCs w:val="20"/>
              </w:rPr>
              <w:t>a</w:t>
            </w:r>
            <w:r w:rsidRPr="007E7B63">
              <w:rPr>
                <w:color w:val="000000" w:themeColor="text1"/>
                <w:szCs w:val="20"/>
                <w:vertAlign w:val="subscript"/>
              </w:rPr>
              <w:t>1</w:t>
            </w:r>
          </w:p>
        </w:tc>
        <w:tc>
          <w:tcPr>
            <w:tcW w:w="500" w:type="pct"/>
            <w:tcBorders>
              <w:top w:val="nil"/>
              <w:left w:val="nil"/>
              <w:bottom w:val="single" w:sz="4" w:space="0" w:color="auto"/>
              <w:right w:val="nil"/>
            </w:tcBorders>
            <w:vAlign w:val="center"/>
          </w:tcPr>
          <w:p w:rsidR="007B0C84" w:rsidRPr="007E7B63" w:rsidRDefault="007B0C84" w:rsidP="007B0C84">
            <w:pPr>
              <w:framePr w:w="10206" w:vSpace="284" w:wrap="notBeside" w:vAnchor="page" w:hAnchor="page" w:x="927" w:y="1103"/>
              <w:jc w:val="center"/>
              <w:rPr>
                <w:color w:val="000000" w:themeColor="text1"/>
                <w:szCs w:val="20"/>
              </w:rPr>
            </w:pPr>
            <w:r w:rsidRPr="007E7B63">
              <w:rPr>
                <w:color w:val="000000" w:themeColor="text1"/>
                <w:szCs w:val="20"/>
              </w:rPr>
              <w:t>a</w:t>
            </w:r>
            <w:r w:rsidRPr="007E7B63">
              <w:rPr>
                <w:color w:val="000000" w:themeColor="text1"/>
                <w:szCs w:val="20"/>
                <w:vertAlign w:val="subscript"/>
              </w:rPr>
              <w:t>2</w:t>
            </w:r>
          </w:p>
        </w:tc>
        <w:tc>
          <w:tcPr>
            <w:tcW w:w="500" w:type="pct"/>
            <w:tcBorders>
              <w:top w:val="nil"/>
              <w:left w:val="nil"/>
              <w:bottom w:val="single" w:sz="4" w:space="0" w:color="auto"/>
              <w:right w:val="nil"/>
            </w:tcBorders>
            <w:vAlign w:val="center"/>
          </w:tcPr>
          <w:p w:rsidR="007B0C84" w:rsidRPr="007E7B63" w:rsidRDefault="007B0C84" w:rsidP="007B0C84">
            <w:pPr>
              <w:framePr w:w="10206" w:vSpace="284" w:wrap="notBeside" w:vAnchor="page" w:hAnchor="page" w:x="927" w:y="1103"/>
              <w:jc w:val="center"/>
              <w:rPr>
                <w:color w:val="000000" w:themeColor="text1"/>
                <w:szCs w:val="20"/>
              </w:rPr>
            </w:pPr>
            <w:r w:rsidRPr="007E7B63">
              <w:rPr>
                <w:color w:val="000000" w:themeColor="text1"/>
                <w:szCs w:val="20"/>
              </w:rPr>
              <w:t>a</w:t>
            </w:r>
            <w:r w:rsidRPr="007E7B63">
              <w:rPr>
                <w:color w:val="000000" w:themeColor="text1"/>
                <w:szCs w:val="20"/>
                <w:vertAlign w:val="subscript"/>
              </w:rPr>
              <w:t>3</w:t>
            </w:r>
          </w:p>
        </w:tc>
        <w:tc>
          <w:tcPr>
            <w:tcW w:w="500" w:type="pct"/>
            <w:tcBorders>
              <w:top w:val="nil"/>
              <w:left w:val="nil"/>
              <w:bottom w:val="single" w:sz="4" w:space="0" w:color="auto"/>
              <w:right w:val="nil"/>
            </w:tcBorders>
            <w:vAlign w:val="center"/>
          </w:tcPr>
          <w:p w:rsidR="007B0C84" w:rsidRPr="007E7B63" w:rsidRDefault="007B0C84" w:rsidP="007B0C84">
            <w:pPr>
              <w:framePr w:w="10206" w:vSpace="284" w:wrap="notBeside" w:vAnchor="page" w:hAnchor="page" w:x="927" w:y="1103"/>
              <w:jc w:val="center"/>
              <w:rPr>
                <w:color w:val="000000" w:themeColor="text1"/>
                <w:szCs w:val="20"/>
              </w:rPr>
            </w:pPr>
            <w:r w:rsidRPr="007E7B63">
              <w:rPr>
                <w:color w:val="000000" w:themeColor="text1"/>
                <w:szCs w:val="20"/>
              </w:rPr>
              <w:t>a</w:t>
            </w:r>
            <w:r w:rsidRPr="007E7B63">
              <w:rPr>
                <w:color w:val="000000" w:themeColor="text1"/>
                <w:szCs w:val="20"/>
                <w:vertAlign w:val="subscript"/>
              </w:rPr>
              <w:t>4</w:t>
            </w:r>
          </w:p>
        </w:tc>
        <w:tc>
          <w:tcPr>
            <w:tcW w:w="500" w:type="pct"/>
            <w:tcBorders>
              <w:top w:val="nil"/>
              <w:left w:val="nil"/>
              <w:bottom w:val="single" w:sz="4" w:space="0" w:color="auto"/>
              <w:right w:val="nil"/>
            </w:tcBorders>
            <w:vAlign w:val="center"/>
          </w:tcPr>
          <w:p w:rsidR="007B0C84" w:rsidRPr="007E7B63" w:rsidRDefault="007B0C84" w:rsidP="007B0C84">
            <w:pPr>
              <w:framePr w:w="10206" w:vSpace="284" w:wrap="notBeside" w:vAnchor="page" w:hAnchor="page" w:x="927" w:y="1103"/>
              <w:jc w:val="center"/>
              <w:rPr>
                <w:color w:val="000000" w:themeColor="text1"/>
                <w:szCs w:val="20"/>
              </w:rPr>
            </w:pPr>
            <w:r w:rsidRPr="007E7B63">
              <w:rPr>
                <w:color w:val="000000" w:themeColor="text1"/>
                <w:szCs w:val="20"/>
              </w:rPr>
              <w:t>a</w:t>
            </w:r>
            <w:r w:rsidRPr="007E7B63">
              <w:rPr>
                <w:color w:val="000000" w:themeColor="text1"/>
                <w:szCs w:val="20"/>
                <w:vertAlign w:val="subscript"/>
              </w:rPr>
              <w:t>5</w:t>
            </w:r>
          </w:p>
        </w:tc>
        <w:tc>
          <w:tcPr>
            <w:tcW w:w="500" w:type="pct"/>
            <w:tcBorders>
              <w:top w:val="nil"/>
              <w:left w:val="nil"/>
              <w:bottom w:val="single" w:sz="4" w:space="0" w:color="auto"/>
              <w:right w:val="nil"/>
            </w:tcBorders>
            <w:vAlign w:val="center"/>
          </w:tcPr>
          <w:p w:rsidR="007B0C84" w:rsidRPr="007E7B63" w:rsidRDefault="007B0C84" w:rsidP="007B0C84">
            <w:pPr>
              <w:framePr w:w="10206" w:vSpace="284" w:wrap="notBeside" w:vAnchor="page" w:hAnchor="page" w:x="927" w:y="1103"/>
              <w:jc w:val="center"/>
              <w:rPr>
                <w:color w:val="000000" w:themeColor="text1"/>
                <w:szCs w:val="20"/>
              </w:rPr>
            </w:pPr>
            <w:r w:rsidRPr="007E7B63">
              <w:rPr>
                <w:color w:val="000000" w:themeColor="text1"/>
                <w:szCs w:val="20"/>
              </w:rPr>
              <w:t>a</w:t>
            </w:r>
            <w:r w:rsidRPr="007E7B63">
              <w:rPr>
                <w:color w:val="000000" w:themeColor="text1"/>
                <w:szCs w:val="20"/>
                <w:vertAlign w:val="subscript"/>
              </w:rPr>
              <w:t>6</w:t>
            </w:r>
          </w:p>
        </w:tc>
        <w:tc>
          <w:tcPr>
            <w:tcW w:w="500" w:type="pct"/>
            <w:tcBorders>
              <w:top w:val="nil"/>
              <w:left w:val="nil"/>
              <w:bottom w:val="single" w:sz="4" w:space="0" w:color="auto"/>
              <w:right w:val="nil"/>
            </w:tcBorders>
            <w:vAlign w:val="center"/>
          </w:tcPr>
          <w:p w:rsidR="007B0C84" w:rsidRPr="007E7B63" w:rsidRDefault="007B0C84" w:rsidP="007B0C84">
            <w:pPr>
              <w:framePr w:w="10206" w:vSpace="284" w:wrap="notBeside" w:vAnchor="page" w:hAnchor="page" w:x="927" w:y="1103"/>
              <w:jc w:val="center"/>
              <w:rPr>
                <w:color w:val="000000" w:themeColor="text1"/>
                <w:szCs w:val="20"/>
              </w:rPr>
            </w:pPr>
            <w:r w:rsidRPr="007E7B63">
              <w:rPr>
                <w:color w:val="000000" w:themeColor="text1"/>
                <w:szCs w:val="20"/>
              </w:rPr>
              <w:t>a</w:t>
            </w:r>
            <w:r w:rsidRPr="007E7B63">
              <w:rPr>
                <w:color w:val="000000" w:themeColor="text1"/>
                <w:szCs w:val="20"/>
                <w:vertAlign w:val="subscript"/>
              </w:rPr>
              <w:t>7</w:t>
            </w:r>
          </w:p>
        </w:tc>
        <w:tc>
          <w:tcPr>
            <w:tcW w:w="500" w:type="pct"/>
            <w:tcBorders>
              <w:top w:val="nil"/>
              <w:left w:val="nil"/>
              <w:bottom w:val="single" w:sz="4" w:space="0" w:color="auto"/>
              <w:right w:val="nil"/>
            </w:tcBorders>
            <w:vAlign w:val="center"/>
          </w:tcPr>
          <w:p w:rsidR="007B0C84" w:rsidRPr="007E7B63" w:rsidRDefault="007B0C84" w:rsidP="007B0C84">
            <w:pPr>
              <w:framePr w:w="10206" w:vSpace="284" w:wrap="notBeside" w:vAnchor="page" w:hAnchor="page" w:x="927" w:y="1103"/>
              <w:jc w:val="center"/>
              <w:rPr>
                <w:color w:val="000000" w:themeColor="text1"/>
                <w:szCs w:val="20"/>
              </w:rPr>
            </w:pPr>
            <w:r w:rsidRPr="007E7B63">
              <w:rPr>
                <w:color w:val="000000" w:themeColor="text1"/>
                <w:szCs w:val="20"/>
              </w:rPr>
              <w:t>a</w:t>
            </w:r>
            <w:r w:rsidRPr="007E7B63">
              <w:rPr>
                <w:color w:val="000000" w:themeColor="text1"/>
                <w:szCs w:val="20"/>
                <w:vertAlign w:val="subscript"/>
              </w:rPr>
              <w:t>8</w:t>
            </w:r>
          </w:p>
        </w:tc>
        <w:tc>
          <w:tcPr>
            <w:tcW w:w="500" w:type="pct"/>
            <w:tcBorders>
              <w:top w:val="nil"/>
              <w:left w:val="nil"/>
              <w:bottom w:val="single" w:sz="4" w:space="0" w:color="auto"/>
              <w:right w:val="nil"/>
            </w:tcBorders>
            <w:vAlign w:val="center"/>
          </w:tcPr>
          <w:p w:rsidR="007B0C84" w:rsidRPr="007E7B63" w:rsidRDefault="007B0C84" w:rsidP="007B0C84">
            <w:pPr>
              <w:framePr w:w="10206" w:vSpace="284" w:wrap="notBeside" w:vAnchor="page" w:hAnchor="page" w:x="927" w:y="1103"/>
              <w:jc w:val="center"/>
              <w:rPr>
                <w:color w:val="000000" w:themeColor="text1"/>
                <w:szCs w:val="20"/>
              </w:rPr>
            </w:pPr>
            <w:r w:rsidRPr="007E7B63">
              <w:rPr>
                <w:color w:val="000000" w:themeColor="text1"/>
                <w:szCs w:val="20"/>
              </w:rPr>
              <w:t>a</w:t>
            </w:r>
            <w:r w:rsidRPr="007E7B63">
              <w:rPr>
                <w:color w:val="000000" w:themeColor="text1"/>
                <w:szCs w:val="20"/>
                <w:vertAlign w:val="subscript"/>
              </w:rPr>
              <w:t>9</w:t>
            </w:r>
          </w:p>
        </w:tc>
        <w:tc>
          <w:tcPr>
            <w:tcW w:w="500" w:type="pct"/>
            <w:tcBorders>
              <w:top w:val="nil"/>
              <w:left w:val="nil"/>
              <w:bottom w:val="single" w:sz="4" w:space="0" w:color="auto"/>
              <w:right w:val="nil"/>
            </w:tcBorders>
            <w:vAlign w:val="center"/>
          </w:tcPr>
          <w:p w:rsidR="007B0C84" w:rsidRPr="007E7B63" w:rsidRDefault="007B0C84" w:rsidP="007B0C84">
            <w:pPr>
              <w:framePr w:w="10206" w:vSpace="284" w:wrap="notBeside" w:vAnchor="page" w:hAnchor="page" w:x="927" w:y="1103"/>
              <w:jc w:val="center"/>
              <w:rPr>
                <w:color w:val="000000" w:themeColor="text1"/>
                <w:szCs w:val="20"/>
              </w:rPr>
            </w:pPr>
            <w:r w:rsidRPr="007E7B63">
              <w:rPr>
                <w:color w:val="000000" w:themeColor="text1"/>
                <w:szCs w:val="20"/>
              </w:rPr>
              <w:t>R²</w:t>
            </w:r>
          </w:p>
        </w:tc>
      </w:tr>
      <w:tr w:rsidR="007B0C84" w:rsidRPr="007E7B63" w:rsidTr="007B0C84">
        <w:trPr>
          <w:trHeight w:val="340"/>
          <w:jc w:val="center"/>
        </w:trPr>
        <w:tc>
          <w:tcPr>
            <w:tcW w:w="500" w:type="pct"/>
            <w:tcBorders>
              <w:top w:val="single" w:sz="4" w:space="0" w:color="auto"/>
              <w:left w:val="nil"/>
              <w:bottom w:val="single" w:sz="4" w:space="0" w:color="auto"/>
              <w:right w:val="nil"/>
            </w:tcBorders>
            <w:vAlign w:val="center"/>
          </w:tcPr>
          <w:p w:rsidR="007B0C84" w:rsidRPr="007E7B63" w:rsidRDefault="0000028D" w:rsidP="0000028D">
            <w:pPr>
              <w:framePr w:w="10206" w:vSpace="284" w:wrap="notBeside" w:vAnchor="page" w:hAnchor="page" w:x="927" w:y="1103"/>
              <w:ind w:firstLine="0"/>
              <w:jc w:val="center"/>
              <w:rPr>
                <w:color w:val="000000" w:themeColor="text1"/>
                <w:szCs w:val="20"/>
                <w:lang w:val="en-US"/>
              </w:rPr>
            </w:pPr>
            <w:r w:rsidRPr="007E7B63">
              <w:rPr>
                <w:color w:val="000000" w:themeColor="text1"/>
                <w:szCs w:val="20"/>
              </w:rPr>
              <w:t>1</w:t>
            </w:r>
            <w:r w:rsidR="007B0C84" w:rsidRPr="007E7B63">
              <w:rPr>
                <w:color w:val="000000" w:themeColor="text1"/>
                <w:szCs w:val="20"/>
              </w:rPr>
              <w:t>·10</w:t>
            </w:r>
            <w:r w:rsidR="007B0C84" w:rsidRPr="007E7B63">
              <w:rPr>
                <w:color w:val="000000" w:themeColor="text1"/>
                <w:szCs w:val="20"/>
                <w:vertAlign w:val="superscript"/>
              </w:rPr>
              <w:t>-4</w:t>
            </w:r>
          </w:p>
        </w:tc>
        <w:tc>
          <w:tcPr>
            <w:tcW w:w="500" w:type="pct"/>
            <w:tcBorders>
              <w:top w:val="single" w:sz="4" w:space="0" w:color="auto"/>
              <w:left w:val="nil"/>
              <w:bottom w:val="single" w:sz="4" w:space="0" w:color="auto"/>
              <w:right w:val="nil"/>
            </w:tcBorders>
            <w:vAlign w:val="center"/>
          </w:tcPr>
          <w:p w:rsidR="007B0C84" w:rsidRPr="007E7B63" w:rsidRDefault="0000028D" w:rsidP="0000028D">
            <w:pPr>
              <w:framePr w:w="10206" w:vSpace="284" w:wrap="notBeside" w:vAnchor="page" w:hAnchor="page" w:x="927" w:y="1103"/>
              <w:ind w:firstLine="0"/>
              <w:jc w:val="center"/>
              <w:rPr>
                <w:color w:val="000000" w:themeColor="text1"/>
                <w:szCs w:val="20"/>
              </w:rPr>
            </w:pPr>
            <w:r w:rsidRPr="007E7B63">
              <w:rPr>
                <w:color w:val="000000" w:themeColor="text1"/>
                <w:szCs w:val="20"/>
              </w:rPr>
              <w:t>-3.</w:t>
            </w:r>
            <w:r w:rsidR="007B0C84" w:rsidRPr="007E7B63">
              <w:rPr>
                <w:color w:val="000000" w:themeColor="text1"/>
                <w:szCs w:val="20"/>
              </w:rPr>
              <w:t>4·10</w:t>
            </w:r>
            <w:r w:rsidR="007B0C84" w:rsidRPr="007E7B63">
              <w:rPr>
                <w:color w:val="000000" w:themeColor="text1"/>
                <w:szCs w:val="20"/>
                <w:vertAlign w:val="superscript"/>
              </w:rPr>
              <w:t>-3</w:t>
            </w:r>
          </w:p>
        </w:tc>
        <w:tc>
          <w:tcPr>
            <w:tcW w:w="500" w:type="pct"/>
            <w:tcBorders>
              <w:top w:val="single" w:sz="4" w:space="0" w:color="auto"/>
              <w:left w:val="nil"/>
              <w:bottom w:val="single" w:sz="4" w:space="0" w:color="auto"/>
              <w:right w:val="nil"/>
            </w:tcBorders>
            <w:vAlign w:val="center"/>
          </w:tcPr>
          <w:p w:rsidR="007B0C84" w:rsidRPr="007E7B63" w:rsidRDefault="0000028D" w:rsidP="007B0C84">
            <w:pPr>
              <w:framePr w:w="10206" w:vSpace="284" w:wrap="notBeside" w:vAnchor="page" w:hAnchor="page" w:x="927" w:y="1103"/>
              <w:ind w:firstLine="0"/>
              <w:jc w:val="center"/>
              <w:rPr>
                <w:color w:val="000000" w:themeColor="text1"/>
                <w:szCs w:val="20"/>
              </w:rPr>
            </w:pPr>
            <w:r w:rsidRPr="007E7B63">
              <w:rPr>
                <w:color w:val="000000" w:themeColor="text1"/>
                <w:szCs w:val="20"/>
              </w:rPr>
              <w:t>-2.</w:t>
            </w:r>
            <w:r w:rsidR="007B0C84" w:rsidRPr="007E7B63">
              <w:rPr>
                <w:color w:val="000000" w:themeColor="text1"/>
                <w:szCs w:val="20"/>
              </w:rPr>
              <w:t>41·10</w:t>
            </w:r>
            <w:r w:rsidR="007B0C84" w:rsidRPr="007E7B63">
              <w:rPr>
                <w:color w:val="000000" w:themeColor="text1"/>
                <w:szCs w:val="20"/>
                <w:vertAlign w:val="superscript"/>
              </w:rPr>
              <w:t>-7</w:t>
            </w:r>
          </w:p>
        </w:tc>
        <w:tc>
          <w:tcPr>
            <w:tcW w:w="500" w:type="pct"/>
            <w:tcBorders>
              <w:top w:val="single" w:sz="4" w:space="0" w:color="auto"/>
              <w:left w:val="nil"/>
              <w:bottom w:val="single" w:sz="4" w:space="0" w:color="auto"/>
              <w:right w:val="nil"/>
            </w:tcBorders>
            <w:vAlign w:val="center"/>
          </w:tcPr>
          <w:p w:rsidR="007B0C84" w:rsidRPr="007E7B63" w:rsidRDefault="0000028D" w:rsidP="007B0C84">
            <w:pPr>
              <w:framePr w:w="10206" w:vSpace="284" w:wrap="notBeside" w:vAnchor="page" w:hAnchor="page" w:x="927" w:y="1103"/>
              <w:ind w:firstLine="0"/>
              <w:jc w:val="center"/>
              <w:rPr>
                <w:color w:val="000000" w:themeColor="text1"/>
                <w:szCs w:val="20"/>
              </w:rPr>
            </w:pPr>
            <w:r w:rsidRPr="007E7B63">
              <w:rPr>
                <w:color w:val="000000" w:themeColor="text1"/>
                <w:szCs w:val="20"/>
              </w:rPr>
              <w:t>-2.</w:t>
            </w:r>
            <w:r w:rsidR="007B0C84" w:rsidRPr="007E7B63">
              <w:rPr>
                <w:color w:val="000000" w:themeColor="text1"/>
                <w:szCs w:val="20"/>
              </w:rPr>
              <w:t>98·10</w:t>
            </w:r>
            <w:r w:rsidR="007B0C84" w:rsidRPr="007E7B63">
              <w:rPr>
                <w:color w:val="000000" w:themeColor="text1"/>
                <w:szCs w:val="20"/>
                <w:vertAlign w:val="superscript"/>
              </w:rPr>
              <w:t>-7</w:t>
            </w:r>
          </w:p>
        </w:tc>
        <w:tc>
          <w:tcPr>
            <w:tcW w:w="500" w:type="pct"/>
            <w:tcBorders>
              <w:top w:val="single" w:sz="4" w:space="0" w:color="auto"/>
              <w:left w:val="nil"/>
              <w:bottom w:val="single" w:sz="4" w:space="0" w:color="auto"/>
              <w:right w:val="nil"/>
            </w:tcBorders>
            <w:vAlign w:val="center"/>
          </w:tcPr>
          <w:p w:rsidR="007B0C84" w:rsidRPr="007E7B63" w:rsidRDefault="0000028D" w:rsidP="007B0C84">
            <w:pPr>
              <w:framePr w:w="10206" w:vSpace="284" w:wrap="notBeside" w:vAnchor="page" w:hAnchor="page" w:x="927" w:y="1103"/>
              <w:ind w:firstLine="0"/>
              <w:jc w:val="center"/>
              <w:rPr>
                <w:color w:val="000000" w:themeColor="text1"/>
                <w:szCs w:val="20"/>
              </w:rPr>
            </w:pPr>
            <w:r w:rsidRPr="007E7B63">
              <w:rPr>
                <w:color w:val="000000" w:themeColor="text1"/>
                <w:szCs w:val="20"/>
              </w:rPr>
              <w:t>-1.</w:t>
            </w:r>
            <w:r w:rsidR="007B0C84" w:rsidRPr="007E7B63">
              <w:rPr>
                <w:color w:val="000000" w:themeColor="text1"/>
                <w:szCs w:val="20"/>
              </w:rPr>
              <w:t>17·10</w:t>
            </w:r>
            <w:r w:rsidR="007B0C84" w:rsidRPr="007E7B63">
              <w:rPr>
                <w:color w:val="000000" w:themeColor="text1"/>
                <w:szCs w:val="20"/>
                <w:vertAlign w:val="superscript"/>
              </w:rPr>
              <w:t>-7</w:t>
            </w:r>
          </w:p>
        </w:tc>
        <w:tc>
          <w:tcPr>
            <w:tcW w:w="500" w:type="pct"/>
            <w:tcBorders>
              <w:top w:val="single" w:sz="4" w:space="0" w:color="auto"/>
              <w:left w:val="nil"/>
              <w:bottom w:val="single" w:sz="4" w:space="0" w:color="auto"/>
              <w:right w:val="nil"/>
            </w:tcBorders>
            <w:vAlign w:val="center"/>
          </w:tcPr>
          <w:p w:rsidR="007B0C84" w:rsidRPr="007E7B63" w:rsidRDefault="0000028D" w:rsidP="007B0C84">
            <w:pPr>
              <w:framePr w:w="10206" w:vSpace="284" w:wrap="notBeside" w:vAnchor="page" w:hAnchor="page" w:x="927" w:y="1103"/>
              <w:ind w:firstLine="0"/>
              <w:jc w:val="center"/>
              <w:rPr>
                <w:color w:val="000000" w:themeColor="text1"/>
                <w:szCs w:val="20"/>
              </w:rPr>
            </w:pPr>
            <w:r w:rsidRPr="007E7B63">
              <w:rPr>
                <w:color w:val="000000" w:themeColor="text1"/>
                <w:szCs w:val="20"/>
              </w:rPr>
              <w:t>2.</w:t>
            </w:r>
            <w:r w:rsidR="007B0C84" w:rsidRPr="007E7B63">
              <w:rPr>
                <w:color w:val="000000" w:themeColor="text1"/>
                <w:szCs w:val="20"/>
              </w:rPr>
              <w:t>83·10</w:t>
            </w:r>
            <w:r w:rsidR="007B0C84" w:rsidRPr="007E7B63">
              <w:rPr>
                <w:color w:val="000000" w:themeColor="text1"/>
                <w:szCs w:val="20"/>
                <w:vertAlign w:val="superscript"/>
              </w:rPr>
              <w:t>-10</w:t>
            </w:r>
          </w:p>
        </w:tc>
        <w:tc>
          <w:tcPr>
            <w:tcW w:w="500" w:type="pct"/>
            <w:tcBorders>
              <w:top w:val="single" w:sz="4" w:space="0" w:color="auto"/>
              <w:left w:val="nil"/>
              <w:bottom w:val="single" w:sz="4" w:space="0" w:color="auto"/>
              <w:right w:val="nil"/>
            </w:tcBorders>
            <w:vAlign w:val="center"/>
          </w:tcPr>
          <w:p w:rsidR="007B0C84" w:rsidRPr="007E7B63" w:rsidRDefault="0000028D" w:rsidP="007B0C84">
            <w:pPr>
              <w:framePr w:w="10206" w:vSpace="284" w:wrap="notBeside" w:vAnchor="page" w:hAnchor="page" w:x="927" w:y="1103"/>
              <w:ind w:firstLine="0"/>
              <w:jc w:val="center"/>
              <w:rPr>
                <w:color w:val="000000" w:themeColor="text1"/>
                <w:szCs w:val="20"/>
              </w:rPr>
            </w:pPr>
            <w:r w:rsidRPr="007E7B63">
              <w:rPr>
                <w:color w:val="000000" w:themeColor="text1"/>
                <w:szCs w:val="20"/>
              </w:rPr>
              <w:t>1.</w:t>
            </w:r>
            <w:r w:rsidR="007B0C84" w:rsidRPr="007E7B63">
              <w:rPr>
                <w:color w:val="000000" w:themeColor="text1"/>
                <w:szCs w:val="20"/>
              </w:rPr>
              <w:t>88·10</w:t>
            </w:r>
            <w:r w:rsidR="007B0C84" w:rsidRPr="007E7B63">
              <w:rPr>
                <w:color w:val="000000" w:themeColor="text1"/>
                <w:szCs w:val="20"/>
                <w:vertAlign w:val="superscript"/>
              </w:rPr>
              <w:t>-11</w:t>
            </w:r>
          </w:p>
        </w:tc>
        <w:tc>
          <w:tcPr>
            <w:tcW w:w="500" w:type="pct"/>
            <w:tcBorders>
              <w:top w:val="single" w:sz="4" w:space="0" w:color="auto"/>
              <w:left w:val="nil"/>
              <w:bottom w:val="single" w:sz="4" w:space="0" w:color="auto"/>
              <w:right w:val="nil"/>
            </w:tcBorders>
            <w:vAlign w:val="center"/>
          </w:tcPr>
          <w:p w:rsidR="007B0C84" w:rsidRPr="007E7B63" w:rsidRDefault="0000028D" w:rsidP="0000028D">
            <w:pPr>
              <w:framePr w:w="10206" w:vSpace="284" w:wrap="notBeside" w:vAnchor="page" w:hAnchor="page" w:x="927" w:y="1103"/>
              <w:ind w:firstLine="0"/>
              <w:jc w:val="center"/>
              <w:rPr>
                <w:color w:val="000000" w:themeColor="text1"/>
                <w:szCs w:val="20"/>
              </w:rPr>
            </w:pPr>
            <w:r w:rsidRPr="007E7B63">
              <w:rPr>
                <w:color w:val="000000" w:themeColor="text1"/>
                <w:szCs w:val="20"/>
              </w:rPr>
              <w:t>9.</w:t>
            </w:r>
            <w:r w:rsidR="007B0C84" w:rsidRPr="007E7B63">
              <w:rPr>
                <w:color w:val="000000" w:themeColor="text1"/>
                <w:szCs w:val="20"/>
              </w:rPr>
              <w:t>2·10</w:t>
            </w:r>
            <w:r w:rsidR="007B0C84" w:rsidRPr="007E7B63">
              <w:rPr>
                <w:color w:val="000000" w:themeColor="text1"/>
                <w:szCs w:val="20"/>
                <w:vertAlign w:val="superscript"/>
              </w:rPr>
              <w:t>-11</w:t>
            </w:r>
          </w:p>
        </w:tc>
        <w:tc>
          <w:tcPr>
            <w:tcW w:w="500" w:type="pct"/>
            <w:tcBorders>
              <w:top w:val="single" w:sz="4" w:space="0" w:color="auto"/>
              <w:left w:val="nil"/>
              <w:bottom w:val="single" w:sz="4" w:space="0" w:color="auto"/>
              <w:right w:val="nil"/>
            </w:tcBorders>
            <w:vAlign w:val="center"/>
          </w:tcPr>
          <w:p w:rsidR="007B0C84" w:rsidRPr="007E7B63" w:rsidRDefault="0000028D" w:rsidP="007B0C84">
            <w:pPr>
              <w:framePr w:w="10206" w:vSpace="284" w:wrap="notBeside" w:vAnchor="page" w:hAnchor="page" w:x="927" w:y="1103"/>
              <w:ind w:firstLine="0"/>
              <w:jc w:val="center"/>
              <w:rPr>
                <w:color w:val="000000" w:themeColor="text1"/>
                <w:szCs w:val="20"/>
              </w:rPr>
            </w:pPr>
            <w:r w:rsidRPr="007E7B63">
              <w:rPr>
                <w:color w:val="000000" w:themeColor="text1"/>
                <w:szCs w:val="20"/>
              </w:rPr>
              <w:t>1.</w:t>
            </w:r>
            <w:r w:rsidR="007B0C84" w:rsidRPr="007E7B63">
              <w:rPr>
                <w:color w:val="000000" w:themeColor="text1"/>
                <w:szCs w:val="20"/>
              </w:rPr>
              <w:t>35·10</w:t>
            </w:r>
            <w:r w:rsidR="007B0C84" w:rsidRPr="007E7B63">
              <w:rPr>
                <w:color w:val="000000" w:themeColor="text1"/>
                <w:szCs w:val="20"/>
                <w:vertAlign w:val="superscript"/>
              </w:rPr>
              <w:t>-10</w:t>
            </w:r>
          </w:p>
        </w:tc>
        <w:tc>
          <w:tcPr>
            <w:tcW w:w="500" w:type="pct"/>
            <w:tcBorders>
              <w:top w:val="single" w:sz="4" w:space="0" w:color="auto"/>
              <w:left w:val="nil"/>
              <w:bottom w:val="single" w:sz="4" w:space="0" w:color="auto"/>
              <w:right w:val="nil"/>
            </w:tcBorders>
            <w:vAlign w:val="center"/>
          </w:tcPr>
          <w:p w:rsidR="007B0C84" w:rsidRPr="007E7B63" w:rsidRDefault="0000028D" w:rsidP="007B0C84">
            <w:pPr>
              <w:framePr w:w="10206" w:vSpace="284" w:wrap="notBeside" w:vAnchor="page" w:hAnchor="page" w:x="927" w:y="1103"/>
              <w:ind w:firstLine="0"/>
              <w:jc w:val="center"/>
              <w:rPr>
                <w:color w:val="000000" w:themeColor="text1"/>
                <w:szCs w:val="20"/>
                <w:lang w:val="en-US"/>
              </w:rPr>
            </w:pPr>
            <w:r w:rsidRPr="007E7B63">
              <w:rPr>
                <w:color w:val="000000" w:themeColor="text1"/>
                <w:szCs w:val="20"/>
              </w:rPr>
              <w:t>7.</w:t>
            </w:r>
            <w:r w:rsidR="007B0C84" w:rsidRPr="007E7B63">
              <w:rPr>
                <w:color w:val="000000" w:themeColor="text1"/>
                <w:szCs w:val="20"/>
              </w:rPr>
              <w:t>89·10</w:t>
            </w:r>
            <w:r w:rsidR="007B0C84" w:rsidRPr="007E7B63">
              <w:rPr>
                <w:color w:val="000000" w:themeColor="text1"/>
                <w:szCs w:val="20"/>
                <w:vertAlign w:val="superscript"/>
              </w:rPr>
              <w:t>-5</w:t>
            </w:r>
          </w:p>
        </w:tc>
      </w:tr>
    </w:tbl>
    <w:p w:rsidR="00F30988" w:rsidRPr="007E7B63" w:rsidRDefault="00F30988" w:rsidP="00A21CC2">
      <w:pPr>
        <w:rPr>
          <w:color w:val="000000" w:themeColor="text1"/>
          <w:lang w:val="en-US"/>
        </w:rPr>
      </w:pPr>
    </w:p>
    <w:p w:rsidR="00A21CC2" w:rsidRPr="007E7B63" w:rsidRDefault="00F30988" w:rsidP="00E01608">
      <w:pPr>
        <w:jc w:val="right"/>
        <w:rPr>
          <w:color w:val="000000" w:themeColor="text1"/>
          <w:lang w:val="de-DE"/>
        </w:rPr>
      </w:pPr>
      <m:oMath>
        <m:r>
          <w:rPr>
            <w:rFonts w:ascii="Cambria Math" w:hAnsi="Cambria Math"/>
            <w:color w:val="000000" w:themeColor="text1"/>
            <w:lang w:val="de-DE"/>
          </w:rPr>
          <m:t>θ=</m:t>
        </m:r>
        <m:sSup>
          <m:sSupPr>
            <m:ctrlPr>
              <w:rPr>
                <w:rFonts w:ascii="Cambria Math" w:hAnsi="Cambria Math"/>
                <w:i/>
                <w:color w:val="000000" w:themeColor="text1"/>
                <w:lang w:val="de-DE"/>
              </w:rPr>
            </m:ctrlPr>
          </m:sSupPr>
          <m:e>
            <m:d>
              <m:dPr>
                <m:ctrlPr>
                  <w:rPr>
                    <w:rFonts w:ascii="Cambria Math" w:hAnsi="Cambria Math"/>
                    <w:i/>
                    <w:color w:val="000000" w:themeColor="text1"/>
                    <w:lang w:val="de-DE"/>
                  </w:rPr>
                </m:ctrlPr>
              </m:dPr>
              <m:e>
                <m:sSup>
                  <m:sSupPr>
                    <m:ctrlPr>
                      <w:rPr>
                        <w:rFonts w:ascii="Cambria Math" w:hAnsi="Cambria Math"/>
                        <w:i/>
                        <w:color w:val="000000" w:themeColor="text1"/>
                        <w:lang w:val="de-DE"/>
                      </w:rPr>
                    </m:ctrlPr>
                  </m:sSupPr>
                  <m:e>
                    <m:r>
                      <w:rPr>
                        <w:rFonts w:ascii="Cambria Math" w:hAnsi="Cambria Math"/>
                        <w:color w:val="000000" w:themeColor="text1"/>
                        <w:lang w:val="de-DE"/>
                      </w:rPr>
                      <m:t>A</m:t>
                    </m:r>
                  </m:e>
                  <m:sup>
                    <m:r>
                      <w:rPr>
                        <w:rFonts w:ascii="Cambria Math" w:hAnsi="Cambria Math"/>
                        <w:color w:val="000000" w:themeColor="text1"/>
                        <w:lang w:val="de-DE"/>
                      </w:rPr>
                      <m:t>T</m:t>
                    </m:r>
                  </m:sup>
                </m:sSup>
                <m:r>
                  <w:rPr>
                    <w:rFonts w:ascii="Cambria Math" w:hAnsi="Cambria Math"/>
                    <w:color w:val="000000" w:themeColor="text1"/>
                    <w:lang w:val="de-DE"/>
                  </w:rPr>
                  <m:t>A</m:t>
                </m:r>
              </m:e>
            </m:d>
          </m:e>
          <m:sup>
            <m:r>
              <w:rPr>
                <w:rFonts w:ascii="Cambria Math" w:hAnsi="Cambria Math"/>
                <w:color w:val="000000" w:themeColor="text1"/>
                <w:lang w:val="de-DE"/>
              </w:rPr>
              <m:t>-1</m:t>
            </m:r>
          </m:sup>
        </m:sSup>
        <m:sSup>
          <m:sSupPr>
            <m:ctrlPr>
              <w:rPr>
                <w:rFonts w:ascii="Cambria Math" w:hAnsi="Cambria Math"/>
                <w:i/>
                <w:color w:val="000000" w:themeColor="text1"/>
                <w:lang w:val="de-DE"/>
              </w:rPr>
            </m:ctrlPr>
          </m:sSupPr>
          <m:e>
            <m:r>
              <w:rPr>
                <w:rFonts w:ascii="Cambria Math" w:hAnsi="Cambria Math"/>
                <w:color w:val="000000" w:themeColor="text1"/>
                <w:lang w:val="de-DE"/>
              </w:rPr>
              <m:t>A</m:t>
            </m:r>
          </m:e>
          <m:sup>
            <m:r>
              <w:rPr>
                <w:rFonts w:ascii="Cambria Math" w:hAnsi="Cambria Math"/>
                <w:color w:val="000000" w:themeColor="text1"/>
                <w:lang w:val="de-DE"/>
              </w:rPr>
              <m:t>T</m:t>
            </m:r>
          </m:sup>
        </m:sSup>
        <m:r>
          <w:rPr>
            <w:rFonts w:ascii="Cambria Math" w:hAnsi="Cambria Math"/>
            <w:color w:val="000000" w:themeColor="text1"/>
            <w:lang w:val="de-DE"/>
          </w:rPr>
          <m:t>Z</m:t>
        </m:r>
      </m:oMath>
      <w:r w:rsidR="00E01608">
        <w:rPr>
          <w:color w:val="000000" w:themeColor="text1"/>
          <w:lang w:val="de-DE"/>
        </w:rPr>
        <w:t xml:space="preserve"> </w:t>
      </w:r>
      <w:r w:rsidR="00E01608">
        <w:rPr>
          <w:color w:val="000000" w:themeColor="text1"/>
          <w:lang w:val="de-DE"/>
        </w:rPr>
        <w:tab/>
      </w:r>
      <w:r w:rsidRPr="007E7B63">
        <w:rPr>
          <w:color w:val="000000" w:themeColor="text1"/>
          <w:lang w:val="de-DE"/>
        </w:rPr>
        <w:tab/>
        <w:t xml:space="preserve">        (</w:t>
      </w:r>
      <w:r w:rsidR="005E4CF3" w:rsidRPr="007E7B63">
        <w:rPr>
          <w:color w:val="000000" w:themeColor="text1"/>
          <w:lang w:val="de-DE"/>
        </w:rPr>
        <w:t>3</w:t>
      </w:r>
      <w:r w:rsidRPr="007E7B63">
        <w:rPr>
          <w:color w:val="000000" w:themeColor="text1"/>
          <w:lang w:val="de-DE"/>
        </w:rPr>
        <w:t>)</w:t>
      </w:r>
    </w:p>
    <w:p w:rsidR="00A21CC2" w:rsidRPr="007E7B63" w:rsidRDefault="00A21CC2" w:rsidP="00222FBC">
      <w:pPr>
        <w:rPr>
          <w:color w:val="000000" w:themeColor="text1"/>
          <w:lang w:val="de-DE"/>
        </w:rPr>
      </w:pPr>
    </w:p>
    <w:p w:rsidR="004F7045" w:rsidRDefault="009D6B20" w:rsidP="00C22ED8">
      <w:pPr>
        <w:ind w:firstLine="0"/>
        <w:rPr>
          <w:color w:val="000000" w:themeColor="text1"/>
        </w:rPr>
      </w:pPr>
      <w:r w:rsidRPr="007E7B63">
        <w:rPr>
          <w:color w:val="000000" w:themeColor="text1"/>
        </w:rPr>
        <w:t>Table 3 shows the set of parameters calculated and the coefficient of determination for t</w:t>
      </w:r>
      <w:r w:rsidR="00974C45">
        <w:rPr>
          <w:color w:val="000000" w:themeColor="text1"/>
        </w:rPr>
        <w:t>he signal pattern from Figure 4. With equation (4) the</w:t>
      </w:r>
      <w:r w:rsidRPr="007E7B63">
        <w:rPr>
          <w:color w:val="000000" w:themeColor="text1"/>
        </w:rPr>
        <w:t xml:space="preserve"> cubic solution describes the signal pattern sufficiently well. </w:t>
      </w:r>
    </w:p>
    <w:p w:rsidR="00974C45" w:rsidRDefault="00974C45" w:rsidP="00C22ED8">
      <w:pPr>
        <w:ind w:firstLine="0"/>
        <w:rPr>
          <w:color w:val="000000" w:themeColor="text1"/>
        </w:rPr>
      </w:pPr>
    </w:p>
    <w:p w:rsidR="00974C45" w:rsidRPr="00974C45" w:rsidRDefault="004F7045" w:rsidP="004F7045">
      <w:pPr>
        <w:pStyle w:val="Figure"/>
        <w:jc w:val="both"/>
        <w:rPr>
          <w:lang w:val="en-US"/>
        </w:rPr>
      </w:pPr>
      <w:r>
        <w:rPr>
          <w:lang w:val="en-US"/>
        </w:rPr>
        <w:t xml:space="preserve">     </w:t>
      </w:r>
      <w:r w:rsidRPr="00750774">
        <w:rPr>
          <w:lang w:val="en-US"/>
        </w:rPr>
        <w:t xml:space="preserve">  </w:t>
      </w:r>
      <m:oMath>
        <m:r>
          <w:rPr>
            <w:rFonts w:ascii="Cambria Math" w:hAnsi="Cambria Math"/>
            <w:lang w:val="en-US"/>
          </w:rPr>
          <m:t xml:space="preserve">    </m:t>
        </m:r>
        <m:sSub>
          <m:sSubPr>
            <m:ctrlPr>
              <w:rPr>
                <w:rFonts w:ascii="Cambria Math" w:hAnsi="Cambria Math"/>
                <w:i/>
              </w:rPr>
            </m:ctrlPr>
          </m:sSubPr>
          <m:e>
            <m:r>
              <w:rPr>
                <w:rFonts w:ascii="Cambria Math" w:hAnsi="Cambria Math"/>
              </w:rPr>
              <m:t>S</m:t>
            </m:r>
          </m:e>
          <m:sub>
            <m:r>
              <w:rPr>
                <w:rFonts w:ascii="Cambria Math" w:hAnsi="Cambria Math"/>
              </w:rPr>
              <m:t>Mz</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1</m:t>
            </m:r>
          </m:sub>
        </m:sSub>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z</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2</m:t>
            </m:r>
          </m:sub>
        </m:sSub>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z</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3</m:t>
            </m:r>
          </m:sub>
        </m:sSub>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z</m:t>
                </m:r>
              </m:sub>
            </m:sSub>
          </m:e>
          <m:sup>
            <m:r>
              <w:rPr>
                <w:rFonts w:ascii="Cambria Math" w:hAnsi="Cambria Math"/>
                <w:lang w:val="en-US"/>
              </w:rPr>
              <m:t>2</m:t>
            </m:r>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4</m:t>
            </m:r>
          </m:sub>
        </m:sSub>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z</m:t>
            </m:r>
          </m:sub>
        </m:sSub>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z</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5</m:t>
            </m:r>
          </m:sub>
        </m:sSub>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z</m:t>
                </m:r>
              </m:sub>
            </m:sSub>
          </m:e>
          <m:sup>
            <m:r>
              <w:rPr>
                <w:rFonts w:ascii="Cambria Math" w:hAnsi="Cambria Math"/>
                <w:lang w:val="en-US"/>
              </w:rPr>
              <m:t>2</m:t>
            </m:r>
          </m:sup>
        </m:sSup>
        <m:r>
          <w:rPr>
            <w:rFonts w:ascii="Cambria Math" w:hAnsi="Cambria Math"/>
            <w:lang w:val="en-US"/>
          </w:rPr>
          <m:t>+…</m:t>
        </m:r>
      </m:oMath>
    </w:p>
    <w:p w:rsidR="004F7045" w:rsidRPr="00750774" w:rsidRDefault="00974C45" w:rsidP="004F7045">
      <w:pPr>
        <w:pStyle w:val="Figure"/>
        <w:jc w:val="both"/>
        <w:rPr>
          <w:lang w:val="en-US"/>
        </w:rPr>
      </w:pP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6</m:t>
            </m:r>
          </m:sub>
        </m:sSub>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z</m:t>
                </m:r>
              </m:sub>
            </m:sSub>
          </m:e>
          <m:sup>
            <m:r>
              <w:rPr>
                <w:rFonts w:ascii="Cambria Math" w:hAnsi="Cambria Math"/>
                <w:lang w:val="en-US"/>
              </w:rPr>
              <m:t>3</m:t>
            </m:r>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7</m:t>
            </m:r>
          </m:sub>
        </m:sSub>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z</m:t>
                </m:r>
              </m:sub>
            </m:sSub>
          </m:e>
          <m:sup>
            <m:r>
              <w:rPr>
                <w:rFonts w:ascii="Cambria Math" w:hAnsi="Cambria Math"/>
                <w:lang w:val="en-US"/>
              </w:rPr>
              <m:t>2</m:t>
            </m:r>
          </m:sup>
        </m:sSup>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z</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8</m:t>
            </m:r>
          </m:sub>
        </m:sSub>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z</m:t>
            </m:r>
          </m:sub>
        </m:sSub>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z</m:t>
                </m:r>
              </m:sub>
            </m:sSub>
          </m:e>
          <m:sup>
            <m:r>
              <w:rPr>
                <w:rFonts w:ascii="Cambria Math" w:hAnsi="Cambria Math"/>
                <w:lang w:val="en-US"/>
              </w:rPr>
              <m:t>2</m:t>
            </m:r>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9</m:t>
            </m:r>
          </m:sub>
        </m:sSub>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z</m:t>
                </m:r>
              </m:sub>
            </m:sSub>
          </m:e>
          <m:sup>
            <m:r>
              <w:rPr>
                <w:rFonts w:ascii="Cambria Math" w:hAnsi="Cambria Math"/>
                <w:lang w:val="en-US"/>
              </w:rPr>
              <m:t>3</m:t>
            </m:r>
          </m:sup>
        </m:sSup>
      </m:oMath>
      <w:r w:rsidR="004F7045">
        <w:rPr>
          <w:lang w:val="en-US"/>
        </w:rPr>
        <w:t xml:space="preserve">              (4</w:t>
      </w:r>
      <w:r w:rsidR="004F7045" w:rsidRPr="00750774">
        <w:rPr>
          <w:lang w:val="en-US"/>
        </w:rPr>
        <w:t>)</w:t>
      </w:r>
    </w:p>
    <w:p w:rsidR="004F7045" w:rsidRDefault="004F7045" w:rsidP="00C22ED8">
      <w:pPr>
        <w:ind w:firstLine="0"/>
        <w:rPr>
          <w:color w:val="000000" w:themeColor="text1"/>
        </w:rPr>
      </w:pPr>
    </w:p>
    <w:p w:rsidR="004110A7" w:rsidRDefault="009D6B20" w:rsidP="00C22ED8">
      <w:pPr>
        <w:ind w:firstLine="0"/>
        <w:rPr>
          <w:color w:val="000000" w:themeColor="text1"/>
        </w:rPr>
      </w:pPr>
      <w:r w:rsidRPr="007E7B63">
        <w:rPr>
          <w:color w:val="000000" w:themeColor="text1"/>
        </w:rPr>
        <w:t xml:space="preserve">Especially for the range &gt; 10 % of the nominal load, the systematic influence can be reduced from 4 % to &lt; 0.5 %. The solution can only be applied to a limited extent to the lower load range. The MPR solution improves significantly with an increasing number of data points. This procedure is applied to both the loading and the unloading range. The inverse transformation of the signal values </w:t>
      </w:r>
      <w:r w:rsidRPr="007E7B63">
        <w:rPr>
          <w:i/>
          <w:color w:val="000000" w:themeColor="text1"/>
        </w:rPr>
        <w:t>S</w:t>
      </w:r>
      <w:r w:rsidRPr="007E7B63">
        <w:rPr>
          <w:color w:val="000000" w:themeColor="text1"/>
          <w:vertAlign w:val="subscript"/>
        </w:rPr>
        <w:t>Mz</w:t>
      </w:r>
      <w:r w:rsidRPr="007E7B63">
        <w:rPr>
          <w:color w:val="000000" w:themeColor="text1"/>
        </w:rPr>
        <w:t xml:space="preserve"> and </w:t>
      </w:r>
      <w:r w:rsidRPr="007E7B63">
        <w:rPr>
          <w:i/>
          <w:color w:val="000000" w:themeColor="text1"/>
        </w:rPr>
        <w:t>S</w:t>
      </w:r>
      <w:r w:rsidRPr="007E7B63">
        <w:rPr>
          <w:color w:val="000000" w:themeColor="text1"/>
          <w:vertAlign w:val="subscript"/>
        </w:rPr>
        <w:t>Fz</w:t>
      </w:r>
      <w:r w:rsidRPr="007E7B63">
        <w:rPr>
          <w:color w:val="000000" w:themeColor="text1"/>
        </w:rPr>
        <w:t xml:space="preserve"> to the input quantities </w:t>
      </w:r>
      <w:r w:rsidRPr="007E7B63">
        <w:rPr>
          <w:i/>
          <w:color w:val="000000" w:themeColor="text1"/>
        </w:rPr>
        <w:t>F</w:t>
      </w:r>
      <w:r w:rsidRPr="007E7B63">
        <w:rPr>
          <w:color w:val="000000" w:themeColor="text1"/>
          <w:vertAlign w:val="subscript"/>
        </w:rPr>
        <w:t>z</w:t>
      </w:r>
      <w:r w:rsidRPr="007E7B63">
        <w:rPr>
          <w:color w:val="000000" w:themeColor="text1"/>
        </w:rPr>
        <w:t xml:space="preserve"> and </w:t>
      </w:r>
      <w:r w:rsidRPr="007E7B63">
        <w:rPr>
          <w:i/>
          <w:color w:val="000000" w:themeColor="text1"/>
        </w:rPr>
        <w:t>M</w:t>
      </w:r>
      <w:r w:rsidRPr="007E7B63">
        <w:rPr>
          <w:color w:val="000000" w:themeColor="text1"/>
          <w:vertAlign w:val="subscript"/>
        </w:rPr>
        <w:t>z</w:t>
      </w:r>
      <w:r w:rsidRPr="007E7B63">
        <w:rPr>
          <w:color w:val="000000" w:themeColor="text1"/>
        </w:rPr>
        <w:t xml:space="preserve"> is analogue. The next step is planned to consist of comparison measurements with various friction coefficient sensors in order to determine the specific signal crosstalk.</w:t>
      </w:r>
    </w:p>
    <w:p w:rsidR="0092109F" w:rsidRPr="007E7B63" w:rsidRDefault="0092109F" w:rsidP="00AF213F">
      <w:pPr>
        <w:pStyle w:val="Level1Title"/>
        <w:rPr>
          <w:color w:val="000000" w:themeColor="text1"/>
          <w:lang w:val="de-DE"/>
        </w:rPr>
      </w:pPr>
      <w:r w:rsidRPr="007E7B63">
        <w:rPr>
          <w:color w:val="000000" w:themeColor="text1"/>
          <w:lang w:val="de-DE"/>
        </w:rPr>
        <w:lastRenderedPageBreak/>
        <w:t>Conclusions</w:t>
      </w:r>
    </w:p>
    <w:p w:rsidR="004B21EC" w:rsidRPr="007E7B63" w:rsidRDefault="00222FBC" w:rsidP="009D6B20">
      <w:pPr>
        <w:ind w:firstLine="0"/>
        <w:rPr>
          <w:color w:val="000000" w:themeColor="text1"/>
        </w:rPr>
      </w:pPr>
      <w:r w:rsidRPr="007E7B63">
        <w:rPr>
          <w:color w:val="000000" w:themeColor="text1"/>
          <w:lang w:val="en-US"/>
        </w:rPr>
        <w:t xml:space="preserve">The </w:t>
      </w:r>
      <w:r w:rsidR="00606459">
        <w:rPr>
          <w:color w:val="000000" w:themeColor="text1"/>
          <w:lang w:val="en-US"/>
        </w:rPr>
        <w:t xml:space="preserve">extended </w:t>
      </w:r>
      <w:r w:rsidRPr="007E7B63">
        <w:rPr>
          <w:color w:val="000000" w:themeColor="text1"/>
          <w:lang w:val="en-US"/>
        </w:rPr>
        <w:t>relative measurement uncertainty (</w:t>
      </w:r>
      <w:r w:rsidRPr="00606459">
        <w:rPr>
          <w:color w:val="000000" w:themeColor="text1"/>
          <w:lang w:val="en-US"/>
        </w:rPr>
        <w:t>k</w:t>
      </w:r>
      <w:r w:rsidR="005955E4">
        <w:rPr>
          <w:color w:val="000000" w:themeColor="text1"/>
          <w:lang w:val="en-US"/>
        </w:rPr>
        <w:t xml:space="preserve"> = 2) of the 1 M</w:t>
      </w:r>
      <w:r w:rsidRPr="007E7B63">
        <w:rPr>
          <w:color w:val="000000" w:themeColor="text1"/>
          <w:lang w:val="en-US"/>
        </w:rPr>
        <w:t>N FSM i</w:t>
      </w:r>
      <w:r w:rsidR="00CA5976" w:rsidRPr="007E7B63">
        <w:rPr>
          <w:color w:val="000000" w:themeColor="text1"/>
          <w:lang w:val="en-US"/>
        </w:rPr>
        <w:t>s about 2·</w:t>
      </w:r>
      <w:r w:rsidRPr="007E7B63">
        <w:rPr>
          <w:color w:val="000000" w:themeColor="text1"/>
          <w:lang w:val="en-US"/>
        </w:rPr>
        <w:t>10</w:t>
      </w:r>
      <w:r w:rsidRPr="007E7B63">
        <w:rPr>
          <w:color w:val="000000" w:themeColor="text1"/>
          <w:vertAlign w:val="superscript"/>
        </w:rPr>
        <w:t>−5</w:t>
      </w:r>
      <w:r w:rsidRPr="007E7B63">
        <w:rPr>
          <w:color w:val="000000" w:themeColor="text1"/>
        </w:rPr>
        <w:t xml:space="preserve">. The model provides an expanded relative measurement uncertainty for the additional measuring facility for torque generation of </w:t>
      </w:r>
      <w:r w:rsidR="00606459" w:rsidRPr="00473E88">
        <w:rPr>
          <w:i/>
        </w:rPr>
        <w:t>M</w:t>
      </w:r>
      <w:r w:rsidR="00606459" w:rsidRPr="00473E88">
        <w:rPr>
          <w:vertAlign w:val="subscript"/>
        </w:rPr>
        <w:t>z</w:t>
      </w:r>
      <w:r w:rsidR="00606459">
        <w:t xml:space="preserve"> = (2</w:t>
      </w:r>
      <w:r w:rsidR="00606459" w:rsidRPr="00473E88">
        <w:t>0</w:t>
      </w:r>
      <w:r w:rsidR="00606459">
        <w:t xml:space="preserve"> ± 1.2·10</w:t>
      </w:r>
      <w:r w:rsidR="00606459" w:rsidRPr="00473E88">
        <w:rPr>
          <w:vertAlign w:val="superscript"/>
        </w:rPr>
        <w:t>-3</w:t>
      </w:r>
      <w:r w:rsidR="00606459">
        <w:t>)</w:t>
      </w:r>
      <w:r w:rsidR="00606459" w:rsidRPr="0024724E">
        <w:t xml:space="preserve"> N·m</w:t>
      </w:r>
      <w:r w:rsidRPr="007E7B63">
        <w:rPr>
          <w:color w:val="000000" w:themeColor="text1"/>
        </w:rPr>
        <w:t xml:space="preserve"> </w:t>
      </w:r>
      <w:r w:rsidR="00606459">
        <w:rPr>
          <w:color w:val="000000" w:themeColor="text1"/>
        </w:rPr>
        <w:t>up to</w:t>
      </w:r>
      <w:r w:rsidRPr="007E7B63">
        <w:rPr>
          <w:color w:val="000000" w:themeColor="text1"/>
        </w:rPr>
        <w:t xml:space="preserve"> </w:t>
      </w:r>
      <w:r w:rsidR="00606459" w:rsidRPr="00473E88">
        <w:rPr>
          <w:i/>
        </w:rPr>
        <w:t>M</w:t>
      </w:r>
      <w:r w:rsidR="00606459" w:rsidRPr="00473E88">
        <w:rPr>
          <w:vertAlign w:val="subscript"/>
        </w:rPr>
        <w:t>z</w:t>
      </w:r>
      <w:r w:rsidR="00606459">
        <w:t> = (</w:t>
      </w:r>
      <w:r w:rsidR="00606459" w:rsidRPr="00473E88">
        <w:t>2000</w:t>
      </w:r>
      <w:r w:rsidR="00606459">
        <w:t> ± 0.084) </w:t>
      </w:r>
      <w:r w:rsidR="00606459" w:rsidRPr="0024724E">
        <w:t>N·m</w:t>
      </w:r>
      <w:r w:rsidR="00CA5976" w:rsidRPr="007E7B63">
        <w:rPr>
          <w:color w:val="000000" w:themeColor="text1"/>
        </w:rPr>
        <w:t xml:space="preserve"> for the maximum load</w:t>
      </w:r>
      <w:r w:rsidRPr="007E7B63">
        <w:rPr>
          <w:color w:val="000000" w:themeColor="text1"/>
        </w:rPr>
        <w:t xml:space="preserve">. Comparison measurements with different torque reference transducers have shown very good repeatability; the reproducibility, </w:t>
      </w:r>
      <w:r w:rsidR="00CA5976" w:rsidRPr="007E7B63">
        <w:rPr>
          <w:color w:val="000000" w:themeColor="text1"/>
        </w:rPr>
        <w:t>however, is within a range of &lt; </w:t>
      </w:r>
      <w:r w:rsidR="00606459">
        <w:rPr>
          <w:color w:val="000000" w:themeColor="text1"/>
        </w:rPr>
        <w:t>4.1</w:t>
      </w:r>
      <w:r w:rsidRPr="007E7B63">
        <w:rPr>
          <w:color w:val="000000" w:themeColor="text1"/>
        </w:rPr>
        <w:t>·10</w:t>
      </w:r>
      <w:r w:rsidRPr="007E7B63">
        <w:rPr>
          <w:color w:val="000000" w:themeColor="text1"/>
          <w:vertAlign w:val="superscript"/>
        </w:rPr>
        <w:t>-4</w:t>
      </w:r>
      <w:r w:rsidR="00CA5976" w:rsidRPr="007E7B63">
        <w:rPr>
          <w:color w:val="000000" w:themeColor="text1"/>
        </w:rPr>
        <w:t xml:space="preserve">. </w:t>
      </w:r>
      <w:r w:rsidR="00CA5976" w:rsidRPr="007E7B63">
        <w:rPr>
          <w:color w:val="000000" w:themeColor="text1"/>
          <w:lang w:val="en-US"/>
        </w:rPr>
        <w:t>The &lt; </w:t>
      </w:r>
      <w:r w:rsidR="00AB5919" w:rsidRPr="007E7B63">
        <w:rPr>
          <w:color w:val="000000" w:themeColor="text1"/>
          <w:lang w:val="en-US"/>
        </w:rPr>
        <w:t>2</w:t>
      </w:r>
      <w:r w:rsidRPr="007E7B63">
        <w:rPr>
          <w:color w:val="000000" w:themeColor="text1"/>
          <w:lang w:val="en-US"/>
        </w:rPr>
        <w:t>·10</w:t>
      </w:r>
      <w:r w:rsidRPr="007E7B63">
        <w:rPr>
          <w:color w:val="000000" w:themeColor="text1"/>
          <w:vertAlign w:val="superscript"/>
          <w:lang w:val="en-US"/>
        </w:rPr>
        <w:t>-4</w:t>
      </w:r>
      <w:r w:rsidRPr="007E7B63">
        <w:rPr>
          <w:color w:val="000000" w:themeColor="text1"/>
          <w:lang w:val="en-US"/>
        </w:rPr>
        <w:t xml:space="preserve"> goal has, thus, not been achieved yet.</w:t>
      </w:r>
      <w:r w:rsidR="00AB5919" w:rsidRPr="007E7B63">
        <w:rPr>
          <w:color w:val="000000" w:themeColor="text1"/>
          <w:lang w:val="en-US"/>
        </w:rPr>
        <w:t xml:space="preserve"> </w:t>
      </w:r>
      <w:r w:rsidR="009D6B20" w:rsidRPr="007E7B63">
        <w:rPr>
          <w:color w:val="000000" w:themeColor="text1"/>
        </w:rPr>
        <w:t>Most of the time, a measurement uncertainty &lt; 1·10</w:t>
      </w:r>
      <w:r w:rsidR="009D6B20" w:rsidRPr="007E7B63">
        <w:rPr>
          <w:color w:val="000000" w:themeColor="text1"/>
          <w:vertAlign w:val="superscript"/>
        </w:rPr>
        <w:t>-3</w:t>
      </w:r>
      <w:r w:rsidR="009D6B20" w:rsidRPr="007E7B63">
        <w:rPr>
          <w:color w:val="000000" w:themeColor="text1"/>
        </w:rPr>
        <w:t xml:space="preserve"> is sufficient for industrial sensors. Correspondingly, the measuring device is not yet listed in the catalogue of measuring facilities and PTB's Quality Management System. The characterization of the signal crosstalk by means of a specific multi-component sensor has shown that significant errors may occur when signal crosstalk is not taken into account. The multiple polynomial regression method allows the functional relation to be described precisely. Comparison measurements with industrial multi-component sensors from the screw industry will have to show whether these findings are applicable to other systems.</w:t>
      </w:r>
    </w:p>
    <w:p w:rsidR="00216085" w:rsidRPr="00222FBC" w:rsidRDefault="00216085" w:rsidP="00802D34">
      <w:pPr>
        <w:pStyle w:val="NoNumberFirstSection"/>
        <w:rPr>
          <w:lang w:val="de-DE"/>
        </w:rPr>
      </w:pPr>
      <w:r w:rsidRPr="00222FBC">
        <w:rPr>
          <w:lang w:val="de-DE"/>
        </w:rPr>
        <w:t>References</w:t>
      </w:r>
    </w:p>
    <w:p w:rsidR="006B7160" w:rsidRDefault="00222FBC" w:rsidP="006B7160">
      <w:pPr>
        <w:pStyle w:val="Reference"/>
        <w:spacing w:before="0" w:after="0"/>
        <w:rPr>
          <w:rFonts w:ascii="Garamond" w:hAnsi="Garamond"/>
        </w:rPr>
      </w:pPr>
      <w:r w:rsidRPr="006B7160">
        <w:rPr>
          <w:rFonts w:ascii="Garamond" w:hAnsi="Garamond"/>
        </w:rPr>
        <w:t>[1]</w:t>
      </w:r>
      <w:r w:rsidRPr="006B7160">
        <w:rPr>
          <w:rFonts w:ascii="Garamond" w:hAnsi="Garamond"/>
        </w:rPr>
        <w:tab/>
        <w:t xml:space="preserve">W. Weiler, M. Peters, H. Gassmann, H. Fricke, </w:t>
      </w:r>
      <w:proofErr w:type="spellStart"/>
      <w:r w:rsidRPr="006B7160">
        <w:rPr>
          <w:rFonts w:ascii="Garamond" w:hAnsi="Garamond"/>
        </w:rPr>
        <w:t>W.Ackerschott</w:t>
      </w:r>
      <w:proofErr w:type="spellEnd"/>
      <w:r w:rsidRPr="006B7160">
        <w:rPr>
          <w:rFonts w:ascii="Garamond" w:hAnsi="Garamond"/>
        </w:rPr>
        <w:t>, “Die 1-MN-Normalmeßeinrichtung der PTB Braunschweig.”, VDI-Z 120, 1978, pp. 1-6</w:t>
      </w:r>
    </w:p>
    <w:p w:rsidR="00222FBC" w:rsidRPr="006B7160" w:rsidRDefault="00222FBC" w:rsidP="006B7160">
      <w:pPr>
        <w:pStyle w:val="Reference"/>
        <w:spacing w:before="0" w:after="0"/>
        <w:rPr>
          <w:rFonts w:ascii="Garamond" w:hAnsi="Garamond"/>
          <w:lang w:val="en-US"/>
        </w:rPr>
      </w:pPr>
      <w:r w:rsidRPr="006B7160">
        <w:rPr>
          <w:rFonts w:ascii="Garamond" w:hAnsi="Garamond"/>
          <w:lang w:val="en-US"/>
        </w:rPr>
        <w:t>2]</w:t>
      </w:r>
      <w:r w:rsidRPr="006B7160">
        <w:rPr>
          <w:rFonts w:ascii="Garamond" w:hAnsi="Garamond"/>
          <w:lang w:val="en-US"/>
        </w:rPr>
        <w:tab/>
        <w:t>D. Röske, “Metrological Characterization of a Hexapod for a Multi-Component Calibration Device”, Proc. XVII IMEKO World Congress, Dubrovnik, Croatia, 2003, pp. 347-351</w:t>
      </w:r>
    </w:p>
    <w:p w:rsidR="00222FBC" w:rsidRPr="006B7160" w:rsidRDefault="00222FBC" w:rsidP="006B7160">
      <w:pPr>
        <w:pStyle w:val="Reference"/>
        <w:spacing w:before="0" w:after="0"/>
        <w:rPr>
          <w:rFonts w:ascii="Garamond" w:hAnsi="Garamond"/>
          <w:lang w:val="en-US"/>
        </w:rPr>
      </w:pPr>
      <w:r w:rsidRPr="006B7160">
        <w:rPr>
          <w:rFonts w:ascii="Garamond" w:hAnsi="Garamond"/>
          <w:lang w:val="en-US"/>
        </w:rPr>
        <w:t>[3]</w:t>
      </w:r>
      <w:r w:rsidRPr="006B7160">
        <w:rPr>
          <w:rFonts w:ascii="Garamond" w:hAnsi="Garamond"/>
          <w:lang w:val="en-US"/>
        </w:rPr>
        <w:tab/>
        <w:t xml:space="preserve">C. Ferrero, Li Qing </w:t>
      </w:r>
      <w:proofErr w:type="spellStart"/>
      <w:r w:rsidRPr="006B7160">
        <w:rPr>
          <w:rFonts w:ascii="Garamond" w:hAnsi="Garamond"/>
          <w:lang w:val="en-US"/>
        </w:rPr>
        <w:t>Zhong</w:t>
      </w:r>
      <w:proofErr w:type="spellEnd"/>
      <w:r w:rsidRPr="006B7160">
        <w:rPr>
          <w:rFonts w:ascii="Garamond" w:hAnsi="Garamond"/>
          <w:lang w:val="en-US"/>
        </w:rPr>
        <w:t xml:space="preserve">, </w:t>
      </w:r>
      <w:proofErr w:type="spellStart"/>
      <w:r w:rsidRPr="006B7160">
        <w:rPr>
          <w:rFonts w:ascii="Garamond" w:hAnsi="Garamond"/>
          <w:lang w:val="en-US"/>
        </w:rPr>
        <w:t>C.Marinari</w:t>
      </w:r>
      <w:proofErr w:type="spellEnd"/>
      <w:r w:rsidRPr="006B7160">
        <w:rPr>
          <w:rFonts w:ascii="Garamond" w:hAnsi="Garamond"/>
          <w:lang w:val="en-US"/>
        </w:rPr>
        <w:t xml:space="preserve"> and </w:t>
      </w:r>
      <w:proofErr w:type="spellStart"/>
      <w:r w:rsidRPr="006B7160">
        <w:rPr>
          <w:rFonts w:ascii="Garamond" w:hAnsi="Garamond"/>
          <w:lang w:val="en-US"/>
        </w:rPr>
        <w:t>E.Martino</w:t>
      </w:r>
      <w:proofErr w:type="spellEnd"/>
      <w:r w:rsidRPr="006B7160">
        <w:rPr>
          <w:rFonts w:ascii="Garamond" w:hAnsi="Garamond"/>
          <w:lang w:val="en-US"/>
        </w:rPr>
        <w:t xml:space="preserve"> “New Automatic Multicomponent Calibration System with Crossed-Flexure Levers”, Proc. of ISMCR'93 - IMEKO TC-17, Torino, Italy, 1993.</w:t>
      </w:r>
    </w:p>
    <w:p w:rsidR="00222FBC" w:rsidRPr="006B7160" w:rsidRDefault="00222FBC" w:rsidP="006B7160">
      <w:pPr>
        <w:pStyle w:val="Reference"/>
        <w:spacing w:before="0" w:after="0"/>
        <w:rPr>
          <w:rFonts w:ascii="Garamond" w:hAnsi="Garamond"/>
          <w:lang w:val="en-US"/>
        </w:rPr>
      </w:pPr>
      <w:r w:rsidRPr="006B7160">
        <w:rPr>
          <w:rFonts w:ascii="Garamond" w:hAnsi="Garamond"/>
          <w:lang w:val="en-US"/>
        </w:rPr>
        <w:t>[4]</w:t>
      </w:r>
      <w:r w:rsidRPr="006B7160">
        <w:rPr>
          <w:rFonts w:ascii="Garamond" w:hAnsi="Garamond"/>
          <w:lang w:val="en-US"/>
        </w:rPr>
        <w:tab/>
        <w:t>A. Robinson, „The Commissioning of the First UK National Standard Static Torque Calibration Machine“, 19th Conference on Force, Mass and Torque Measurement, Cairo, Egypt, 2005 pp.1-6</w:t>
      </w:r>
    </w:p>
    <w:p w:rsidR="00222FBC" w:rsidRPr="006B7160" w:rsidRDefault="00222FBC" w:rsidP="006B7160">
      <w:pPr>
        <w:pStyle w:val="Reference"/>
        <w:spacing w:before="0" w:after="0"/>
        <w:rPr>
          <w:rFonts w:ascii="Garamond" w:hAnsi="Garamond"/>
          <w:lang w:val="en-US"/>
        </w:rPr>
      </w:pPr>
      <w:r w:rsidRPr="006B7160">
        <w:rPr>
          <w:rFonts w:ascii="Garamond" w:hAnsi="Garamond"/>
          <w:lang w:val="en-US"/>
        </w:rPr>
        <w:t>[5]</w:t>
      </w:r>
      <w:r w:rsidRPr="006B7160">
        <w:rPr>
          <w:rFonts w:ascii="Garamond" w:hAnsi="Garamond"/>
          <w:lang w:val="en-US"/>
        </w:rPr>
        <w:tab/>
        <w:t xml:space="preserve">D. </w:t>
      </w:r>
      <w:proofErr w:type="spellStart"/>
      <w:r w:rsidRPr="006B7160">
        <w:rPr>
          <w:rFonts w:ascii="Garamond" w:hAnsi="Garamond"/>
          <w:lang w:val="en-US"/>
        </w:rPr>
        <w:t>Peschel</w:t>
      </w:r>
      <w:proofErr w:type="spellEnd"/>
      <w:r w:rsidRPr="006B7160">
        <w:rPr>
          <w:rFonts w:ascii="Garamond" w:hAnsi="Garamond"/>
          <w:lang w:val="en-US"/>
        </w:rPr>
        <w:t xml:space="preserve">, D. </w:t>
      </w:r>
      <w:proofErr w:type="spellStart"/>
      <w:r w:rsidRPr="006B7160">
        <w:rPr>
          <w:rFonts w:ascii="Garamond" w:hAnsi="Garamond"/>
          <w:lang w:val="en-US"/>
        </w:rPr>
        <w:t>Mauersberger</w:t>
      </w:r>
      <w:proofErr w:type="spellEnd"/>
      <w:r w:rsidRPr="006B7160">
        <w:rPr>
          <w:rFonts w:ascii="Garamond" w:hAnsi="Garamond"/>
          <w:lang w:val="en-US"/>
        </w:rPr>
        <w:t>, “Determination of the friction of aerostatic radial bearings for the lever-mass system of torque standard machines”, Proc. of the XIII IMEKO World Congress, Turin (</w:t>
      </w:r>
      <w:proofErr w:type="spellStart"/>
      <w:r w:rsidRPr="006B7160">
        <w:rPr>
          <w:rFonts w:ascii="Garamond" w:hAnsi="Garamond"/>
          <w:lang w:val="en-US"/>
        </w:rPr>
        <w:t>Italien</w:t>
      </w:r>
      <w:proofErr w:type="spellEnd"/>
      <w:r w:rsidRPr="006B7160">
        <w:rPr>
          <w:rFonts w:ascii="Garamond" w:hAnsi="Garamond"/>
          <w:lang w:val="en-US"/>
        </w:rPr>
        <w:t>), Sept. 5-9, 1994, vol. 1, pp. 216-220.</w:t>
      </w:r>
    </w:p>
    <w:p w:rsidR="00222FBC" w:rsidRPr="006B7160" w:rsidRDefault="00222FBC" w:rsidP="006B7160">
      <w:pPr>
        <w:pStyle w:val="Reference"/>
        <w:spacing w:before="0" w:after="0"/>
        <w:rPr>
          <w:rFonts w:ascii="Garamond" w:hAnsi="Garamond"/>
          <w:lang w:val="en-US"/>
        </w:rPr>
      </w:pPr>
      <w:r w:rsidRPr="006B7160">
        <w:rPr>
          <w:rFonts w:ascii="Garamond" w:hAnsi="Garamond"/>
          <w:lang w:val="en-US"/>
        </w:rPr>
        <w:t>[6]</w:t>
      </w:r>
      <w:r w:rsidRPr="006B7160">
        <w:rPr>
          <w:rFonts w:ascii="Garamond" w:hAnsi="Garamond"/>
          <w:lang w:val="en-US"/>
        </w:rPr>
        <w:tab/>
        <w:t xml:space="preserve">S. S. Shapiro, M. B. Wilk “A analysis of variance test for normality”, </w:t>
      </w:r>
      <w:proofErr w:type="spellStart"/>
      <w:r w:rsidRPr="006B7160">
        <w:rPr>
          <w:rFonts w:ascii="Garamond" w:hAnsi="Garamond"/>
          <w:lang w:val="en-US"/>
        </w:rPr>
        <w:t>Biometrika</w:t>
      </w:r>
      <w:proofErr w:type="spellEnd"/>
      <w:r w:rsidRPr="006B7160">
        <w:rPr>
          <w:rFonts w:ascii="Garamond" w:hAnsi="Garamond"/>
          <w:lang w:val="en-US"/>
        </w:rPr>
        <w:t>, Vol. 52, No. ¾, 1965, pp. 591-611</w:t>
      </w:r>
    </w:p>
    <w:p w:rsidR="00222FBC" w:rsidRPr="006B7160" w:rsidRDefault="00222FBC" w:rsidP="006B7160">
      <w:pPr>
        <w:pStyle w:val="Reference"/>
        <w:spacing w:before="0" w:after="0"/>
        <w:rPr>
          <w:rFonts w:ascii="Garamond" w:hAnsi="Garamond"/>
          <w:lang w:val="en-US"/>
        </w:rPr>
      </w:pPr>
      <w:r w:rsidRPr="006B7160">
        <w:rPr>
          <w:rFonts w:ascii="Garamond" w:hAnsi="Garamond"/>
          <w:lang w:val="en-US"/>
        </w:rPr>
        <w:t>[7]</w:t>
      </w:r>
      <w:r w:rsidRPr="006B7160">
        <w:rPr>
          <w:rFonts w:ascii="Garamond" w:hAnsi="Garamond"/>
          <w:lang w:val="en-US"/>
        </w:rPr>
        <w:tab/>
        <w:t xml:space="preserve">D. Röske, “Uncertainty contribution in the case of cosine function with zero estimate – a proposal”, IMEKO 2010 TC3, TC5 and TC22 Conferences, </w:t>
      </w:r>
      <w:proofErr w:type="spellStart"/>
      <w:r w:rsidRPr="006B7160">
        <w:rPr>
          <w:rFonts w:ascii="Garamond" w:hAnsi="Garamond"/>
          <w:lang w:val="en-US"/>
        </w:rPr>
        <w:t>Pattaya</w:t>
      </w:r>
      <w:proofErr w:type="spellEnd"/>
      <w:r w:rsidRPr="006B7160">
        <w:rPr>
          <w:rFonts w:ascii="Garamond" w:hAnsi="Garamond"/>
          <w:lang w:val="en-US"/>
        </w:rPr>
        <w:t xml:space="preserve">, </w:t>
      </w:r>
      <w:proofErr w:type="spellStart"/>
      <w:r w:rsidRPr="006B7160">
        <w:rPr>
          <w:rFonts w:ascii="Garamond" w:hAnsi="Garamond"/>
          <w:lang w:val="en-US"/>
        </w:rPr>
        <w:t>Chonburi</w:t>
      </w:r>
      <w:proofErr w:type="spellEnd"/>
      <w:r w:rsidRPr="006B7160">
        <w:rPr>
          <w:rFonts w:ascii="Garamond" w:hAnsi="Garamond"/>
          <w:lang w:val="en-US"/>
        </w:rPr>
        <w:t>, Thailand, November 22-25, 2010</w:t>
      </w:r>
    </w:p>
    <w:p w:rsidR="00222FBC" w:rsidRDefault="00222FBC" w:rsidP="006B7160">
      <w:pPr>
        <w:pStyle w:val="Reference"/>
        <w:spacing w:before="0" w:after="0"/>
        <w:rPr>
          <w:rFonts w:ascii="Garamond" w:hAnsi="Garamond"/>
          <w:lang w:val="en-US"/>
        </w:rPr>
      </w:pPr>
      <w:r w:rsidRPr="006B7160">
        <w:rPr>
          <w:rFonts w:ascii="Garamond" w:hAnsi="Garamond"/>
          <w:lang w:val="en-US"/>
        </w:rPr>
        <w:t>[8]</w:t>
      </w:r>
      <w:r w:rsidRPr="006B7160">
        <w:rPr>
          <w:rFonts w:ascii="Garamond" w:hAnsi="Garamond"/>
          <w:lang w:val="en-US"/>
        </w:rPr>
        <w:tab/>
        <w:t xml:space="preserve">A. </w:t>
      </w:r>
      <w:proofErr w:type="spellStart"/>
      <w:r w:rsidRPr="006B7160">
        <w:rPr>
          <w:rFonts w:ascii="Garamond" w:hAnsi="Garamond"/>
          <w:lang w:val="en-US"/>
        </w:rPr>
        <w:t>Brüge</w:t>
      </w:r>
      <w:proofErr w:type="spellEnd"/>
      <w:r w:rsidRPr="006B7160">
        <w:rPr>
          <w:rFonts w:ascii="Garamond" w:hAnsi="Garamond"/>
          <w:lang w:val="en-US"/>
        </w:rPr>
        <w:t xml:space="preserve">, D. Röske, D. </w:t>
      </w:r>
      <w:proofErr w:type="spellStart"/>
      <w:r w:rsidRPr="006B7160">
        <w:rPr>
          <w:rFonts w:ascii="Garamond" w:hAnsi="Garamond"/>
          <w:lang w:val="en-US"/>
        </w:rPr>
        <w:t>Mauersberger</w:t>
      </w:r>
      <w:proofErr w:type="spellEnd"/>
      <w:r w:rsidRPr="006B7160">
        <w:rPr>
          <w:rFonts w:ascii="Garamond" w:hAnsi="Garamond"/>
          <w:lang w:val="en-US"/>
        </w:rPr>
        <w:t>, K. Adolf “Influence of cross forces and bending moments on reference torque sensors for torque wrench calibration”, XIX IMEKO World Congress, Lisbon (Portugal), Sept. 6-11, 2009</w:t>
      </w:r>
    </w:p>
    <w:p w:rsidR="005D535D" w:rsidRPr="006B7160" w:rsidRDefault="005D535D" w:rsidP="005D535D">
      <w:pPr>
        <w:pStyle w:val="Reference"/>
        <w:rPr>
          <w:rFonts w:ascii="Garamond" w:hAnsi="Garamond"/>
          <w:lang w:val="en-US"/>
        </w:rPr>
      </w:pPr>
      <w:r>
        <w:rPr>
          <w:rFonts w:ascii="Garamond" w:hAnsi="Garamond"/>
          <w:lang w:val="en-US"/>
        </w:rPr>
        <w:t>[9</w:t>
      </w:r>
      <w:r w:rsidRPr="006B7160">
        <w:rPr>
          <w:rFonts w:ascii="Garamond" w:hAnsi="Garamond"/>
          <w:lang w:val="en-US"/>
        </w:rPr>
        <w:t>]</w:t>
      </w:r>
      <w:r w:rsidRPr="006B7160">
        <w:rPr>
          <w:rFonts w:ascii="Garamond" w:hAnsi="Garamond"/>
          <w:lang w:val="en-US"/>
        </w:rPr>
        <w:tab/>
      </w:r>
      <w:proofErr w:type="spellStart"/>
      <w:r>
        <w:rPr>
          <w:rFonts w:ascii="Garamond" w:hAnsi="Garamond"/>
          <w:lang w:val="en-US"/>
        </w:rPr>
        <w:t>S.Baumgarten</w:t>
      </w:r>
      <w:proofErr w:type="spellEnd"/>
      <w:r w:rsidRPr="006B7160">
        <w:rPr>
          <w:rFonts w:ascii="Garamond" w:hAnsi="Garamond"/>
          <w:lang w:val="en-US"/>
        </w:rPr>
        <w:t xml:space="preserve">, </w:t>
      </w:r>
      <w:r>
        <w:rPr>
          <w:rFonts w:ascii="Garamond" w:hAnsi="Garamond"/>
          <w:lang w:val="en-US"/>
        </w:rPr>
        <w:t>H</w:t>
      </w:r>
      <w:r w:rsidRPr="006B7160">
        <w:rPr>
          <w:rFonts w:ascii="Garamond" w:hAnsi="Garamond"/>
          <w:lang w:val="en-US"/>
        </w:rPr>
        <w:t xml:space="preserve">. </w:t>
      </w:r>
      <w:proofErr w:type="spellStart"/>
      <w:r>
        <w:rPr>
          <w:rFonts w:ascii="Garamond" w:hAnsi="Garamond"/>
          <w:lang w:val="en-US"/>
        </w:rPr>
        <w:t>Kahmann</w:t>
      </w:r>
      <w:proofErr w:type="spellEnd"/>
      <w:r>
        <w:rPr>
          <w:rFonts w:ascii="Garamond" w:hAnsi="Garamond"/>
          <w:lang w:val="en-US"/>
        </w:rPr>
        <w:t>, D. Röske</w:t>
      </w:r>
      <w:r w:rsidRPr="006B7160">
        <w:rPr>
          <w:rFonts w:ascii="Garamond" w:hAnsi="Garamond"/>
          <w:lang w:val="en-US"/>
        </w:rPr>
        <w:t xml:space="preserve"> “</w:t>
      </w:r>
      <w:r w:rsidRPr="005D535D">
        <w:rPr>
          <w:rFonts w:ascii="Garamond" w:hAnsi="Garamond"/>
          <w:lang w:val="en-US"/>
        </w:rPr>
        <w:t>Metrolog</w:t>
      </w:r>
      <w:r>
        <w:rPr>
          <w:rFonts w:ascii="Garamond" w:hAnsi="Garamond"/>
          <w:lang w:val="en-US"/>
        </w:rPr>
        <w:t>ical characterization of a 2 </w:t>
      </w:r>
      <w:proofErr w:type="gramStart"/>
      <w:r>
        <w:rPr>
          <w:rFonts w:ascii="Garamond" w:hAnsi="Garamond"/>
          <w:lang w:val="en-US"/>
        </w:rPr>
        <w:t>kN</w:t>
      </w:r>
      <w:r w:rsidRPr="005D535D">
        <w:rPr>
          <w:rFonts w:ascii="Garamond" w:hAnsi="Garamond"/>
          <w:lang w:val="en-US"/>
        </w:rPr>
        <w:t>·</w:t>
      </w:r>
      <w:proofErr w:type="gramEnd"/>
      <w:r w:rsidRPr="005D535D">
        <w:rPr>
          <w:rFonts w:ascii="Garamond" w:hAnsi="Garamond"/>
          <w:lang w:val="en-US"/>
        </w:rPr>
        <w:t>m</w:t>
      </w:r>
      <w:r>
        <w:rPr>
          <w:rFonts w:ascii="Garamond" w:hAnsi="Garamond"/>
          <w:lang w:val="en-US"/>
        </w:rPr>
        <w:t xml:space="preserve"> </w:t>
      </w:r>
      <w:r w:rsidRPr="005D535D">
        <w:rPr>
          <w:rFonts w:ascii="Garamond" w:hAnsi="Garamond"/>
          <w:lang w:val="en-US"/>
        </w:rPr>
        <w:t>torque standard machine for superposition</w:t>
      </w:r>
      <w:r>
        <w:rPr>
          <w:rFonts w:ascii="Garamond" w:hAnsi="Garamond"/>
          <w:lang w:val="en-US"/>
        </w:rPr>
        <w:t xml:space="preserve"> </w:t>
      </w:r>
      <w:r w:rsidRPr="005D535D">
        <w:rPr>
          <w:rFonts w:ascii="Garamond" w:hAnsi="Garamond"/>
          <w:lang w:val="en-US"/>
        </w:rPr>
        <w:t>with axial forces up to 1 MN</w:t>
      </w:r>
      <w:r w:rsidRPr="006B7160">
        <w:rPr>
          <w:rFonts w:ascii="Garamond" w:hAnsi="Garamond"/>
          <w:lang w:val="en-US"/>
        </w:rPr>
        <w:t xml:space="preserve">”, </w:t>
      </w:r>
      <w:proofErr w:type="spellStart"/>
      <w:r w:rsidRPr="005D535D">
        <w:rPr>
          <w:rFonts w:ascii="Garamond" w:hAnsi="Garamond"/>
          <w:lang w:val="en-US"/>
        </w:rPr>
        <w:t>Metrologia</w:t>
      </w:r>
      <w:proofErr w:type="spellEnd"/>
      <w:r>
        <w:rPr>
          <w:rFonts w:ascii="Garamond" w:hAnsi="Garamond"/>
          <w:lang w:val="en-US"/>
        </w:rPr>
        <w:t>, Vol. 53, 2016, pp. 1165-1176</w:t>
      </w:r>
    </w:p>
    <w:p w:rsidR="005D535D" w:rsidRPr="006B7160" w:rsidRDefault="005D535D" w:rsidP="006B7160">
      <w:pPr>
        <w:pStyle w:val="Reference"/>
        <w:spacing w:before="0" w:after="0"/>
        <w:rPr>
          <w:rFonts w:ascii="Garamond" w:hAnsi="Garamond"/>
          <w:lang w:val="en-US"/>
        </w:rPr>
      </w:pPr>
    </w:p>
    <w:p w:rsidR="000673CA" w:rsidRDefault="000673CA" w:rsidP="00A66693">
      <w:pPr>
        <w:pStyle w:val="Figure"/>
        <w:keepNext/>
        <w:jc w:val="both"/>
      </w:pPr>
    </w:p>
    <w:sectPr w:rsidR="000673CA" w:rsidSect="00222485">
      <w:headerReference w:type="even" r:id="rId16"/>
      <w:headerReference w:type="default" r:id="rId17"/>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308" w:rsidRDefault="003B1308" w:rsidP="00340C7C">
      <w:r>
        <w:separator/>
      </w:r>
    </w:p>
    <w:p w:rsidR="003B1308" w:rsidRDefault="003B1308" w:rsidP="00340C7C"/>
    <w:p w:rsidR="003B1308" w:rsidRDefault="003B1308" w:rsidP="00340C7C"/>
    <w:p w:rsidR="003B1308" w:rsidRDefault="003B1308" w:rsidP="00340C7C"/>
    <w:p w:rsidR="003B1308" w:rsidRDefault="003B1308" w:rsidP="00340C7C"/>
  </w:endnote>
  <w:endnote w:type="continuationSeparator" w:id="0">
    <w:p w:rsidR="003B1308" w:rsidRDefault="003B1308" w:rsidP="00340C7C">
      <w:r>
        <w:continuationSeparator/>
      </w:r>
    </w:p>
    <w:p w:rsidR="003B1308" w:rsidRDefault="003B1308" w:rsidP="00340C7C"/>
    <w:p w:rsidR="003B1308" w:rsidRDefault="003B1308" w:rsidP="00340C7C"/>
    <w:p w:rsidR="003B1308" w:rsidRDefault="003B1308" w:rsidP="00340C7C"/>
    <w:p w:rsidR="003B1308" w:rsidRDefault="003B1308"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35D" w:rsidRDefault="005D535D" w:rsidP="00340C7C">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35D" w:rsidRPr="00336A8C" w:rsidRDefault="005D535D" w:rsidP="00BD273E">
    <w:pPr>
      <w:pStyle w:val="Fuzeile"/>
      <w:tabs>
        <w:tab w:val="clear" w:pos="4513"/>
        <w:tab w:val="clear" w:pos="9026"/>
        <w:tab w:val="left" w:pos="567"/>
        <w:tab w:val="right" w:pos="10206"/>
      </w:tabs>
      <w:jc w:val="left"/>
    </w:pPr>
    <w:r>
      <w:rPr>
        <w:noProof/>
        <w:lang w:val="de-DE" w:eastAsia="de-DE"/>
      </w:rPr>
      <mc:AlternateContent>
        <mc:Choice Requires="wps">
          <w:drawing>
            <wp:anchor distT="4294967294" distB="4294967294" distL="114300" distR="114300" simplePos="0" relativeHeight="251658752" behindDoc="0" locked="0" layoutInCell="1" allowOverlap="1">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16191B"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t>Month year</w:t>
    </w:r>
    <w:r w:rsidRPr="00944C77">
      <w:t xml:space="preserve"> | </w:t>
    </w:r>
    <w:r w:rsidRPr="00DA4117">
      <w:t xml:space="preserve">Volume </w:t>
    </w:r>
    <w:r>
      <w:t>A</w:t>
    </w:r>
    <w:r w:rsidRPr="00DA4117">
      <w:t xml:space="preserve"> | </w:t>
    </w:r>
    <w:r w:rsidRPr="00E3556B">
      <w:t xml:space="preserve">Number </w:t>
    </w:r>
    <w:r>
      <w:t xml:space="preserve">B </w:t>
    </w:r>
    <w:r w:rsidRPr="00944C77">
      <w:t>|</w:t>
    </w:r>
    <w:r w:rsidRPr="00336A8C">
      <w:t xml:space="preserve"> </w:t>
    </w:r>
    <w:r>
      <w:rPr>
        <w:rStyle w:val="Seitenzahl"/>
      </w:rPr>
      <w:fldChar w:fldCharType="begin"/>
    </w:r>
    <w:r>
      <w:rPr>
        <w:rStyle w:val="Seitenzahl"/>
      </w:rPr>
      <w:instrText xml:space="preserve"> PAGE </w:instrText>
    </w:r>
    <w:r>
      <w:rPr>
        <w:rStyle w:val="Seitenzahl"/>
      </w:rPr>
      <w:fldChar w:fldCharType="separate"/>
    </w:r>
    <w:r w:rsidR="004110A7">
      <w:rPr>
        <w:rStyle w:val="Seitenzahl"/>
        <w:noProof/>
      </w:rPr>
      <w:t>6</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308" w:rsidRDefault="003B1308" w:rsidP="00340C7C">
      <w:r>
        <w:separator/>
      </w:r>
    </w:p>
    <w:p w:rsidR="003B1308" w:rsidRDefault="003B1308" w:rsidP="00340C7C"/>
    <w:p w:rsidR="003B1308" w:rsidRDefault="003B1308" w:rsidP="00340C7C"/>
    <w:p w:rsidR="003B1308" w:rsidRDefault="003B1308" w:rsidP="00340C7C"/>
    <w:p w:rsidR="003B1308" w:rsidRDefault="003B1308" w:rsidP="00340C7C"/>
  </w:footnote>
  <w:footnote w:type="continuationSeparator" w:id="0">
    <w:p w:rsidR="003B1308" w:rsidRDefault="003B1308" w:rsidP="00340C7C">
      <w:r>
        <w:continuationSeparator/>
      </w:r>
    </w:p>
    <w:p w:rsidR="003B1308" w:rsidRDefault="003B1308" w:rsidP="00340C7C"/>
    <w:p w:rsidR="003B1308" w:rsidRDefault="003B1308" w:rsidP="00340C7C"/>
    <w:p w:rsidR="003B1308" w:rsidRDefault="003B1308" w:rsidP="00340C7C"/>
    <w:p w:rsidR="003B1308" w:rsidRDefault="003B1308"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35D" w:rsidRPr="00962E1C" w:rsidRDefault="005D535D" w:rsidP="006E2692">
    <w:pPr>
      <w:pStyle w:val="HeaderActaIMEKO"/>
      <w:rPr>
        <w:b/>
        <w:sz w:val="24"/>
        <w:szCs w:val="52"/>
      </w:rPr>
    </w:pPr>
    <w:r>
      <w:rPr>
        <w:b/>
        <w:sz w:val="24"/>
        <w:lang w:val="de-DE" w:eastAsia="de-DE"/>
      </w:rPr>
      <w:drawing>
        <wp:anchor distT="0" distB="0" distL="114300" distR="114300" simplePos="0" relativeHeight="251656704" behindDoc="0" locked="0" layoutInCell="1" allowOverlap="1">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rsidR="005D535D" w:rsidRPr="009B01D7" w:rsidRDefault="005D535D" w:rsidP="009B01D7">
    <w:pPr>
      <w:pStyle w:val="HeaderDate"/>
      <w:rPr>
        <w:b/>
        <w:sz w:val="18"/>
        <w:lang w:val="pt-PT"/>
      </w:rPr>
    </w:pPr>
    <w:r w:rsidRPr="009B01D7">
      <w:rPr>
        <w:b/>
        <w:sz w:val="18"/>
        <w:lang w:val="pt-PT"/>
      </w:rPr>
      <w:t>ISSN: 2221-870X</w:t>
    </w:r>
  </w:p>
  <w:p w:rsidR="005D535D" w:rsidRPr="00C825FD" w:rsidRDefault="005D535D"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rsidR="005D535D" w:rsidRPr="001638A5" w:rsidRDefault="005D535D" w:rsidP="006E2692">
    <w:pPr>
      <w:pStyle w:val="HeaderSite"/>
    </w:pPr>
    <w:r>
      <w:rPr>
        <w:noProof/>
        <w:lang w:val="de-DE" w:eastAsia="de-DE"/>
      </w:rPr>
      <mc:AlternateContent>
        <mc:Choice Requires="wps">
          <w:drawing>
            <wp:anchor distT="4294967294" distB="4294967294" distL="114300" distR="114300" simplePos="0" relativeHeight="251657728" behindDoc="0" locked="0" layoutInCell="1" allowOverlap="1">
              <wp:simplePos x="0" y="0"/>
              <wp:positionH relativeFrom="column">
                <wp:posOffset>-1270</wp:posOffset>
              </wp:positionH>
              <wp:positionV relativeFrom="paragraph">
                <wp:posOffset>113664</wp:posOffset>
              </wp:positionV>
              <wp:extent cx="6020435" cy="0"/>
              <wp:effectExtent l="0" t="0" r="3746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D3A223"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35D" w:rsidRDefault="005D535D"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35D" w:rsidRPr="00920065" w:rsidRDefault="005D535D" w:rsidP="0092006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7C891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605E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DE15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6CDC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F228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44EE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F8D9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DE0D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D4E7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E414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AA"/>
    <w:rsid w:val="0000028D"/>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1546"/>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0E6E"/>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A13EC"/>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6C74"/>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5631D"/>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8B6"/>
    <w:rsid w:val="001C7962"/>
    <w:rsid w:val="001D0045"/>
    <w:rsid w:val="001D0963"/>
    <w:rsid w:val="001D0CE0"/>
    <w:rsid w:val="001D0D08"/>
    <w:rsid w:val="001D147E"/>
    <w:rsid w:val="001D20AA"/>
    <w:rsid w:val="001D2415"/>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2FBC"/>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4724E"/>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085"/>
    <w:rsid w:val="002C35E1"/>
    <w:rsid w:val="002C36D0"/>
    <w:rsid w:val="002C3CA5"/>
    <w:rsid w:val="002C56DA"/>
    <w:rsid w:val="002C5A7D"/>
    <w:rsid w:val="002C6349"/>
    <w:rsid w:val="002C656C"/>
    <w:rsid w:val="002C6C37"/>
    <w:rsid w:val="002C7B2D"/>
    <w:rsid w:val="002D035C"/>
    <w:rsid w:val="002D07AB"/>
    <w:rsid w:val="002D084F"/>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493"/>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2F7DA4"/>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40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308"/>
    <w:rsid w:val="003B1A35"/>
    <w:rsid w:val="003B1A66"/>
    <w:rsid w:val="003B48A8"/>
    <w:rsid w:val="003B4DAC"/>
    <w:rsid w:val="003B64EC"/>
    <w:rsid w:val="003B6D7D"/>
    <w:rsid w:val="003B6E11"/>
    <w:rsid w:val="003B73D7"/>
    <w:rsid w:val="003B79CB"/>
    <w:rsid w:val="003B7DB5"/>
    <w:rsid w:val="003C009D"/>
    <w:rsid w:val="003C1512"/>
    <w:rsid w:val="003C1574"/>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5F58"/>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0A7"/>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3E88"/>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0FD"/>
    <w:rsid w:val="004A768B"/>
    <w:rsid w:val="004B1063"/>
    <w:rsid w:val="004B1103"/>
    <w:rsid w:val="004B1B79"/>
    <w:rsid w:val="004B1EB1"/>
    <w:rsid w:val="004B21EC"/>
    <w:rsid w:val="004B2529"/>
    <w:rsid w:val="004B555A"/>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023"/>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045"/>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266"/>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36F"/>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5E4"/>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4D3F"/>
    <w:rsid w:val="005C5599"/>
    <w:rsid w:val="005C60DA"/>
    <w:rsid w:val="005C6994"/>
    <w:rsid w:val="005C7C6E"/>
    <w:rsid w:val="005C7E90"/>
    <w:rsid w:val="005D059D"/>
    <w:rsid w:val="005D091A"/>
    <w:rsid w:val="005D0A41"/>
    <w:rsid w:val="005D2C29"/>
    <w:rsid w:val="005D35D6"/>
    <w:rsid w:val="005D37BA"/>
    <w:rsid w:val="005D3B9C"/>
    <w:rsid w:val="005D535D"/>
    <w:rsid w:val="005D5CCF"/>
    <w:rsid w:val="005D6D38"/>
    <w:rsid w:val="005E097E"/>
    <w:rsid w:val="005E1243"/>
    <w:rsid w:val="005E127C"/>
    <w:rsid w:val="005E2628"/>
    <w:rsid w:val="005E2649"/>
    <w:rsid w:val="005E4BB5"/>
    <w:rsid w:val="005E4CF3"/>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4A83"/>
    <w:rsid w:val="006052A7"/>
    <w:rsid w:val="0060566D"/>
    <w:rsid w:val="00606459"/>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60E5"/>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160"/>
    <w:rsid w:val="006B7B7D"/>
    <w:rsid w:val="006C1512"/>
    <w:rsid w:val="006C21FC"/>
    <w:rsid w:val="006C22C2"/>
    <w:rsid w:val="006C32A1"/>
    <w:rsid w:val="006C5672"/>
    <w:rsid w:val="006C6886"/>
    <w:rsid w:val="006C6914"/>
    <w:rsid w:val="006C7A1A"/>
    <w:rsid w:val="006D0666"/>
    <w:rsid w:val="006D0982"/>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CA5"/>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0F7"/>
    <w:rsid w:val="00784A3A"/>
    <w:rsid w:val="00785787"/>
    <w:rsid w:val="00786275"/>
    <w:rsid w:val="00787520"/>
    <w:rsid w:val="00787980"/>
    <w:rsid w:val="00787E7F"/>
    <w:rsid w:val="0079022C"/>
    <w:rsid w:val="00791752"/>
    <w:rsid w:val="00791792"/>
    <w:rsid w:val="00791D5F"/>
    <w:rsid w:val="00791F51"/>
    <w:rsid w:val="007928A7"/>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6FDE"/>
    <w:rsid w:val="007A7583"/>
    <w:rsid w:val="007B0C84"/>
    <w:rsid w:val="007B1350"/>
    <w:rsid w:val="007B147E"/>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2CD7"/>
    <w:rsid w:val="007E3316"/>
    <w:rsid w:val="007E3DBA"/>
    <w:rsid w:val="007E4FFB"/>
    <w:rsid w:val="007E5FC1"/>
    <w:rsid w:val="007E631A"/>
    <w:rsid w:val="007E6B76"/>
    <w:rsid w:val="007E6FD8"/>
    <w:rsid w:val="007E7551"/>
    <w:rsid w:val="007E7B63"/>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3C73"/>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5B86"/>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4C45"/>
    <w:rsid w:val="0097583C"/>
    <w:rsid w:val="00975B97"/>
    <w:rsid w:val="009775AC"/>
    <w:rsid w:val="00977C08"/>
    <w:rsid w:val="00977FAF"/>
    <w:rsid w:val="00983552"/>
    <w:rsid w:val="00983721"/>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DFB"/>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4F68"/>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6B20"/>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04B"/>
    <w:rsid w:val="00A20771"/>
    <w:rsid w:val="00A20B1B"/>
    <w:rsid w:val="00A21CC2"/>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41E"/>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1E27"/>
    <w:rsid w:val="00AA26FD"/>
    <w:rsid w:val="00AA280A"/>
    <w:rsid w:val="00AA3890"/>
    <w:rsid w:val="00AA3FBA"/>
    <w:rsid w:val="00AA5542"/>
    <w:rsid w:val="00AA64E3"/>
    <w:rsid w:val="00AA7AAD"/>
    <w:rsid w:val="00AB1059"/>
    <w:rsid w:val="00AB1B87"/>
    <w:rsid w:val="00AB22C6"/>
    <w:rsid w:val="00AB3280"/>
    <w:rsid w:val="00AB41D3"/>
    <w:rsid w:val="00AB5919"/>
    <w:rsid w:val="00AB5B9E"/>
    <w:rsid w:val="00AB717B"/>
    <w:rsid w:val="00AB7AB6"/>
    <w:rsid w:val="00AC09E1"/>
    <w:rsid w:val="00AC14AF"/>
    <w:rsid w:val="00AC16AF"/>
    <w:rsid w:val="00AC1976"/>
    <w:rsid w:val="00AC19D2"/>
    <w:rsid w:val="00AC37AF"/>
    <w:rsid w:val="00AC4147"/>
    <w:rsid w:val="00AC41F9"/>
    <w:rsid w:val="00AC4C42"/>
    <w:rsid w:val="00AC4FFC"/>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5FA"/>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4FE"/>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C7D7E"/>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245E"/>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2ED8"/>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ABA"/>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5976"/>
    <w:rsid w:val="00CA71EB"/>
    <w:rsid w:val="00CA779B"/>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350D"/>
    <w:rsid w:val="00D041DE"/>
    <w:rsid w:val="00D046D4"/>
    <w:rsid w:val="00D04FDF"/>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1608"/>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9BC"/>
    <w:rsid w:val="00E20BA5"/>
    <w:rsid w:val="00E20E5B"/>
    <w:rsid w:val="00E212F4"/>
    <w:rsid w:val="00E2163C"/>
    <w:rsid w:val="00E22142"/>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1CA5"/>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0CAD"/>
    <w:rsid w:val="00E91105"/>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0988"/>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256"/>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2F93"/>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407DFE-ED50-44EE-A00C-551C98DF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78C3"/>
    <w:pPr>
      <w:ind w:firstLine="238"/>
      <w:jc w:val="both"/>
    </w:pPr>
    <w:rPr>
      <w:rFonts w:ascii="Garamond" w:hAnsi="Garamond"/>
      <w:szCs w:val="24"/>
      <w:lang w:val="en-GB" w:eastAsia="en-US"/>
    </w:rPr>
  </w:style>
  <w:style w:type="paragraph" w:styleId="berschrift1">
    <w:name w:val="heading 1"/>
    <w:basedOn w:val="Standard"/>
    <w:next w:val="Standard"/>
    <w:link w:val="berschrift1Zchn"/>
    <w:qFormat/>
    <w:rsid w:val="00340C7C"/>
    <w:pPr>
      <w:keepNext/>
      <w:spacing w:before="240" w:after="60"/>
      <w:ind w:firstLine="0"/>
      <w:outlineLvl w:val="0"/>
    </w:pPr>
    <w:rPr>
      <w:rFonts w:ascii="Cambria" w:hAnsi="Cambria"/>
      <w:b/>
      <w:bCs/>
      <w:kern w:val="32"/>
      <w:sz w:val="32"/>
      <w:szCs w:val="32"/>
    </w:rPr>
  </w:style>
  <w:style w:type="paragraph" w:styleId="berschrift2">
    <w:name w:val="heading 2"/>
    <w:basedOn w:val="Standard"/>
    <w:next w:val="Standard"/>
    <w:link w:val="berschrift2Zchn"/>
    <w:qFormat/>
    <w:rsid w:val="00340C7C"/>
    <w:pPr>
      <w:keepNext/>
      <w:numPr>
        <w:ilvl w:val="1"/>
        <w:numId w:val="2"/>
      </w:numPr>
      <w:spacing w:before="240" w:after="60"/>
      <w:outlineLvl w:val="1"/>
    </w:pPr>
    <w:rPr>
      <w:rFonts w:ascii="Cambria" w:hAnsi="Cambria"/>
      <w:b/>
      <w:bCs/>
      <w:i/>
      <w:iCs/>
      <w:sz w:val="28"/>
      <w:szCs w:val="28"/>
    </w:rPr>
  </w:style>
  <w:style w:type="paragraph" w:styleId="berschrift3">
    <w:name w:val="heading 3"/>
    <w:basedOn w:val="Standard"/>
    <w:next w:val="Standard"/>
    <w:link w:val="berschrift3Zchn"/>
    <w:qFormat/>
    <w:rsid w:val="00340C7C"/>
    <w:pPr>
      <w:keepNext/>
      <w:numPr>
        <w:ilvl w:val="2"/>
        <w:numId w:val="2"/>
      </w:numPr>
      <w:spacing w:before="240" w:after="60"/>
      <w:outlineLvl w:val="2"/>
    </w:pPr>
    <w:rPr>
      <w:rFonts w:ascii="Cambria" w:hAnsi="Cambria"/>
      <w:b/>
      <w:bCs/>
      <w:sz w:val="26"/>
      <w:szCs w:val="26"/>
    </w:rPr>
  </w:style>
  <w:style w:type="paragraph" w:styleId="berschrift4">
    <w:name w:val="heading 4"/>
    <w:basedOn w:val="Standard"/>
    <w:next w:val="Standard"/>
    <w:link w:val="berschrift4Zchn"/>
    <w:qFormat/>
    <w:rsid w:val="00340C7C"/>
    <w:pPr>
      <w:keepNext/>
      <w:numPr>
        <w:ilvl w:val="3"/>
        <w:numId w:val="2"/>
      </w:numPr>
      <w:spacing w:before="240" w:after="60"/>
      <w:outlineLvl w:val="3"/>
    </w:pPr>
    <w:rPr>
      <w:rFonts w:ascii="Calibri" w:hAnsi="Calibri"/>
      <w:b/>
      <w:bCs/>
      <w:sz w:val="28"/>
      <w:szCs w:val="28"/>
    </w:rPr>
  </w:style>
  <w:style w:type="paragraph" w:styleId="berschrift5">
    <w:name w:val="heading 5"/>
    <w:basedOn w:val="Standard"/>
    <w:next w:val="Standard"/>
    <w:link w:val="berschrift5Zchn"/>
    <w:qFormat/>
    <w:rsid w:val="00340C7C"/>
    <w:pPr>
      <w:numPr>
        <w:ilvl w:val="4"/>
        <w:numId w:val="2"/>
      </w:numPr>
      <w:spacing w:before="240" w:after="60"/>
      <w:outlineLvl w:val="4"/>
    </w:pPr>
    <w:rPr>
      <w:rFonts w:ascii="Calibri" w:hAnsi="Calibri"/>
      <w:b/>
      <w:bCs/>
      <w:i/>
      <w:iCs/>
      <w:sz w:val="26"/>
      <w:szCs w:val="26"/>
    </w:rPr>
  </w:style>
  <w:style w:type="paragraph" w:styleId="berschrift6">
    <w:name w:val="heading 6"/>
    <w:basedOn w:val="Standard"/>
    <w:next w:val="Standard"/>
    <w:link w:val="berschrift6Zchn"/>
    <w:qFormat/>
    <w:rsid w:val="00340C7C"/>
    <w:pPr>
      <w:numPr>
        <w:ilvl w:val="5"/>
        <w:numId w:val="2"/>
      </w:numPr>
      <w:spacing w:before="240" w:after="60"/>
      <w:outlineLvl w:val="5"/>
    </w:pPr>
    <w:rPr>
      <w:rFonts w:ascii="Calibri" w:hAnsi="Calibri"/>
      <w:b/>
      <w:bCs/>
      <w:sz w:val="22"/>
      <w:szCs w:val="22"/>
    </w:rPr>
  </w:style>
  <w:style w:type="paragraph" w:styleId="berschrift7">
    <w:name w:val="heading 7"/>
    <w:basedOn w:val="Standard"/>
    <w:next w:val="Standard"/>
    <w:link w:val="berschrift7Zchn"/>
    <w:qFormat/>
    <w:rsid w:val="00340C7C"/>
    <w:pPr>
      <w:numPr>
        <w:ilvl w:val="6"/>
        <w:numId w:val="2"/>
      </w:numPr>
      <w:spacing w:before="240" w:after="60"/>
      <w:outlineLvl w:val="6"/>
    </w:pPr>
    <w:rPr>
      <w:rFonts w:ascii="Calibri" w:hAnsi="Calibri"/>
      <w:sz w:val="24"/>
    </w:rPr>
  </w:style>
  <w:style w:type="paragraph" w:styleId="berschrift8">
    <w:name w:val="heading 8"/>
    <w:basedOn w:val="Standard"/>
    <w:next w:val="Standard"/>
    <w:link w:val="berschrift8Zchn"/>
    <w:qFormat/>
    <w:rsid w:val="00340C7C"/>
    <w:pPr>
      <w:numPr>
        <w:ilvl w:val="7"/>
        <w:numId w:val="2"/>
      </w:numPr>
      <w:spacing w:before="240" w:after="60"/>
      <w:outlineLvl w:val="7"/>
    </w:pPr>
    <w:rPr>
      <w:rFonts w:ascii="Calibri" w:hAnsi="Calibri"/>
      <w:i/>
      <w:iCs/>
      <w:sz w:val="24"/>
    </w:rPr>
  </w:style>
  <w:style w:type="paragraph" w:styleId="berschrift9">
    <w:name w:val="heading 9"/>
    <w:basedOn w:val="Standard"/>
    <w:next w:val="Standard"/>
    <w:link w:val="berschrift9Zchn"/>
    <w:qFormat/>
    <w:rsid w:val="00340C7C"/>
    <w:pPr>
      <w:numPr>
        <w:ilvl w:val="8"/>
        <w:numId w:val="2"/>
      </w:numPr>
      <w:spacing w:before="240" w:after="60"/>
      <w:outlineLvl w:val="8"/>
    </w:pPr>
    <w:rPr>
      <w:rFonts w:ascii="Cambria" w:hAnsi="Cambria"/>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Seitenzahl">
    <w:name w:val="page number"/>
    <w:basedOn w:val="Absatz-Standardschriftart"/>
    <w:rsid w:val="00543384"/>
  </w:style>
  <w:style w:type="paragraph" w:customStyle="1" w:styleId="papertitle">
    <w:name w:val="papertitle"/>
    <w:basedOn w:val="Standard"/>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Standard"/>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Standard"/>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Standard"/>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Standard"/>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Standard"/>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Standard"/>
    <w:uiPriority w:val="99"/>
    <w:qFormat/>
    <w:rsid w:val="00916549"/>
    <w:pPr>
      <w:ind w:firstLine="0"/>
      <w:jc w:val="center"/>
    </w:pPr>
  </w:style>
  <w:style w:type="paragraph" w:customStyle="1" w:styleId="Equation">
    <w:name w:val="Equation"/>
    <w:basedOn w:val="Standard"/>
    <w:rsid w:val="00962228"/>
    <w:pPr>
      <w:tabs>
        <w:tab w:val="right" w:pos="4961"/>
      </w:tabs>
      <w:spacing w:before="60" w:after="60"/>
      <w:ind w:firstLine="0"/>
    </w:pPr>
  </w:style>
  <w:style w:type="paragraph" w:customStyle="1" w:styleId="References">
    <w:name w:val="References"/>
    <w:basedOn w:val="Standard"/>
    <w:rsid w:val="00AF213F"/>
    <w:pPr>
      <w:numPr>
        <w:numId w:val="7"/>
      </w:numPr>
      <w:tabs>
        <w:tab w:val="clear" w:pos="454"/>
        <w:tab w:val="left" w:pos="397"/>
      </w:tabs>
      <w:ind w:left="397" w:hanging="397"/>
    </w:pPr>
    <w:rPr>
      <w:sz w:val="18"/>
    </w:rPr>
  </w:style>
  <w:style w:type="paragraph" w:customStyle="1" w:styleId="StyleRightBefore6pt">
    <w:name w:val="Style Right Before:  6 pt"/>
    <w:basedOn w:val="Standard"/>
    <w:next w:val="Standard"/>
    <w:rsid w:val="00E20E5B"/>
    <w:pPr>
      <w:ind w:firstLine="0"/>
      <w:jc w:val="right"/>
    </w:pPr>
    <w:rPr>
      <w:szCs w:val="20"/>
    </w:rPr>
  </w:style>
  <w:style w:type="table" w:styleId="TabelleEinfach1">
    <w:name w:val="Table Simple 1"/>
    <w:basedOn w:val="NormaleTabel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Kopfzeile">
    <w:name w:val="header"/>
    <w:basedOn w:val="Standard"/>
    <w:link w:val="KopfzeileZchn"/>
    <w:uiPriority w:val="99"/>
    <w:rsid w:val="001638A5"/>
    <w:pPr>
      <w:tabs>
        <w:tab w:val="center" w:pos="4513"/>
        <w:tab w:val="right" w:pos="9026"/>
      </w:tabs>
    </w:pPr>
    <w:rPr>
      <w:rFonts w:ascii="Times New Roman" w:hAnsi="Times New Roman"/>
      <w:sz w:val="22"/>
      <w:lang w:val="en-US"/>
    </w:rPr>
  </w:style>
  <w:style w:type="character" w:customStyle="1" w:styleId="KopfzeileZchn">
    <w:name w:val="Kopfzeile Zchn"/>
    <w:link w:val="Kopfzeile"/>
    <w:uiPriority w:val="99"/>
    <w:rsid w:val="001638A5"/>
    <w:rPr>
      <w:sz w:val="22"/>
      <w:szCs w:val="24"/>
      <w:lang w:val="en-US" w:eastAsia="en-US"/>
    </w:rPr>
  </w:style>
  <w:style w:type="paragraph" w:styleId="Fuzeile">
    <w:name w:val="footer"/>
    <w:link w:val="FuzeileZchn"/>
    <w:rsid w:val="00340C7C"/>
    <w:pPr>
      <w:tabs>
        <w:tab w:val="center" w:pos="4513"/>
        <w:tab w:val="right" w:pos="9026"/>
      </w:tabs>
      <w:jc w:val="right"/>
    </w:pPr>
    <w:rPr>
      <w:rFonts w:ascii="Calibri" w:hAnsi="Calibri" w:cs="Calibri"/>
      <w:sz w:val="16"/>
      <w:szCs w:val="24"/>
      <w:lang w:val="pt-PT" w:eastAsia="pt-PT"/>
    </w:rPr>
  </w:style>
  <w:style w:type="character" w:customStyle="1" w:styleId="FuzeileZchn">
    <w:name w:val="Fußzeile Zchn"/>
    <w:link w:val="Fuzeile"/>
    <w:rsid w:val="00340C7C"/>
    <w:rPr>
      <w:rFonts w:ascii="Calibri" w:hAnsi="Calibri" w:cs="Calibri"/>
      <w:sz w:val="16"/>
      <w:szCs w:val="24"/>
      <w:lang w:val="pt-PT" w:eastAsia="pt-PT" w:bidi="ar-SA"/>
    </w:rPr>
  </w:style>
  <w:style w:type="paragraph" w:styleId="Sprechblasentext">
    <w:name w:val="Balloon Text"/>
    <w:basedOn w:val="Standard"/>
    <w:link w:val="SprechblasentextZchn"/>
    <w:rsid w:val="0010637B"/>
    <w:rPr>
      <w:rFonts w:ascii="Tahoma" w:hAnsi="Tahoma"/>
      <w:sz w:val="16"/>
      <w:szCs w:val="16"/>
      <w:lang w:val="en-US"/>
    </w:rPr>
  </w:style>
  <w:style w:type="character" w:customStyle="1" w:styleId="SprechblasentextZchn">
    <w:name w:val="Sprechblasentext Zchn"/>
    <w:link w:val="Sprechblasentext"/>
    <w:rsid w:val="0010637B"/>
    <w:rPr>
      <w:rFonts w:ascii="Tahoma" w:hAnsi="Tahoma" w:cs="Tahoma"/>
      <w:sz w:val="16"/>
      <w:szCs w:val="16"/>
      <w:lang w:val="en-US" w:eastAsia="en-US"/>
    </w:rPr>
  </w:style>
  <w:style w:type="character" w:styleId="Zeilennummer">
    <w:name w:val="line number"/>
    <w:basedOn w:val="Absatz-Standardschriftart"/>
    <w:rsid w:val="0010637B"/>
  </w:style>
  <w:style w:type="paragraph" w:styleId="Titel">
    <w:name w:val="Title"/>
    <w:next w:val="Author"/>
    <w:link w:val="TitelZchn"/>
    <w:qFormat/>
    <w:rsid w:val="007A68AE"/>
    <w:pPr>
      <w:spacing w:before="240" w:after="60"/>
      <w:outlineLvl w:val="0"/>
    </w:pPr>
    <w:rPr>
      <w:rFonts w:ascii="Calibri" w:hAnsi="Calibri" w:cs="Calibri"/>
      <w:b/>
      <w:bCs/>
      <w:kern w:val="28"/>
      <w:sz w:val="40"/>
      <w:szCs w:val="40"/>
      <w:lang w:val="en-US" w:eastAsia="en-US"/>
    </w:rPr>
  </w:style>
  <w:style w:type="character" w:customStyle="1" w:styleId="TitelZchn">
    <w:name w:val="Titel Zchn"/>
    <w:link w:val="Titel"/>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Standard"/>
    <w:next w:val="Standard"/>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Standard"/>
    <w:link w:val="DividerCarcter"/>
    <w:qFormat/>
    <w:rsid w:val="00340C7C"/>
    <w:pPr>
      <w:ind w:firstLine="0"/>
    </w:pPr>
    <w:rPr>
      <w:rFonts w:ascii="Minion Pro" w:hAnsi="Minion Pro"/>
    </w:rPr>
  </w:style>
  <w:style w:type="character" w:customStyle="1" w:styleId="berschrift1Zchn">
    <w:name w:val="Überschrift 1 Zchn"/>
    <w:link w:val="berschrift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berschrift2Zchn">
    <w:name w:val="Überschrift 2 Zchn"/>
    <w:link w:val="berschrift2"/>
    <w:semiHidden/>
    <w:rsid w:val="00340C7C"/>
    <w:rPr>
      <w:rFonts w:ascii="Cambria" w:eastAsia="Times New Roman" w:hAnsi="Cambria" w:cs="Times New Roman"/>
      <w:b/>
      <w:bCs/>
      <w:i/>
      <w:iCs/>
      <w:sz w:val="28"/>
      <w:szCs w:val="28"/>
      <w:lang w:val="en-GB" w:eastAsia="en-US"/>
    </w:rPr>
  </w:style>
  <w:style w:type="character" w:customStyle="1" w:styleId="berschrift3Zchn">
    <w:name w:val="Überschrift 3 Zchn"/>
    <w:link w:val="berschrift3"/>
    <w:semiHidden/>
    <w:rsid w:val="00340C7C"/>
    <w:rPr>
      <w:rFonts w:ascii="Cambria" w:eastAsia="Times New Roman" w:hAnsi="Cambria" w:cs="Times New Roman"/>
      <w:b/>
      <w:bCs/>
      <w:sz w:val="26"/>
      <w:szCs w:val="26"/>
      <w:lang w:val="en-GB" w:eastAsia="en-US"/>
    </w:rPr>
  </w:style>
  <w:style w:type="character" w:customStyle="1" w:styleId="berschrift4Zchn">
    <w:name w:val="Überschrift 4 Zchn"/>
    <w:link w:val="berschrift4"/>
    <w:semiHidden/>
    <w:rsid w:val="00340C7C"/>
    <w:rPr>
      <w:rFonts w:ascii="Calibri" w:eastAsia="Times New Roman" w:hAnsi="Calibri" w:cs="Times New Roman"/>
      <w:b/>
      <w:bCs/>
      <w:sz w:val="28"/>
      <w:szCs w:val="28"/>
      <w:lang w:val="en-GB" w:eastAsia="en-US"/>
    </w:rPr>
  </w:style>
  <w:style w:type="character" w:customStyle="1" w:styleId="berschrift5Zchn">
    <w:name w:val="Überschrift 5 Zchn"/>
    <w:link w:val="berschrift5"/>
    <w:semiHidden/>
    <w:rsid w:val="00340C7C"/>
    <w:rPr>
      <w:rFonts w:ascii="Calibri" w:eastAsia="Times New Roman" w:hAnsi="Calibri" w:cs="Times New Roman"/>
      <w:b/>
      <w:bCs/>
      <w:i/>
      <w:iCs/>
      <w:sz w:val="26"/>
      <w:szCs w:val="26"/>
      <w:lang w:val="en-GB" w:eastAsia="en-US"/>
    </w:rPr>
  </w:style>
  <w:style w:type="character" w:customStyle="1" w:styleId="berschrift6Zchn">
    <w:name w:val="Überschrift 6 Zchn"/>
    <w:link w:val="berschrift6"/>
    <w:semiHidden/>
    <w:rsid w:val="00340C7C"/>
    <w:rPr>
      <w:rFonts w:ascii="Calibri" w:eastAsia="Times New Roman" w:hAnsi="Calibri" w:cs="Times New Roman"/>
      <w:b/>
      <w:bCs/>
      <w:sz w:val="22"/>
      <w:szCs w:val="22"/>
      <w:lang w:val="en-GB" w:eastAsia="en-US"/>
    </w:rPr>
  </w:style>
  <w:style w:type="character" w:customStyle="1" w:styleId="berschrift7Zchn">
    <w:name w:val="Überschrift 7 Zchn"/>
    <w:link w:val="berschrift7"/>
    <w:semiHidden/>
    <w:rsid w:val="00340C7C"/>
    <w:rPr>
      <w:rFonts w:ascii="Calibri" w:eastAsia="Times New Roman" w:hAnsi="Calibri" w:cs="Times New Roman"/>
      <w:sz w:val="24"/>
      <w:szCs w:val="24"/>
      <w:lang w:val="en-GB" w:eastAsia="en-US"/>
    </w:rPr>
  </w:style>
  <w:style w:type="character" w:customStyle="1" w:styleId="berschrift8Zchn">
    <w:name w:val="Überschrift 8 Zchn"/>
    <w:link w:val="berschrift8"/>
    <w:semiHidden/>
    <w:rsid w:val="00340C7C"/>
    <w:rPr>
      <w:rFonts w:ascii="Calibri" w:eastAsia="Times New Roman" w:hAnsi="Calibri" w:cs="Times New Roman"/>
      <w:i/>
      <w:iCs/>
      <w:sz w:val="24"/>
      <w:szCs w:val="24"/>
      <w:lang w:val="en-GB" w:eastAsia="en-US"/>
    </w:rPr>
  </w:style>
  <w:style w:type="character" w:customStyle="1" w:styleId="berschrift9Zchn">
    <w:name w:val="Überschrift 9 Zchn"/>
    <w:link w:val="berschrift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Beschriftung">
    <w:name w:val="caption"/>
    <w:basedOn w:val="Standard"/>
    <w:next w:val="Standard"/>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Standard"/>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enabsatz">
    <w:name w:val="List Paragraph"/>
    <w:basedOn w:val="Standard"/>
    <w:uiPriority w:val="34"/>
    <w:qFormat/>
    <w:rsid w:val="00CC00C8"/>
    <w:pPr>
      <w:ind w:left="720"/>
      <w:contextualSpacing/>
    </w:pPr>
  </w:style>
  <w:style w:type="paragraph" w:styleId="Standardeinzug">
    <w:name w:val="Normal Indent"/>
    <w:basedOn w:val="Standard"/>
    <w:unhideWhenUsed/>
    <w:rsid w:val="00CC00C8"/>
    <w:pPr>
      <w:ind w:left="708"/>
    </w:pPr>
  </w:style>
  <w:style w:type="paragraph" w:customStyle="1" w:styleId="Reference">
    <w:name w:val="Reference"/>
    <w:basedOn w:val="Standard"/>
    <w:uiPriority w:val="99"/>
    <w:rsid w:val="00222FBC"/>
    <w:pPr>
      <w:tabs>
        <w:tab w:val="left" w:pos="454"/>
      </w:tabs>
      <w:suppressAutoHyphens/>
      <w:spacing w:before="240" w:after="240"/>
      <w:ind w:left="454" w:hanging="454"/>
    </w:pPr>
    <w:rPr>
      <w:rFonts w:ascii="Times New Roman" w:hAnsi="Times New Roman"/>
      <w:sz w:val="18"/>
      <w:lang w:val="de-DE" w:eastAsia="de-DE"/>
    </w:rPr>
  </w:style>
  <w:style w:type="character" w:styleId="Platzhaltertext">
    <w:name w:val="Placeholder Text"/>
    <w:basedOn w:val="Absatz-Standardschriftart"/>
    <w:uiPriority w:val="99"/>
    <w:semiHidden/>
    <w:rsid w:val="00F30988"/>
    <w:rPr>
      <w:color w:val="808080"/>
    </w:rPr>
  </w:style>
  <w:style w:type="paragraph" w:customStyle="1" w:styleId="Text">
    <w:name w:val="Text"/>
    <w:basedOn w:val="Standard"/>
    <w:rsid w:val="00604A83"/>
    <w:pPr>
      <w:spacing w:before="240" w:after="240"/>
      <w:ind w:firstLine="284"/>
    </w:pPr>
    <w:rPr>
      <w:rFonts w:ascii="Times New Roman" w:hAnsi="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79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3DED1-5519-42D5-883A-150630437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0</TotalTime>
  <Pages>6</Pages>
  <Words>3243</Words>
  <Characters>20432</Characters>
  <Application>Microsoft Office Word</Application>
  <DocSecurity>0</DocSecurity>
  <Lines>170</Lines>
  <Paragraphs>47</Paragraphs>
  <ScaleCrop>false</ScaleCrop>
  <HeadingPairs>
    <vt:vector size="8" baseType="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4" baseType="lpstr">
      <vt:lpstr>Template for an Acta IMEKO event paper</vt:lpstr>
      <vt:lpstr>Acta IMEKO, Title</vt:lpstr>
      <vt:lpstr>Acta IMEKO, Title</vt:lpstr>
      <vt:lpstr>Acta IMEKO, Title</vt:lpstr>
    </vt:vector>
  </TitlesOfParts>
  <Company>© IMEKO</Company>
  <LinksUpToDate>false</LinksUpToDate>
  <CharactersWithSpaces>23628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event paper</dc:title>
  <dc:subject>Acta IMEKO</dc:subject>
  <dc:creator>Th. Bruns, D. Röske, P.P.L. Regtien, F. Alegria</dc:creator>
  <cp:keywords>Acta IMEKO, Template</cp:keywords>
  <dc:description>This document is a template for papers to be submitted to Acta IMEKO (http://acta.imeko.org).</dc:description>
  <cp:lastModifiedBy>Sebastian Baumgarten</cp:lastModifiedBy>
  <cp:revision>26</cp:revision>
  <cp:lastPrinted>2016-03-03T12:58:00Z</cp:lastPrinted>
  <dcterms:created xsi:type="dcterms:W3CDTF">2016-02-23T09:19:00Z</dcterms:created>
  <dcterms:modified xsi:type="dcterms:W3CDTF">2017-01-19T08:01:00Z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