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803" w:rsidRDefault="00085803" w:rsidP="00085803">
      <w:pPr>
        <w:pStyle w:val="Header1"/>
        <w:rPr>
          <w:i w:val="0"/>
          <w:sz w:val="18"/>
          <w:szCs w:val="18"/>
        </w:rPr>
      </w:pPr>
      <w:bookmarkStart w:id="0" w:name="_GoBack"/>
      <w:bookmarkEnd w:id="0"/>
      <w:r>
        <w:rPr>
          <w:i w:val="0"/>
          <w:sz w:val="18"/>
          <w:szCs w:val="18"/>
        </w:rPr>
        <w:t>XXI IMEKO World Congress “</w:t>
      </w:r>
      <w:r>
        <w:rPr>
          <w:i w:val="0"/>
          <w:color w:val="424242"/>
          <w:sz w:val="18"/>
          <w:szCs w:val="18"/>
          <w:shd w:val="clear" w:color="auto" w:fill="FFFFFF"/>
        </w:rPr>
        <w:t>Measurement in Research and Industry”</w:t>
      </w:r>
    </w:p>
    <w:p w:rsidR="00085803" w:rsidRDefault="00085803" w:rsidP="00085803">
      <w:pPr>
        <w:pStyle w:val="Header1"/>
        <w:rPr>
          <w:i w:val="0"/>
          <w:sz w:val="18"/>
          <w:szCs w:val="18"/>
        </w:rPr>
      </w:pPr>
      <w:r>
        <w:rPr>
          <w:i w:val="0"/>
          <w:sz w:val="18"/>
          <w:szCs w:val="18"/>
        </w:rPr>
        <w:t xml:space="preserve">August 30 </w:t>
      </w:r>
      <w:r>
        <w:rPr>
          <w:i w:val="0"/>
          <w:sz w:val="18"/>
          <w:szCs w:val="18"/>
        </w:rPr>
        <w:sym w:font="Symbol" w:char="F02D"/>
      </w:r>
      <w:r>
        <w:rPr>
          <w:i w:val="0"/>
          <w:sz w:val="18"/>
          <w:szCs w:val="18"/>
        </w:rPr>
        <w:t xml:space="preserve"> September 4, 2015, Prague, Czech Republic</w:t>
      </w:r>
    </w:p>
    <w:p w:rsidR="00085803" w:rsidRDefault="00085803" w:rsidP="00085803">
      <w:pPr>
        <w:pStyle w:val="Title1"/>
      </w:pPr>
    </w:p>
    <w:p w:rsidR="0080420C" w:rsidRPr="0080420C" w:rsidRDefault="0080420C" w:rsidP="00085803">
      <w:pPr>
        <w:pStyle w:val="Title1"/>
      </w:pPr>
      <w:r w:rsidRPr="0080420C">
        <w:rPr>
          <w:rFonts w:hint="eastAsia"/>
        </w:rPr>
        <w:t>Investigation and pilot comparison of low intensity shock calibration by laser interferometry</w:t>
      </w:r>
    </w:p>
    <w:p w:rsidR="00085803" w:rsidRDefault="00085803" w:rsidP="00085803">
      <w:pPr>
        <w:pStyle w:val="Title1"/>
      </w:pPr>
    </w:p>
    <w:p w:rsidR="00085803" w:rsidRDefault="0080420C" w:rsidP="00085803">
      <w:pPr>
        <w:pStyle w:val="Author"/>
      </w:pPr>
      <w:r w:rsidRPr="0080420C">
        <w:rPr>
          <w:rFonts w:hint="eastAsia"/>
          <w:lang w:val="de-DE" w:eastAsia="zh-CN"/>
        </w:rPr>
        <w:t xml:space="preserve"> </w:t>
      </w:r>
      <w:proofErr w:type="spellStart"/>
      <w:r w:rsidRPr="0080420C">
        <w:rPr>
          <w:rFonts w:hint="eastAsia"/>
          <w:u w:val="single"/>
        </w:rPr>
        <w:t>Qiao</w:t>
      </w:r>
      <w:proofErr w:type="spellEnd"/>
      <w:r w:rsidRPr="0080420C">
        <w:rPr>
          <w:rFonts w:hint="eastAsia"/>
          <w:u w:val="single"/>
        </w:rPr>
        <w:t xml:space="preserve"> </w:t>
      </w:r>
      <w:r w:rsidRPr="0080420C">
        <w:rPr>
          <w:u w:val="single"/>
        </w:rPr>
        <w:t>S</w:t>
      </w:r>
      <w:r w:rsidRPr="0080420C">
        <w:rPr>
          <w:rFonts w:hint="eastAsia"/>
          <w:u w:val="single"/>
        </w:rPr>
        <w:t>un</w:t>
      </w:r>
      <w:r w:rsidR="00085803" w:rsidRPr="0080420C">
        <w:rPr>
          <w:u w:val="single"/>
        </w:rPr>
        <w:t xml:space="preserve"> </w:t>
      </w:r>
      <w:r w:rsidR="00085803">
        <w:rPr>
          <w:i w:val="0"/>
          <w:vertAlign w:val="superscript"/>
        </w:rPr>
        <w:t>1</w:t>
      </w:r>
      <w:r w:rsidR="00085803">
        <w:rPr>
          <w:i w:val="0"/>
        </w:rPr>
        <w:t xml:space="preserve">, </w:t>
      </w:r>
      <w:r>
        <w:rPr>
          <w:rFonts w:hint="eastAsia"/>
          <w:lang w:eastAsia="zh-CN"/>
        </w:rPr>
        <w:t>Hong-</w:t>
      </w:r>
      <w:proofErr w:type="spellStart"/>
      <w:r>
        <w:rPr>
          <w:rFonts w:hint="eastAsia"/>
          <w:lang w:eastAsia="zh-CN"/>
        </w:rPr>
        <w:t>bo</w:t>
      </w:r>
      <w:proofErr w:type="spellEnd"/>
      <w:r>
        <w:rPr>
          <w:rFonts w:hint="eastAsia"/>
          <w:lang w:eastAsia="zh-CN"/>
        </w:rPr>
        <w:t xml:space="preserve"> </w:t>
      </w:r>
      <w:r w:rsidRPr="00A110F0">
        <w:rPr>
          <w:rFonts w:hint="eastAsia"/>
          <w:color w:val="000000"/>
          <w:lang w:val="fr-FR"/>
        </w:rPr>
        <w:t>H</w:t>
      </w:r>
      <w:r>
        <w:rPr>
          <w:rFonts w:hint="eastAsia"/>
          <w:color w:val="000000"/>
          <w:lang w:val="fr-FR" w:eastAsia="zh-CN"/>
        </w:rPr>
        <w:t>u</w:t>
      </w:r>
      <w:r w:rsidR="00085803">
        <w:rPr>
          <w:i w:val="0"/>
          <w:vertAlign w:val="superscript"/>
        </w:rPr>
        <w:t>2</w:t>
      </w:r>
    </w:p>
    <w:p w:rsidR="00085803" w:rsidRDefault="00085803" w:rsidP="00085803">
      <w:pPr>
        <w:pStyle w:val="Author"/>
      </w:pPr>
    </w:p>
    <w:p w:rsidR="00085803" w:rsidRPr="0080420C" w:rsidRDefault="00085803" w:rsidP="00085803">
      <w:pPr>
        <w:pStyle w:val="Affiliation"/>
        <w:rPr>
          <w:rFonts w:eastAsiaTheme="minorEastAsia"/>
          <w:lang w:eastAsia="zh-CN"/>
        </w:rPr>
      </w:pPr>
      <w:r>
        <w:rPr>
          <w:vertAlign w:val="superscript"/>
        </w:rPr>
        <w:t xml:space="preserve">1 </w:t>
      </w:r>
      <w:r w:rsidR="0080420C" w:rsidRPr="00650845">
        <w:rPr>
          <w:rFonts w:hint="eastAsia"/>
        </w:rPr>
        <w:t>National Institute of Metrology</w:t>
      </w:r>
      <w:r>
        <w:t xml:space="preserve">, </w:t>
      </w:r>
      <w:r w:rsidR="0080420C" w:rsidRPr="0080420C">
        <w:rPr>
          <w:rFonts w:hint="eastAsia"/>
        </w:rPr>
        <w:t>Beijing</w:t>
      </w:r>
      <w:r>
        <w:t xml:space="preserve">, </w:t>
      </w:r>
      <w:r w:rsidR="0080420C">
        <w:rPr>
          <w:rFonts w:eastAsiaTheme="minorEastAsia" w:hint="eastAsia"/>
          <w:lang w:eastAsia="zh-CN"/>
        </w:rPr>
        <w:t>China</w:t>
      </w:r>
      <w:r>
        <w:t xml:space="preserve">, </w:t>
      </w:r>
      <w:r w:rsidR="0080420C">
        <w:rPr>
          <w:rFonts w:eastAsiaTheme="minorEastAsia" w:hint="eastAsia"/>
          <w:lang w:eastAsia="zh-CN"/>
        </w:rPr>
        <w:t>sunq@nim.ac.cn</w:t>
      </w:r>
    </w:p>
    <w:p w:rsidR="00085803" w:rsidRDefault="00085803" w:rsidP="00085803">
      <w:pPr>
        <w:pStyle w:val="Affiliation"/>
      </w:pPr>
      <w:r>
        <w:rPr>
          <w:vertAlign w:val="superscript"/>
        </w:rPr>
        <w:t xml:space="preserve">2 </w:t>
      </w:r>
      <w:r w:rsidR="0080420C" w:rsidRPr="00650845">
        <w:rPr>
          <w:rFonts w:hint="eastAsia"/>
        </w:rPr>
        <w:t>National Institute of Metrology</w:t>
      </w:r>
      <w:r w:rsidR="0080420C">
        <w:t xml:space="preserve">, </w:t>
      </w:r>
      <w:r w:rsidR="0080420C" w:rsidRPr="0080420C">
        <w:rPr>
          <w:rFonts w:hint="eastAsia"/>
        </w:rPr>
        <w:t>Beijing</w:t>
      </w:r>
      <w:r w:rsidR="0080420C">
        <w:t xml:space="preserve">, </w:t>
      </w:r>
      <w:r w:rsidR="0080420C">
        <w:rPr>
          <w:rFonts w:eastAsiaTheme="minorEastAsia" w:hint="eastAsia"/>
          <w:lang w:eastAsia="zh-CN"/>
        </w:rPr>
        <w:t>China</w:t>
      </w:r>
      <w:r w:rsidR="0080420C">
        <w:t xml:space="preserve">, </w:t>
      </w:r>
      <w:r w:rsidR="0080420C">
        <w:rPr>
          <w:rFonts w:eastAsiaTheme="minorEastAsia" w:hint="eastAsia"/>
          <w:lang w:eastAsia="zh-CN"/>
        </w:rPr>
        <w:t>huhb@nim.ac.cn</w:t>
      </w:r>
    </w:p>
    <w:p w:rsidR="00085803" w:rsidRDefault="00085803" w:rsidP="00085803">
      <w:pPr>
        <w:pStyle w:val="Text"/>
        <w:rPr>
          <w:sz w:val="22"/>
          <w:szCs w:val="22"/>
        </w:rPr>
      </w:pPr>
    </w:p>
    <w:p w:rsidR="00085803" w:rsidRDefault="00085803" w:rsidP="00085803">
      <w:pPr>
        <w:pStyle w:val="Text"/>
        <w:ind w:firstLine="0"/>
        <w:rPr>
          <w:b/>
          <w:i/>
        </w:rPr>
        <w:sectPr w:rsidR="00085803">
          <w:pgSz w:w="11906" w:h="16838"/>
          <w:pgMar w:top="1417" w:right="1417" w:bottom="1417" w:left="1417" w:header="708" w:footer="708" w:gutter="0"/>
          <w:cols w:space="708"/>
          <w:docGrid w:linePitch="360"/>
        </w:sectPr>
      </w:pPr>
    </w:p>
    <w:p w:rsidR="003A05C1" w:rsidRPr="003A05C1" w:rsidRDefault="00085803" w:rsidP="000D7AAD">
      <w:pPr>
        <w:pStyle w:val="Text"/>
        <w:ind w:left="-284" w:firstLine="0"/>
      </w:pPr>
      <w:r>
        <w:rPr>
          <w:b/>
          <w:i/>
        </w:rPr>
        <w:lastRenderedPageBreak/>
        <w:t>Abstract</w:t>
      </w:r>
      <w:r>
        <w:rPr>
          <w:bCs/>
        </w:rPr>
        <w:t xml:space="preserve"> </w:t>
      </w:r>
      <w:r>
        <w:rPr>
          <w:bCs/>
          <w:szCs w:val="20"/>
        </w:rPr>
        <w:sym w:font="Symbol" w:char="F02D"/>
      </w:r>
      <w:r>
        <w:rPr>
          <w:bCs/>
        </w:rPr>
        <w:t xml:space="preserve"> </w:t>
      </w:r>
      <w:r w:rsidR="003A05C1" w:rsidRPr="003A05C1">
        <w:rPr>
          <w:rFonts w:hint="eastAsia"/>
        </w:rPr>
        <w:t xml:space="preserve">This paper first presents the investigation work of the pilot comparison of low intensity shock calibration by laser </w:t>
      </w:r>
      <w:proofErr w:type="spellStart"/>
      <w:r w:rsidR="003A05C1" w:rsidRPr="003A05C1">
        <w:rPr>
          <w:rFonts w:hint="eastAsia"/>
        </w:rPr>
        <w:t>interferometry</w:t>
      </w:r>
      <w:proofErr w:type="spellEnd"/>
      <w:r w:rsidR="003A05C1" w:rsidRPr="003A05C1">
        <w:rPr>
          <w:rFonts w:hint="eastAsia"/>
        </w:rPr>
        <w:t xml:space="preserve">. Two main technical concerns for a possible comparison are variety of primary shock calibration systems covered and feasibility of comparison </w:t>
      </w:r>
      <w:proofErr w:type="spellStart"/>
      <w:r w:rsidR="003A05C1" w:rsidRPr="003A05C1">
        <w:t>artifact</w:t>
      </w:r>
      <w:proofErr w:type="spellEnd"/>
      <w:r w:rsidR="003A05C1" w:rsidRPr="003A05C1">
        <w:rPr>
          <w:rFonts w:hint="eastAsia"/>
        </w:rPr>
        <w:t xml:space="preserve"> investigated. For the primary calibration system, homodyne or heterodyne laser interferometer is included as measurement standard, but the mechanical excitation is of three different types: hammer-anvil collision, pneumatic driven projectile impact and Hopkinson bar. The shock pulses generated are smooth monopole shape (half-sine or sine squared) by the first two types with air bearings, but dipole shape by the third type. </w:t>
      </w:r>
      <w:r w:rsidR="003A05C1" w:rsidRPr="003A05C1">
        <w:t>F</w:t>
      </w:r>
      <w:r w:rsidR="003A05C1" w:rsidRPr="003A05C1">
        <w:rPr>
          <w:rFonts w:hint="eastAsia"/>
        </w:rPr>
        <w:t xml:space="preserve">or the comparison </w:t>
      </w:r>
      <w:proofErr w:type="spellStart"/>
      <w:r w:rsidR="003A05C1" w:rsidRPr="003A05C1">
        <w:rPr>
          <w:rFonts w:hint="eastAsia"/>
        </w:rPr>
        <w:t>artifact</w:t>
      </w:r>
      <w:proofErr w:type="spellEnd"/>
      <w:r w:rsidR="003A05C1" w:rsidRPr="003A05C1">
        <w:rPr>
          <w:rFonts w:hint="eastAsia"/>
        </w:rPr>
        <w:t xml:space="preserve">, a standard </w:t>
      </w:r>
      <w:r w:rsidR="003A05C1" w:rsidRPr="003A05C1">
        <w:t>accelerometer of single</w:t>
      </w:r>
      <w:r w:rsidR="003A05C1" w:rsidRPr="003A05C1">
        <w:rPr>
          <w:rFonts w:hint="eastAsia"/>
        </w:rPr>
        <w:t>-</w:t>
      </w:r>
      <w:r w:rsidR="003A05C1" w:rsidRPr="003A05C1">
        <w:t>ended type</w:t>
      </w:r>
      <w:r w:rsidR="003A05C1" w:rsidRPr="003A05C1">
        <w:rPr>
          <w:rFonts w:hint="eastAsia"/>
        </w:rPr>
        <w:t xml:space="preserve"> </w:t>
      </w:r>
      <w:r w:rsidR="003A05C1" w:rsidRPr="003A05C1">
        <w:t>with</w:t>
      </w:r>
      <w:r w:rsidR="003A05C1" w:rsidRPr="003A05C1">
        <w:rPr>
          <w:rFonts w:hint="eastAsia"/>
        </w:rPr>
        <w:t xml:space="preserve"> a charge amplifier consists of an accelerometer measuring chain whose nonlinearity of amplitude and phase frequency responses is investigated. Based on the nonlinear fact of comparison </w:t>
      </w:r>
      <w:proofErr w:type="spellStart"/>
      <w:r w:rsidR="003A05C1" w:rsidRPr="003A05C1">
        <w:t>artifact</w:t>
      </w:r>
      <w:proofErr w:type="spellEnd"/>
      <w:r w:rsidR="003A05C1" w:rsidRPr="003A05C1">
        <w:rPr>
          <w:rFonts w:hint="eastAsia"/>
        </w:rPr>
        <w:t xml:space="preserve"> at frequency domain and the spectrum range difference of mechanical excitations of the calibration system, strict comparison conditions had to be laid down for measurement of shock sensitivity at specific acceleration levels and pulse durations. For the monopole excitation, the comparison acceleration range is from 500m/s</w:t>
      </w:r>
      <w:r w:rsidR="003A05C1" w:rsidRPr="003C7CBA">
        <w:rPr>
          <w:rFonts w:hint="eastAsia"/>
          <w:vertAlign w:val="superscript"/>
        </w:rPr>
        <w:t>2</w:t>
      </w:r>
      <w:r w:rsidR="003A05C1" w:rsidRPr="003A05C1">
        <w:rPr>
          <w:rFonts w:hint="eastAsia"/>
        </w:rPr>
        <w:t xml:space="preserve"> to 5000 m/s</w:t>
      </w:r>
      <w:r w:rsidR="003A05C1" w:rsidRPr="003C7CBA">
        <w:rPr>
          <w:rFonts w:hint="eastAsia"/>
          <w:vertAlign w:val="superscript"/>
        </w:rPr>
        <w:t>2</w:t>
      </w:r>
      <w:r w:rsidR="003A05C1" w:rsidRPr="003A05C1">
        <w:rPr>
          <w:rFonts w:hint="eastAsia"/>
        </w:rPr>
        <w:t xml:space="preserve"> and pulse duration is from 0.3 ms to 3 ms, with the reference of 2 ms at </w:t>
      </w:r>
      <w:proofErr w:type="gramStart"/>
      <w:r w:rsidR="003A05C1" w:rsidRPr="003A05C1">
        <w:t>a</w:t>
      </w:r>
      <w:r w:rsidR="003A05C1" w:rsidRPr="003A05C1">
        <w:rPr>
          <w:rFonts w:hint="eastAsia"/>
        </w:rPr>
        <w:t>n acceleration</w:t>
      </w:r>
      <w:proofErr w:type="gramEnd"/>
      <w:r w:rsidR="003A05C1" w:rsidRPr="003A05C1">
        <w:rPr>
          <w:rFonts w:hint="eastAsia"/>
        </w:rPr>
        <w:t xml:space="preserve"> of 1000 m/s²</w:t>
      </w:r>
      <w:r w:rsidR="003A05C1" w:rsidRPr="003A05C1">
        <w:t>.</w:t>
      </w:r>
      <w:r w:rsidR="003A05C1" w:rsidRPr="003A05C1">
        <w:rPr>
          <w:rFonts w:hint="eastAsia"/>
        </w:rPr>
        <w:t xml:space="preserve"> For the dipole excitation, the acceleration level is fixed as 1000 m/s</w:t>
      </w:r>
      <w:r w:rsidR="003A05C1" w:rsidRPr="003C7CBA">
        <w:rPr>
          <w:rFonts w:hint="eastAsia"/>
          <w:vertAlign w:val="superscript"/>
        </w:rPr>
        <w:t>2</w:t>
      </w:r>
      <w:r w:rsidR="003A05C1" w:rsidRPr="003A05C1">
        <w:rPr>
          <w:rFonts w:hint="eastAsia"/>
        </w:rPr>
        <w:t xml:space="preserve"> and pulse duration is from 0.03 ms to 0.2 ms, with the reference of 0.1 </w:t>
      </w:r>
      <w:proofErr w:type="spellStart"/>
      <w:r w:rsidR="003A05C1" w:rsidRPr="003A05C1">
        <w:rPr>
          <w:rFonts w:hint="eastAsia"/>
        </w:rPr>
        <w:t>ms.</w:t>
      </w:r>
      <w:proofErr w:type="spellEnd"/>
    </w:p>
    <w:p w:rsidR="003A05C1" w:rsidRPr="003A05C1" w:rsidRDefault="003A05C1" w:rsidP="003A05C1">
      <w:pPr>
        <w:pStyle w:val="Text"/>
        <w:ind w:left="-284" w:firstLineChars="250" w:firstLine="500"/>
      </w:pPr>
      <w:r w:rsidRPr="003A05C1">
        <w:rPr>
          <w:rFonts w:hint="eastAsia"/>
        </w:rPr>
        <w:t>The pilot comparison of low intensity shock calibration, coded as APMP.AUV.V-P1, is successfully organized by Technical Committee of Acoustics, Ultrasound and Vibration (TCAUV) of Asia Pacific Metrology Program (APMP). Some comparison results of both monopole excitation and dipole excitation are shown with the expanded uncertainty. T</w:t>
      </w:r>
      <w:r w:rsidRPr="003A05C1">
        <w:t xml:space="preserve">he degrees of equivalence calculated from the </w:t>
      </w:r>
      <w:r w:rsidRPr="003A05C1">
        <w:rPr>
          <w:rFonts w:hint="eastAsia"/>
        </w:rPr>
        <w:t>measurement results</w:t>
      </w:r>
      <w:r w:rsidRPr="003A05C1">
        <w:t xml:space="preserve"> by the</w:t>
      </w:r>
      <w:r w:rsidRPr="003A05C1">
        <w:rPr>
          <w:rFonts w:hint="eastAsia"/>
        </w:rPr>
        <w:t xml:space="preserve"> four participants</w:t>
      </w:r>
      <w:r w:rsidRPr="003A05C1">
        <w:t xml:space="preserve"> support the uncertainty of measurement reported by the</w:t>
      </w:r>
      <w:r w:rsidRPr="003A05C1">
        <w:rPr>
          <w:rFonts w:hint="eastAsia"/>
        </w:rPr>
        <w:t>m</w:t>
      </w:r>
      <w:r w:rsidRPr="003A05C1">
        <w:t>.</w:t>
      </w:r>
      <w:r w:rsidRPr="003A05C1">
        <w:rPr>
          <w:rFonts w:hint="eastAsia"/>
        </w:rPr>
        <w:t xml:space="preserve"> The completion of this pilot comparison can serve as part of the basis </w:t>
      </w:r>
      <w:r w:rsidRPr="003A05C1">
        <w:t xml:space="preserve">for a </w:t>
      </w:r>
      <w:r w:rsidRPr="003A05C1">
        <w:rPr>
          <w:rFonts w:hint="eastAsia"/>
        </w:rPr>
        <w:t>planned key</w:t>
      </w:r>
      <w:r w:rsidRPr="003A05C1">
        <w:t xml:space="preserve"> comparison targeted at a low</w:t>
      </w:r>
      <w:r w:rsidRPr="003A05C1">
        <w:rPr>
          <w:rFonts w:hint="eastAsia"/>
        </w:rPr>
        <w:t xml:space="preserve"> intensity shock</w:t>
      </w:r>
      <w:r w:rsidRPr="003A05C1">
        <w:t xml:space="preserve"> range</w:t>
      </w:r>
      <w:r w:rsidRPr="003A05C1">
        <w:rPr>
          <w:rFonts w:hint="eastAsia"/>
        </w:rPr>
        <w:t xml:space="preserve"> at</w:t>
      </w:r>
      <w:r w:rsidRPr="003A05C1">
        <w:t xml:space="preserve"> Consultative Committee </w:t>
      </w:r>
      <w:r w:rsidRPr="003A05C1">
        <w:rPr>
          <w:rFonts w:hint="eastAsia"/>
        </w:rPr>
        <w:t>level.</w:t>
      </w:r>
    </w:p>
    <w:p w:rsidR="00085803" w:rsidRDefault="00085803" w:rsidP="000D7AAD">
      <w:pPr>
        <w:pStyle w:val="Text"/>
        <w:ind w:left="-284" w:firstLine="0"/>
      </w:pPr>
    </w:p>
    <w:p w:rsidR="00085803" w:rsidRDefault="00085803" w:rsidP="00085803">
      <w:pPr>
        <w:pStyle w:val="Keywords"/>
        <w:ind w:firstLine="0"/>
      </w:pPr>
      <w:r>
        <w:rPr>
          <w:i/>
        </w:rPr>
        <w:t>Keywords</w:t>
      </w:r>
      <w:r>
        <w:rPr>
          <w:b w:val="0"/>
        </w:rPr>
        <w:t xml:space="preserve">: </w:t>
      </w:r>
      <w:r w:rsidR="003A05C1" w:rsidRPr="003A05C1">
        <w:rPr>
          <w:rFonts w:hint="eastAsia"/>
          <w:b w:val="0"/>
        </w:rPr>
        <w:t>Metrology, comparison, primary shock calibration, low intensity shock acceleration</w:t>
      </w:r>
    </w:p>
    <w:p w:rsidR="00085803" w:rsidRDefault="00085803" w:rsidP="00085803">
      <w:pPr>
        <w:pStyle w:val="Section"/>
      </w:pPr>
      <w:r>
        <w:t xml:space="preserve">1.  </w:t>
      </w:r>
      <w:r w:rsidR="003A05C1" w:rsidRPr="003A05C1">
        <w:t>Introduction</w:t>
      </w:r>
    </w:p>
    <w:p w:rsidR="003A05C1" w:rsidRPr="003A05C1" w:rsidRDefault="003A05C1" w:rsidP="003A05C1">
      <w:pPr>
        <w:pStyle w:val="Text"/>
      </w:pPr>
      <w:r w:rsidRPr="003A05C1">
        <w:rPr>
          <w:rFonts w:hint="eastAsia"/>
        </w:rPr>
        <w:t xml:space="preserve">Accurate low intensity shock acceleration calibration is of special importance for automobile and civil industries worldwide. </w:t>
      </w:r>
      <w:proofErr w:type="spellStart"/>
      <w:r w:rsidRPr="003A05C1">
        <w:rPr>
          <w:rFonts w:hint="eastAsia"/>
        </w:rPr>
        <w:t>Physikalisch-Technicshe</w:t>
      </w:r>
      <w:proofErr w:type="spellEnd"/>
      <w:r w:rsidRPr="003A05C1">
        <w:rPr>
          <w:rFonts w:hint="eastAsia"/>
        </w:rPr>
        <w:t xml:space="preserve"> </w:t>
      </w:r>
      <w:proofErr w:type="spellStart"/>
      <w:r w:rsidRPr="003A05C1">
        <w:rPr>
          <w:rFonts w:hint="eastAsia"/>
        </w:rPr>
        <w:t>Bundesanstalt</w:t>
      </w:r>
      <w:proofErr w:type="spellEnd"/>
      <w:r w:rsidRPr="003A05C1">
        <w:rPr>
          <w:rFonts w:hint="eastAsia"/>
        </w:rPr>
        <w:t xml:space="preserve"> (PTB) </w:t>
      </w:r>
      <w:r w:rsidRPr="003A05C1">
        <w:rPr>
          <w:rFonts w:hint="eastAsia"/>
        </w:rPr>
        <w:lastRenderedPageBreak/>
        <w:t xml:space="preserve">set the first example of successful implementation of low intensity shock calibration by laser </w:t>
      </w:r>
      <w:proofErr w:type="spellStart"/>
      <w:r w:rsidRPr="003A05C1">
        <w:rPr>
          <w:rFonts w:hint="eastAsia"/>
        </w:rPr>
        <w:t>interferometry</w:t>
      </w:r>
      <w:proofErr w:type="spellEnd"/>
      <w:r w:rsidRPr="003A05C1">
        <w:rPr>
          <w:rFonts w:hint="eastAsia"/>
        </w:rPr>
        <w:t xml:space="preserve"> [1]. Recent years have witnessed the establishment of primary low intensity shock calibration standard and relevant scientific research project at different metrology institutes of APMP, such as National Metrology Institute of Japan [2], Industrial Technology Research Institute (ITRI) of Taiwan [3], and National Institute of Metrology (NIM), China [4].</w:t>
      </w:r>
    </w:p>
    <w:p w:rsidR="003A05C1" w:rsidRPr="003A05C1" w:rsidRDefault="003A05C1" w:rsidP="003A05C1">
      <w:pPr>
        <w:pStyle w:val="Text"/>
      </w:pPr>
      <w:r w:rsidRPr="003A05C1">
        <w:rPr>
          <w:rFonts w:hint="eastAsia"/>
        </w:rPr>
        <w:t xml:space="preserve">International Organization for Standardization (ISO) 16063-13[5] describes primary low intensity shock calibration method, algorithm, and technical requirements, with an implementation example of rigid body collision as </w:t>
      </w:r>
      <w:r w:rsidRPr="003A05C1">
        <w:t>excitation</w:t>
      </w:r>
      <w:r w:rsidRPr="003A05C1">
        <w:rPr>
          <w:rFonts w:hint="eastAsia"/>
        </w:rPr>
        <w:t xml:space="preserve"> from 100m/s</w:t>
      </w:r>
      <w:r w:rsidRPr="003C7CBA">
        <w:rPr>
          <w:rFonts w:hint="eastAsia"/>
          <w:vertAlign w:val="superscript"/>
        </w:rPr>
        <w:t>2</w:t>
      </w:r>
      <w:r w:rsidRPr="003A05C1">
        <w:rPr>
          <w:rFonts w:hint="eastAsia"/>
        </w:rPr>
        <w:t xml:space="preserve"> to 5000 m/s</w:t>
      </w:r>
      <w:r w:rsidRPr="003C7CBA">
        <w:rPr>
          <w:rFonts w:hint="eastAsia"/>
          <w:vertAlign w:val="superscript"/>
        </w:rPr>
        <w:t>2</w:t>
      </w:r>
      <w:r w:rsidRPr="003A05C1">
        <w:rPr>
          <w:rFonts w:hint="eastAsia"/>
        </w:rPr>
        <w:t xml:space="preserve"> with pulse duration less than 10 </w:t>
      </w:r>
      <w:proofErr w:type="spellStart"/>
      <w:r w:rsidRPr="003A05C1">
        <w:rPr>
          <w:rFonts w:hint="eastAsia"/>
        </w:rPr>
        <w:t>ms.</w:t>
      </w:r>
      <w:proofErr w:type="spellEnd"/>
      <w:r w:rsidRPr="003A05C1">
        <w:rPr>
          <w:rFonts w:hint="eastAsia"/>
        </w:rPr>
        <w:t xml:space="preserve"> </w:t>
      </w:r>
      <w:r w:rsidRPr="003A05C1">
        <w:t xml:space="preserve">However, </w:t>
      </w:r>
      <w:r w:rsidRPr="003A05C1">
        <w:rPr>
          <w:rFonts w:hint="eastAsia"/>
        </w:rPr>
        <w:t xml:space="preserve">in the metrological field of shock, there was no formal comparison either at </w:t>
      </w:r>
      <w:r w:rsidRPr="003A05C1">
        <w:t>Consultative Committee (</w:t>
      </w:r>
      <w:r w:rsidRPr="003A05C1">
        <w:rPr>
          <w:rFonts w:hint="eastAsia"/>
        </w:rPr>
        <w:t>CC</w:t>
      </w:r>
      <w:r w:rsidRPr="003A05C1">
        <w:t>)</w:t>
      </w:r>
      <w:r w:rsidRPr="003A05C1">
        <w:rPr>
          <w:rFonts w:hint="eastAsia"/>
        </w:rPr>
        <w:t xml:space="preserve"> level or </w:t>
      </w:r>
      <w:r w:rsidRPr="003A05C1">
        <w:t>Regional Metrology Org</w:t>
      </w:r>
      <w:r w:rsidRPr="003A05C1">
        <w:rPr>
          <w:rFonts w:hint="eastAsia"/>
        </w:rPr>
        <w:t>a</w:t>
      </w:r>
      <w:r w:rsidRPr="003A05C1">
        <w:t>ni</w:t>
      </w:r>
      <w:r w:rsidRPr="003A05C1">
        <w:rPr>
          <w:rFonts w:hint="eastAsia"/>
        </w:rPr>
        <w:t>z</w:t>
      </w:r>
      <w:r w:rsidRPr="003A05C1">
        <w:t>ation Technical Committee (</w:t>
      </w:r>
      <w:r w:rsidRPr="003A05C1">
        <w:rPr>
          <w:rFonts w:hint="eastAsia"/>
        </w:rPr>
        <w:t>RMO TC</w:t>
      </w:r>
      <w:r w:rsidRPr="003A05C1">
        <w:t>)</w:t>
      </w:r>
      <w:r w:rsidRPr="003A05C1">
        <w:rPr>
          <w:rFonts w:hint="eastAsia"/>
        </w:rPr>
        <w:t xml:space="preserve"> level</w:t>
      </w:r>
      <w:r w:rsidRPr="003A05C1">
        <w:t>.</w:t>
      </w:r>
      <w:r w:rsidRPr="003A05C1">
        <w:rPr>
          <w:rFonts w:hint="eastAsia"/>
        </w:rPr>
        <w:t xml:space="preserve"> </w:t>
      </w:r>
      <w:r w:rsidRPr="003A05C1">
        <w:t>T</w:t>
      </w:r>
      <w:r w:rsidRPr="003A05C1">
        <w:rPr>
          <w:rFonts w:hint="eastAsia"/>
        </w:rPr>
        <w:t xml:space="preserve">herefore, the unification of shock acceleration quantity was short of direct supporting evidence. </w:t>
      </w:r>
      <w:r w:rsidRPr="003A05C1">
        <w:t xml:space="preserve">Consultative Committee </w:t>
      </w:r>
      <w:r w:rsidRPr="003A05C1">
        <w:rPr>
          <w:rFonts w:hint="eastAsia"/>
        </w:rPr>
        <w:t xml:space="preserve">of Acoustics, Ultrasound and Vibration </w:t>
      </w:r>
      <w:r w:rsidRPr="003A05C1">
        <w:t>(</w:t>
      </w:r>
      <w:r w:rsidRPr="003A05C1">
        <w:rPr>
          <w:rFonts w:hint="eastAsia"/>
        </w:rPr>
        <w:t>CCAUV</w:t>
      </w:r>
      <w:r w:rsidRPr="003A05C1">
        <w:t>)</w:t>
      </w:r>
      <w:r w:rsidRPr="003A05C1">
        <w:rPr>
          <w:rFonts w:hint="eastAsia"/>
        </w:rPr>
        <w:t xml:space="preserve"> has already planned to conduct key comparisons for shock in its </w:t>
      </w:r>
      <w:r w:rsidRPr="003A05C1">
        <w:t>strategic</w:t>
      </w:r>
      <w:r w:rsidRPr="003A05C1">
        <w:rPr>
          <w:rFonts w:hint="eastAsia"/>
        </w:rPr>
        <w:t xml:space="preserve"> planning programme for 2013 to 2023 [6], possibly one key comparison for low intensity and the other for high intensity.</w:t>
      </w:r>
    </w:p>
    <w:p w:rsidR="003A05C1" w:rsidRPr="003A05C1" w:rsidRDefault="003A05C1" w:rsidP="003A05C1">
      <w:pPr>
        <w:pStyle w:val="Text"/>
      </w:pPr>
      <w:r w:rsidRPr="003A05C1">
        <w:rPr>
          <w:rFonts w:hint="eastAsia"/>
        </w:rPr>
        <w:t>D</w:t>
      </w:r>
      <w:r w:rsidRPr="003A05C1">
        <w:t xml:space="preserve">uring the meeting of </w:t>
      </w:r>
      <w:r w:rsidRPr="003A05C1">
        <w:rPr>
          <w:rFonts w:hint="eastAsia"/>
        </w:rPr>
        <w:t>APMP T</w:t>
      </w:r>
      <w:r w:rsidRPr="003A05C1">
        <w:t>CAUV in 20</w:t>
      </w:r>
      <w:r w:rsidRPr="003A05C1">
        <w:rPr>
          <w:rFonts w:hint="eastAsia"/>
        </w:rPr>
        <w:t>11</w:t>
      </w:r>
      <w:r w:rsidRPr="003A05C1">
        <w:t>, the decision was taken to make preparations for a</w:t>
      </w:r>
      <w:r w:rsidRPr="003A05C1">
        <w:rPr>
          <w:rFonts w:hint="eastAsia"/>
        </w:rPr>
        <w:t xml:space="preserve"> pilot</w:t>
      </w:r>
      <w:r w:rsidRPr="003A05C1">
        <w:t xml:space="preserve"> </w:t>
      </w:r>
      <w:r w:rsidRPr="003A05C1">
        <w:rPr>
          <w:rFonts w:hint="eastAsia"/>
        </w:rPr>
        <w:t>comparison</w:t>
      </w:r>
      <w:r w:rsidRPr="003A05C1">
        <w:t xml:space="preserve"> </w:t>
      </w:r>
      <w:r w:rsidRPr="003A05C1">
        <w:rPr>
          <w:rFonts w:hint="eastAsia"/>
        </w:rPr>
        <w:t>targeted at low intensity shock acceleration</w:t>
      </w:r>
      <w:r w:rsidRPr="003A05C1">
        <w:t>.</w:t>
      </w:r>
      <w:r w:rsidRPr="003A05C1">
        <w:rPr>
          <w:rFonts w:hint="eastAsia"/>
        </w:rPr>
        <w:t xml:space="preserve"> Despite of scientific investigation of shock standards by individual institutes of APMP, guest scientist research of TC Initiative project as intra-APMP collaboration on this topic and dedicated sessions of TCAUV workshops in Japan in 2011 and in Thailand in 2014 made direct contribution to the successful completion of this APMP T</w:t>
      </w:r>
      <w:r w:rsidRPr="003A05C1">
        <w:t>CAUV</w:t>
      </w:r>
      <w:r w:rsidRPr="003A05C1">
        <w:rPr>
          <w:rFonts w:hint="eastAsia"/>
        </w:rPr>
        <w:t xml:space="preserve"> pilot comparison of low intensity shock, coded as APMP.AUV.V-P1 with participants of NIM, ITRI, NIM Thailand and SPEKTRA (German DKD Lab) [7].</w:t>
      </w:r>
    </w:p>
    <w:p w:rsidR="003A05C1" w:rsidRPr="003A05C1" w:rsidRDefault="003A05C1" w:rsidP="003A05C1">
      <w:pPr>
        <w:pStyle w:val="Text"/>
      </w:pPr>
      <w:r w:rsidRPr="003A05C1">
        <w:rPr>
          <w:rFonts w:hint="eastAsia"/>
        </w:rPr>
        <w:t xml:space="preserve">In this paper, the implementations of three different types of shock excitation suitable for laser </w:t>
      </w:r>
      <w:proofErr w:type="spellStart"/>
      <w:r w:rsidRPr="003A05C1">
        <w:rPr>
          <w:rFonts w:hint="eastAsia"/>
        </w:rPr>
        <w:t>interferometry</w:t>
      </w:r>
      <w:proofErr w:type="spellEnd"/>
      <w:r w:rsidRPr="003A05C1">
        <w:rPr>
          <w:rFonts w:hint="eastAsia"/>
        </w:rPr>
        <w:t xml:space="preserve"> are described. Rationale of strict comparison conditions are explained in details. The comparison results are presented in two groups: shock sensitivities of monopole excitation from 500m/s</w:t>
      </w:r>
      <w:r w:rsidRPr="003C7CBA">
        <w:rPr>
          <w:rFonts w:hint="eastAsia"/>
          <w:vertAlign w:val="superscript"/>
        </w:rPr>
        <w:t>2</w:t>
      </w:r>
      <w:r w:rsidRPr="003A05C1">
        <w:rPr>
          <w:rFonts w:hint="eastAsia"/>
        </w:rPr>
        <w:t xml:space="preserve"> to 5000 m/s</w:t>
      </w:r>
      <w:r w:rsidRPr="003C7CBA">
        <w:rPr>
          <w:rFonts w:hint="eastAsia"/>
          <w:vertAlign w:val="superscript"/>
        </w:rPr>
        <w:t>2</w:t>
      </w:r>
      <w:r w:rsidRPr="003A05C1">
        <w:rPr>
          <w:rFonts w:hint="eastAsia"/>
        </w:rPr>
        <w:t xml:space="preserve"> and shock sensitivities of </w:t>
      </w:r>
      <w:r w:rsidRPr="003A05C1">
        <w:t>dipole</w:t>
      </w:r>
      <w:r w:rsidRPr="003A05C1">
        <w:rPr>
          <w:rFonts w:hint="eastAsia"/>
        </w:rPr>
        <w:t xml:space="preserve"> excitation at 1000 m/s</w:t>
      </w:r>
      <w:r w:rsidRPr="003C7CBA">
        <w:rPr>
          <w:rFonts w:hint="eastAsia"/>
          <w:vertAlign w:val="superscript"/>
        </w:rPr>
        <w:t>2</w:t>
      </w:r>
      <w:r w:rsidRPr="003A05C1">
        <w:rPr>
          <w:rFonts w:hint="eastAsia"/>
        </w:rPr>
        <w:t xml:space="preserve">. </w:t>
      </w:r>
      <w:r w:rsidRPr="003A05C1">
        <w:t>T</w:t>
      </w:r>
      <w:r w:rsidRPr="003A05C1">
        <w:rPr>
          <w:rFonts w:hint="eastAsia"/>
        </w:rPr>
        <w:t>he organization of this pilot comparison by APMP TCAUV has proved, among the other things, the credibility of the primary low intensity shock calibration capability of the participants.</w:t>
      </w:r>
    </w:p>
    <w:p w:rsidR="00085803" w:rsidRDefault="00085803" w:rsidP="00085803">
      <w:pPr>
        <w:pStyle w:val="Section"/>
      </w:pPr>
      <w:r>
        <w:lastRenderedPageBreak/>
        <w:t xml:space="preserve">2.  </w:t>
      </w:r>
      <w:r w:rsidR="00E11931" w:rsidRPr="00E11931">
        <w:rPr>
          <w:rFonts w:hint="eastAsia"/>
        </w:rPr>
        <w:t>Implementation of low intensity shock calibration system</w:t>
      </w:r>
    </w:p>
    <w:p w:rsidR="00E11931" w:rsidRPr="00E11931" w:rsidRDefault="00E11931" w:rsidP="00085803">
      <w:pPr>
        <w:pStyle w:val="Text"/>
      </w:pPr>
      <w:r w:rsidRPr="00E11931">
        <w:rPr>
          <w:rFonts w:hint="eastAsia"/>
        </w:rPr>
        <w:t xml:space="preserve">The primary low intensity shock calibration system consists of three main parts: shock excitation, laser interferometer and signal acquisition and data processing. For laser interferometer, either homodyne or heterodyne can meet the requirement as primary measurement standard of acceleration for the calibration system. The technology is available in previous research, such as [1] to [5]. Signal acquisition and data processing algorithms and procedures are also covered in details in [1] to [5]. The different shock excitation devices for primary laser </w:t>
      </w:r>
      <w:proofErr w:type="spellStart"/>
      <w:r w:rsidRPr="00E11931">
        <w:rPr>
          <w:rFonts w:hint="eastAsia"/>
        </w:rPr>
        <w:t>interferometry</w:t>
      </w:r>
      <w:proofErr w:type="spellEnd"/>
      <w:r w:rsidRPr="00E11931">
        <w:rPr>
          <w:rFonts w:hint="eastAsia"/>
        </w:rPr>
        <w:t xml:space="preserve"> calibration are of particular interest for the investigation of the pilot comparison in that their frequency spectrums can be quite different. </w:t>
      </w:r>
      <w:r w:rsidRPr="00E11931">
        <w:t>T</w:t>
      </w:r>
      <w:r w:rsidRPr="00E11931">
        <w:rPr>
          <w:rFonts w:hint="eastAsia"/>
        </w:rPr>
        <w:t>herefore, three different types of shock excitation devices which are employed in the pilot comparison are described.</w:t>
      </w:r>
    </w:p>
    <w:p w:rsidR="00085803" w:rsidRDefault="00085803" w:rsidP="00085803">
      <w:pPr>
        <w:pStyle w:val="Subsection"/>
        <w:ind w:firstLine="0"/>
      </w:pPr>
      <w:r>
        <w:t xml:space="preserve">2.1. </w:t>
      </w:r>
      <w:r w:rsidR="00E11931" w:rsidRPr="00E11931">
        <w:rPr>
          <w:rFonts w:hint="eastAsia"/>
        </w:rPr>
        <w:t>Hammer-anvil excitation device</w:t>
      </w:r>
    </w:p>
    <w:p w:rsidR="00E11931" w:rsidRPr="00E11931" w:rsidRDefault="00E11931" w:rsidP="00E11931">
      <w:pPr>
        <w:pStyle w:val="Text"/>
      </w:pPr>
      <w:r w:rsidRPr="00E11931">
        <w:rPr>
          <w:rFonts w:hint="eastAsia"/>
        </w:rPr>
        <w:t xml:space="preserve">The shock excitation device based on hammer-anvil mechanical collision is called shock machine and its basic working principle is well explained in [5]. The actual implementation is </w:t>
      </w:r>
      <w:r w:rsidRPr="00E11931">
        <w:t>verified</w:t>
      </w:r>
      <w:r w:rsidRPr="00E11931">
        <w:rPr>
          <w:rFonts w:hint="eastAsia"/>
        </w:rPr>
        <w:t>. PTB uses spring unit as exciter to provide original shock force in [1]. NMIJ uses air pressure exciter [2] and ITIR uses electromagnetic exciter [3]. NIM</w:t>
      </w:r>
      <w:r w:rsidRPr="00E11931">
        <w:t>’</w:t>
      </w:r>
      <w:r w:rsidRPr="00E11931">
        <w:rPr>
          <w:rFonts w:hint="eastAsia"/>
        </w:rPr>
        <w:t>s shock excitation device consists of an electromagnetic exciter and a pneumatic exciter. This combination as mechanical power supply of the excitation device can deliver a wide range of shock acceleration levels and wider pulse durations [4]. All these four versions of implementation are in horizontal position. It is worth noticed that high resonant frequency airborne hammer and anvil as moving parts of the excitation device is the precondition for a high-quality monopole shock pulse generated. The thin stiff air films can largely reduce mechanical disturbances from other parts of the excitation device, and avoid dissymmetric impact forces to the anvil. As a result, the anvil can move rectilinearly with less rotational motion and produce repeatable shock pulses for calibration. Figure 1 gives an instance of primary shock calibration system based on hammer-anvil excitation device from NIM.</w:t>
      </w:r>
    </w:p>
    <w:p w:rsidR="00E11931" w:rsidRPr="004358C1" w:rsidRDefault="004358C1" w:rsidP="00E11931">
      <w:pPr>
        <w:spacing w:line="240" w:lineRule="auto"/>
        <w:jc w:val="center"/>
        <w:rPr>
          <w:lang w:val="en-GB" w:eastAsia="zh-CN"/>
        </w:rPr>
      </w:pPr>
      <w:r>
        <w:rPr>
          <w:noProof/>
          <w:lang w:val="en-US" w:eastAsia="zh-CN"/>
        </w:rPr>
        <w:drawing>
          <wp:inline distT="0" distB="0" distL="0" distR="0">
            <wp:extent cx="2705052" cy="1931213"/>
            <wp:effectExtent l="19050" t="0" r="48"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2706664" cy="1932364"/>
                    </a:xfrm>
                    <a:prstGeom prst="rect">
                      <a:avLst/>
                    </a:prstGeom>
                    <a:noFill/>
                    <a:ln w="9525">
                      <a:noFill/>
                      <a:miter lim="800000"/>
                      <a:headEnd/>
                      <a:tailEnd/>
                    </a:ln>
                  </pic:spPr>
                </pic:pic>
              </a:graphicData>
            </a:graphic>
          </wp:inline>
        </w:drawing>
      </w:r>
    </w:p>
    <w:p w:rsidR="00E11931" w:rsidRPr="00E11931" w:rsidRDefault="00E11931" w:rsidP="00E11931">
      <w:pPr>
        <w:spacing w:line="240" w:lineRule="auto"/>
        <w:jc w:val="center"/>
        <w:rPr>
          <w:rFonts w:ascii="Times New Roman" w:eastAsia="Times New Roman" w:hAnsi="Times New Roman" w:cs="Times New Roman"/>
          <w:color w:val="auto"/>
          <w:sz w:val="18"/>
          <w:szCs w:val="24"/>
          <w:lang w:val="en-GB" w:eastAsia="hr-HR"/>
        </w:rPr>
      </w:pPr>
      <w:proofErr w:type="gramStart"/>
      <w:r w:rsidRPr="00E11931">
        <w:rPr>
          <w:rFonts w:ascii="Times New Roman" w:eastAsia="Times New Roman" w:hAnsi="Times New Roman" w:cs="Times New Roman" w:hint="eastAsia"/>
          <w:color w:val="auto"/>
          <w:sz w:val="18"/>
          <w:szCs w:val="24"/>
          <w:lang w:val="en-GB" w:eastAsia="hr-HR"/>
        </w:rPr>
        <w:t>Fig. 1.</w:t>
      </w:r>
      <w:proofErr w:type="gramEnd"/>
      <w:r w:rsidRPr="00E11931">
        <w:rPr>
          <w:rFonts w:ascii="Times New Roman" w:eastAsia="Times New Roman" w:hAnsi="Times New Roman" w:cs="Times New Roman" w:hint="eastAsia"/>
          <w:color w:val="auto"/>
          <w:sz w:val="18"/>
          <w:szCs w:val="24"/>
          <w:lang w:val="en-GB" w:eastAsia="hr-HR"/>
        </w:rPr>
        <w:t xml:space="preserve"> Photo of NIM</w:t>
      </w:r>
      <w:r w:rsidRPr="00E11931">
        <w:rPr>
          <w:rFonts w:ascii="Times New Roman" w:eastAsia="Times New Roman" w:hAnsi="Times New Roman" w:cs="Times New Roman"/>
          <w:color w:val="auto"/>
          <w:sz w:val="18"/>
          <w:szCs w:val="24"/>
          <w:lang w:val="en-GB" w:eastAsia="hr-HR"/>
        </w:rPr>
        <w:t>’</w:t>
      </w:r>
      <w:r w:rsidRPr="00E11931">
        <w:rPr>
          <w:rFonts w:ascii="Times New Roman" w:eastAsia="Times New Roman" w:hAnsi="Times New Roman" w:cs="Times New Roman" w:hint="eastAsia"/>
          <w:color w:val="auto"/>
          <w:sz w:val="18"/>
          <w:szCs w:val="24"/>
          <w:lang w:val="en-GB" w:eastAsia="hr-HR"/>
        </w:rPr>
        <w:t>s primary shock calibration system based on hammer-anvil excitation device</w:t>
      </w:r>
    </w:p>
    <w:p w:rsidR="00085803" w:rsidRDefault="00085803" w:rsidP="00085803">
      <w:pPr>
        <w:pStyle w:val="Text"/>
      </w:pPr>
      <w:r>
        <w:t xml:space="preserve"> </w:t>
      </w:r>
    </w:p>
    <w:p w:rsidR="00085803" w:rsidRDefault="00085803" w:rsidP="00085803">
      <w:pPr>
        <w:pStyle w:val="Subsection"/>
        <w:ind w:firstLine="0"/>
      </w:pPr>
      <w:r>
        <w:lastRenderedPageBreak/>
        <w:t xml:space="preserve">2.2. </w:t>
      </w:r>
      <w:r w:rsidR="00E11931" w:rsidRPr="00E11931">
        <w:rPr>
          <w:rFonts w:hint="eastAsia"/>
        </w:rPr>
        <w:t xml:space="preserve">Pneumatic projectile </w:t>
      </w:r>
      <w:r w:rsidR="00E11931" w:rsidRPr="00E11931">
        <w:t>excitation</w:t>
      </w:r>
      <w:r w:rsidR="00E11931" w:rsidRPr="00E11931">
        <w:rPr>
          <w:rFonts w:hint="eastAsia"/>
        </w:rPr>
        <w:t xml:space="preserve"> device</w:t>
      </w:r>
    </w:p>
    <w:p w:rsidR="00E11931" w:rsidRPr="00E11931" w:rsidRDefault="00E11931" w:rsidP="00E11931">
      <w:pPr>
        <w:pStyle w:val="Text"/>
      </w:pPr>
      <w:r w:rsidRPr="00E11931">
        <w:rPr>
          <w:rFonts w:hint="eastAsia"/>
        </w:rPr>
        <w:t xml:space="preserve">Pneumatically driven projectile excitation device is a vertical implementation for good-quality monopole shock pulse in the pilot comparison. </w:t>
      </w:r>
      <w:r w:rsidRPr="00E11931">
        <w:t xml:space="preserve">A projectile accelerated by pressurized air </w:t>
      </w:r>
      <w:r w:rsidRPr="00E11931">
        <w:rPr>
          <w:rFonts w:hint="eastAsia"/>
        </w:rPr>
        <w:t>functions</w:t>
      </w:r>
      <w:r w:rsidRPr="00E11931">
        <w:t xml:space="preserve"> as hammer. While the air pressure </w:t>
      </w:r>
      <w:r w:rsidRPr="00E11931">
        <w:rPr>
          <w:rFonts w:hint="eastAsia"/>
        </w:rPr>
        <w:t>remains</w:t>
      </w:r>
      <w:r w:rsidRPr="00E11931">
        <w:t xml:space="preserve"> constant, the kinetic energy of the projectile can be controlled</w:t>
      </w:r>
      <w:r w:rsidRPr="00E11931">
        <w:rPr>
          <w:rFonts w:hint="eastAsia"/>
        </w:rPr>
        <w:t xml:space="preserve"> </w:t>
      </w:r>
      <w:r w:rsidRPr="00E11931">
        <w:t>by a motor driven mechanical stop that allows a precise adjustment of the projectiles starting position</w:t>
      </w:r>
      <w:r w:rsidRPr="00E11931">
        <w:rPr>
          <w:rFonts w:hint="eastAsia"/>
        </w:rPr>
        <w:t xml:space="preserve"> </w:t>
      </w:r>
      <w:r w:rsidRPr="00E11931">
        <w:t>and thus of the distance over which it is accelerated. T</w:t>
      </w:r>
      <w:r w:rsidRPr="00E11931">
        <w:rPr>
          <w:rFonts w:hint="eastAsia"/>
        </w:rPr>
        <w:t>herefore, the repeatability of the shock pulse generated by this excitation device</w:t>
      </w:r>
      <w:r w:rsidRPr="00E11931">
        <w:t xml:space="preserve"> </w:t>
      </w:r>
      <w:r w:rsidRPr="00E11931">
        <w:rPr>
          <w:rFonts w:hint="eastAsia"/>
        </w:rPr>
        <w:t>is</w:t>
      </w:r>
      <w:r w:rsidRPr="00E11931">
        <w:t xml:space="preserve"> good </w:t>
      </w:r>
      <w:r w:rsidRPr="00E11931">
        <w:rPr>
          <w:rFonts w:hint="eastAsia"/>
        </w:rPr>
        <w:t>under</w:t>
      </w:r>
      <w:r w:rsidRPr="00E11931">
        <w:t xml:space="preserve"> </w:t>
      </w:r>
      <w:r w:rsidRPr="00E11931">
        <w:rPr>
          <w:rFonts w:hint="eastAsia"/>
        </w:rPr>
        <w:t xml:space="preserve">the full automatic </w:t>
      </w:r>
      <w:r w:rsidRPr="00E11931">
        <w:t xml:space="preserve">control of the </w:t>
      </w:r>
      <w:r w:rsidRPr="00E11931">
        <w:rPr>
          <w:rFonts w:hint="eastAsia"/>
        </w:rPr>
        <w:t xml:space="preserve">target acceleration </w:t>
      </w:r>
      <w:proofErr w:type="spellStart"/>
      <w:r w:rsidRPr="00E11931">
        <w:rPr>
          <w:rFonts w:hint="eastAsia"/>
        </w:rPr>
        <w:t>level</w:t>
      </w:r>
      <w:r w:rsidRPr="00E11931">
        <w:t>.</w:t>
      </w:r>
      <w:r w:rsidRPr="00E11931">
        <w:rPr>
          <w:rFonts w:hint="eastAsia"/>
        </w:rPr>
        <w:t>To</w:t>
      </w:r>
      <w:proofErr w:type="spellEnd"/>
      <w:r w:rsidRPr="00E11931">
        <w:rPr>
          <w:rFonts w:hint="eastAsia"/>
        </w:rPr>
        <w:t xml:space="preserve"> be used as mechanical </w:t>
      </w:r>
      <w:r w:rsidRPr="00E11931">
        <w:t>excitation</w:t>
      </w:r>
      <w:r w:rsidRPr="00E11931">
        <w:rPr>
          <w:rFonts w:hint="eastAsia"/>
        </w:rPr>
        <w:t xml:space="preserve"> source for laser </w:t>
      </w:r>
      <w:proofErr w:type="spellStart"/>
      <w:r w:rsidRPr="00E11931">
        <w:rPr>
          <w:rFonts w:hint="eastAsia"/>
        </w:rPr>
        <w:t>interferometry</w:t>
      </w:r>
      <w:proofErr w:type="spellEnd"/>
      <w:r w:rsidRPr="00E11931">
        <w:rPr>
          <w:rFonts w:hint="eastAsia"/>
        </w:rPr>
        <w:t xml:space="preserve"> measurement, an air bearing is equipped with the mounting part of the accelerometer to reduce transverse motion caused by the impact of the projectile. Figure 2 shows primary shock calibration system based on pneumatic projectile excitation device from SPEKTRA.</w:t>
      </w:r>
    </w:p>
    <w:p w:rsidR="00915A9B" w:rsidRDefault="006F125C" w:rsidP="00E11931">
      <w:pPr>
        <w:spacing w:line="240" w:lineRule="auto"/>
        <w:jc w:val="center"/>
        <w:rPr>
          <w:lang w:eastAsia="zh-CN"/>
        </w:rPr>
      </w:pPr>
      <w:r>
        <w:object w:dxaOrig="9413" w:dyaOrig="65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85pt;height:137.1pt" o:ole="">
            <v:imagedata r:id="rId8" o:title=""/>
          </v:shape>
          <o:OLEObject Type="Embed" ProgID="Visio.Drawing.11" ShapeID="_x0000_i1025" DrawAspect="Content" ObjectID="_1493875449" r:id="rId9"/>
        </w:object>
      </w:r>
    </w:p>
    <w:p w:rsidR="00E11931" w:rsidRPr="00E11931" w:rsidRDefault="00E11931" w:rsidP="00E11931">
      <w:pPr>
        <w:spacing w:line="240" w:lineRule="auto"/>
        <w:jc w:val="center"/>
        <w:rPr>
          <w:rFonts w:ascii="Times New Roman" w:eastAsia="Times New Roman" w:hAnsi="Times New Roman" w:cs="Times New Roman"/>
          <w:color w:val="auto"/>
          <w:sz w:val="18"/>
          <w:szCs w:val="24"/>
          <w:lang w:val="en-GB" w:eastAsia="hr-HR"/>
        </w:rPr>
      </w:pPr>
      <w:proofErr w:type="gramStart"/>
      <w:r w:rsidRPr="00E11931">
        <w:rPr>
          <w:rFonts w:ascii="Times New Roman" w:eastAsia="Times New Roman" w:hAnsi="Times New Roman" w:cs="Times New Roman" w:hint="eastAsia"/>
          <w:color w:val="auto"/>
          <w:sz w:val="18"/>
          <w:szCs w:val="24"/>
          <w:lang w:val="en-GB" w:eastAsia="hr-HR"/>
        </w:rPr>
        <w:t>Fig. 2.</w:t>
      </w:r>
      <w:proofErr w:type="gramEnd"/>
      <w:r w:rsidRPr="00E11931">
        <w:rPr>
          <w:rFonts w:ascii="Times New Roman" w:eastAsia="Times New Roman" w:hAnsi="Times New Roman" w:cs="Times New Roman" w:hint="eastAsia"/>
          <w:color w:val="auto"/>
          <w:sz w:val="18"/>
          <w:szCs w:val="24"/>
          <w:lang w:val="en-GB" w:eastAsia="hr-HR"/>
        </w:rPr>
        <w:t xml:space="preserve"> Photo of SPEKTRA</w:t>
      </w:r>
      <w:r w:rsidRPr="00E11931">
        <w:rPr>
          <w:rFonts w:ascii="Times New Roman" w:eastAsia="Times New Roman" w:hAnsi="Times New Roman" w:cs="Times New Roman"/>
          <w:color w:val="auto"/>
          <w:sz w:val="18"/>
          <w:szCs w:val="24"/>
          <w:lang w:val="en-GB" w:eastAsia="hr-HR"/>
        </w:rPr>
        <w:t>’</w:t>
      </w:r>
      <w:r w:rsidRPr="00E11931">
        <w:rPr>
          <w:rFonts w:ascii="Times New Roman" w:eastAsia="Times New Roman" w:hAnsi="Times New Roman" w:cs="Times New Roman" w:hint="eastAsia"/>
          <w:color w:val="auto"/>
          <w:sz w:val="18"/>
          <w:szCs w:val="24"/>
          <w:lang w:val="en-GB" w:eastAsia="hr-HR"/>
        </w:rPr>
        <w:t>s primary shock calibration system based on pneumatic projectile excitation device</w:t>
      </w:r>
    </w:p>
    <w:p w:rsidR="00085803" w:rsidRDefault="00085803" w:rsidP="00085803">
      <w:pPr>
        <w:pStyle w:val="Subsection"/>
        <w:ind w:firstLine="0"/>
      </w:pPr>
      <w:r>
        <w:t xml:space="preserve">2.3. </w:t>
      </w:r>
      <w:r w:rsidR="00E11931" w:rsidRPr="00E11931">
        <w:rPr>
          <w:rFonts w:hint="eastAsia"/>
        </w:rPr>
        <w:t>Hopkinson bar excitation device</w:t>
      </w:r>
    </w:p>
    <w:p w:rsidR="00E11931" w:rsidRPr="00E11931" w:rsidRDefault="00E11931" w:rsidP="00E11931">
      <w:pPr>
        <w:pStyle w:val="Text"/>
      </w:pPr>
      <w:r w:rsidRPr="00E11931">
        <w:rPr>
          <w:rFonts w:hint="eastAsia"/>
        </w:rPr>
        <w:t xml:space="preserve">Hopkinson bar excitation device is based on wave propagation and </w:t>
      </w:r>
      <w:r w:rsidRPr="00E11931">
        <w:t>reflection characteristics</w:t>
      </w:r>
      <w:r w:rsidRPr="00E11931">
        <w:rPr>
          <w:rFonts w:hint="eastAsia"/>
        </w:rPr>
        <w:t xml:space="preserve"> inside a long thin bar and can generate dipole shock pulse normally in the acceleration range from 1000 m/s</w:t>
      </w:r>
      <w:r w:rsidRPr="003C7CBA">
        <w:rPr>
          <w:rFonts w:hint="eastAsia"/>
          <w:vertAlign w:val="superscript"/>
        </w:rPr>
        <w:t>2</w:t>
      </w:r>
      <w:r w:rsidRPr="00E11931">
        <w:rPr>
          <w:rFonts w:hint="eastAsia"/>
        </w:rPr>
        <w:t xml:space="preserve"> to 100000 m/s</w:t>
      </w:r>
      <w:r w:rsidRPr="003C7CBA">
        <w:rPr>
          <w:rFonts w:hint="eastAsia"/>
          <w:vertAlign w:val="superscript"/>
        </w:rPr>
        <w:t>2</w:t>
      </w:r>
      <w:r w:rsidRPr="00E11931">
        <w:rPr>
          <w:rFonts w:hint="eastAsia"/>
        </w:rPr>
        <w:t xml:space="preserve"> as described in [5]. By careful determination of the </w:t>
      </w:r>
      <w:r w:rsidRPr="00E11931">
        <w:t>dimension</w:t>
      </w:r>
      <w:r w:rsidRPr="00E11931">
        <w:rPr>
          <w:rFonts w:hint="eastAsia"/>
        </w:rPr>
        <w:t xml:space="preserve"> and length of the titanium Hopkinson bar and application of </w:t>
      </w:r>
      <w:r w:rsidRPr="00E11931">
        <w:t>piezoelectric actuator</w:t>
      </w:r>
      <w:r w:rsidRPr="00E11931">
        <w:rPr>
          <w:rFonts w:hint="eastAsia"/>
        </w:rPr>
        <w:t xml:space="preserve"> as exciter, the shock acceleration range from 200 m/s</w:t>
      </w:r>
      <w:r w:rsidRPr="003C7CBA">
        <w:rPr>
          <w:rFonts w:hint="eastAsia"/>
          <w:vertAlign w:val="superscript"/>
        </w:rPr>
        <w:t>2</w:t>
      </w:r>
      <w:r w:rsidRPr="00E11931">
        <w:rPr>
          <w:rFonts w:hint="eastAsia"/>
        </w:rPr>
        <w:t xml:space="preserve"> to 40000 m/s</w:t>
      </w:r>
      <w:r w:rsidRPr="003C7CBA">
        <w:rPr>
          <w:rFonts w:hint="eastAsia"/>
          <w:vertAlign w:val="superscript"/>
        </w:rPr>
        <w:t>2</w:t>
      </w:r>
      <w:r w:rsidRPr="00E11931">
        <w:rPr>
          <w:rFonts w:hint="eastAsia"/>
        </w:rPr>
        <w:t xml:space="preserve"> can be achieved. But the pulse duration of the half sine shape is narrower than 0.2 ms [8].</w:t>
      </w:r>
    </w:p>
    <w:p w:rsidR="00E11931" w:rsidRPr="00E11931" w:rsidRDefault="00E11931" w:rsidP="00E11931">
      <w:pPr>
        <w:pStyle w:val="Text"/>
      </w:pPr>
      <w:r w:rsidRPr="00E11931">
        <w:t xml:space="preserve">The main parts </w:t>
      </w:r>
      <w:r w:rsidRPr="00E11931">
        <w:rPr>
          <w:rFonts w:hint="eastAsia"/>
        </w:rPr>
        <w:t xml:space="preserve">of Hopkinson bar </w:t>
      </w:r>
      <w:r w:rsidRPr="00E11931">
        <w:t>excitation</w:t>
      </w:r>
      <w:r w:rsidRPr="00E11931">
        <w:rPr>
          <w:rFonts w:hint="eastAsia"/>
        </w:rPr>
        <w:t xml:space="preserve"> device include</w:t>
      </w:r>
      <w:r w:rsidRPr="00E11931">
        <w:t xml:space="preserve"> Hopkinson Bar, </w:t>
      </w:r>
      <w:r w:rsidRPr="00E11931">
        <w:rPr>
          <w:rFonts w:hint="eastAsia"/>
        </w:rPr>
        <w:t>p</w:t>
      </w:r>
      <w:r w:rsidRPr="00E11931">
        <w:t xml:space="preserve">iezoelectric actuator, </w:t>
      </w:r>
      <w:proofErr w:type="gramStart"/>
      <w:r w:rsidRPr="00E11931">
        <w:t>reaction</w:t>
      </w:r>
      <w:proofErr w:type="gramEnd"/>
      <w:r w:rsidRPr="00E11931">
        <w:t xml:space="preserve"> mass. </w:t>
      </w:r>
      <w:r w:rsidRPr="00E11931">
        <w:rPr>
          <w:rFonts w:hint="eastAsia"/>
        </w:rPr>
        <w:t>When</w:t>
      </w:r>
      <w:r w:rsidRPr="00E11931">
        <w:t xml:space="preserve"> a driving voltage </w:t>
      </w:r>
      <w:r w:rsidRPr="00E11931">
        <w:rPr>
          <w:rFonts w:hint="eastAsia"/>
        </w:rPr>
        <w:t xml:space="preserve">is applied </w:t>
      </w:r>
      <w:r w:rsidRPr="00E11931">
        <w:t xml:space="preserve">to the actuator, the </w:t>
      </w:r>
      <w:proofErr w:type="spellStart"/>
      <w:r w:rsidRPr="00E11931">
        <w:rPr>
          <w:rFonts w:hint="eastAsia"/>
        </w:rPr>
        <w:t>p</w:t>
      </w:r>
      <w:r w:rsidRPr="00E11931">
        <w:t>iezo</w:t>
      </w:r>
      <w:proofErr w:type="spellEnd"/>
      <w:r w:rsidRPr="00E11931">
        <w:rPr>
          <w:rFonts w:hint="eastAsia"/>
        </w:rPr>
        <w:t>-</w:t>
      </w:r>
      <w:r w:rsidRPr="00E11931">
        <w:t>stack changes its length</w:t>
      </w:r>
      <w:r w:rsidRPr="00E11931">
        <w:rPr>
          <w:rFonts w:hint="eastAsia"/>
        </w:rPr>
        <w:t xml:space="preserve"> and </w:t>
      </w:r>
      <w:r w:rsidRPr="00E11931">
        <w:t xml:space="preserve">a reaction force </w:t>
      </w:r>
      <w:r w:rsidRPr="00E11931">
        <w:rPr>
          <w:rFonts w:hint="eastAsia"/>
        </w:rPr>
        <w:t>is generated by</w:t>
      </w:r>
      <w:r w:rsidRPr="00E11931">
        <w:t xml:space="preserve"> the reaction mass </w:t>
      </w:r>
      <w:r w:rsidRPr="00E11931">
        <w:rPr>
          <w:rFonts w:hint="eastAsia"/>
        </w:rPr>
        <w:t>according to</w:t>
      </w:r>
      <w:r w:rsidRPr="00E11931">
        <w:t xml:space="preserve"> Newton’s 2nd law. Th</w:t>
      </w:r>
      <w:r w:rsidRPr="00E11931">
        <w:rPr>
          <w:rFonts w:hint="eastAsia"/>
        </w:rPr>
        <w:t>is</w:t>
      </w:r>
      <w:r w:rsidRPr="00E11931">
        <w:t xml:space="preserve"> force act</w:t>
      </w:r>
      <w:r w:rsidRPr="00E11931">
        <w:rPr>
          <w:rFonts w:hint="eastAsia"/>
        </w:rPr>
        <w:t>s</w:t>
      </w:r>
      <w:r w:rsidRPr="00E11931">
        <w:t xml:space="preserve"> as </w:t>
      </w:r>
      <w:r w:rsidRPr="00E11931">
        <w:rPr>
          <w:rFonts w:hint="eastAsia"/>
        </w:rPr>
        <w:t xml:space="preserve">the </w:t>
      </w:r>
      <w:r w:rsidRPr="00E11931">
        <w:t>input force on the</w:t>
      </w:r>
      <w:r w:rsidRPr="00E11931">
        <w:rPr>
          <w:rFonts w:hint="eastAsia"/>
        </w:rPr>
        <w:t xml:space="preserve"> end surface of</w:t>
      </w:r>
      <w:r w:rsidRPr="00E11931">
        <w:t xml:space="preserve"> Hopkinson Bar. </w:t>
      </w:r>
      <w:r w:rsidRPr="00E11931">
        <w:rPr>
          <w:rFonts w:hint="eastAsia"/>
        </w:rPr>
        <w:t>T</w:t>
      </w:r>
      <w:r w:rsidRPr="00E11931">
        <w:t xml:space="preserve">he acceleration </w:t>
      </w:r>
      <w:r w:rsidRPr="00E11931">
        <w:rPr>
          <w:rFonts w:hint="eastAsia"/>
        </w:rPr>
        <w:t xml:space="preserve">generated </w:t>
      </w:r>
      <w:r w:rsidRPr="00E11931">
        <w:t xml:space="preserve">at the </w:t>
      </w:r>
      <w:r w:rsidRPr="00E11931">
        <w:rPr>
          <w:rFonts w:hint="eastAsia"/>
        </w:rPr>
        <w:t xml:space="preserve">other </w:t>
      </w:r>
      <w:r w:rsidRPr="00E11931">
        <w:t>end of the bar</w:t>
      </w:r>
      <w:r w:rsidRPr="00E11931">
        <w:rPr>
          <w:rFonts w:hint="eastAsia"/>
        </w:rPr>
        <w:t xml:space="preserve"> can be quite accurate because </w:t>
      </w:r>
      <w:r w:rsidRPr="00E11931">
        <w:t xml:space="preserve">the driving voltage can be </w:t>
      </w:r>
      <w:r w:rsidRPr="00E11931">
        <w:rPr>
          <w:rFonts w:hint="eastAsia"/>
        </w:rPr>
        <w:t xml:space="preserve">precisely </w:t>
      </w:r>
      <w:r w:rsidRPr="00E11931">
        <w:t>controlled</w:t>
      </w:r>
      <w:r w:rsidRPr="00E11931">
        <w:rPr>
          <w:rFonts w:hint="eastAsia"/>
        </w:rPr>
        <w:t>. Figure 3 shows primary shock calibration system based on pneumatic projectile excitation device from NIMT.</w:t>
      </w:r>
    </w:p>
    <w:p w:rsidR="00085803" w:rsidRDefault="006F125C" w:rsidP="00E11931">
      <w:pPr>
        <w:ind w:firstLine="465"/>
        <w:jc w:val="center"/>
        <w:rPr>
          <w:rFonts w:ascii="Times New Roman" w:hAnsi="Times New Roman" w:cs="Times New Roman"/>
          <w:color w:val="auto"/>
          <w:sz w:val="18"/>
          <w:szCs w:val="24"/>
          <w:lang w:val="en-GB" w:eastAsia="zh-CN"/>
        </w:rPr>
      </w:pPr>
      <w:r>
        <w:object w:dxaOrig="9908" w:dyaOrig="5460">
          <v:shape id="_x0000_i1026" type="#_x0000_t75" style="width:210.8pt;height:116.35pt" o:ole="">
            <v:imagedata r:id="rId10" o:title=""/>
          </v:shape>
          <o:OLEObject Type="Embed" ProgID="Visio.Drawing.11" ShapeID="_x0000_i1026" DrawAspect="Content" ObjectID="_1493875450" r:id="rId11"/>
        </w:object>
      </w:r>
      <w:proofErr w:type="gramStart"/>
      <w:r w:rsidR="00E11931" w:rsidRPr="00E11931">
        <w:rPr>
          <w:rFonts w:ascii="Times New Roman" w:eastAsia="Times New Roman" w:hAnsi="Times New Roman" w:cs="Times New Roman" w:hint="eastAsia"/>
          <w:color w:val="auto"/>
          <w:sz w:val="18"/>
          <w:szCs w:val="24"/>
          <w:lang w:val="en-GB" w:eastAsia="hr-HR"/>
        </w:rPr>
        <w:t>Fig. 3.</w:t>
      </w:r>
      <w:proofErr w:type="gramEnd"/>
      <w:r w:rsidR="00E11931" w:rsidRPr="00E11931">
        <w:rPr>
          <w:rFonts w:ascii="Times New Roman" w:eastAsia="Times New Roman" w:hAnsi="Times New Roman" w:cs="Times New Roman" w:hint="eastAsia"/>
          <w:color w:val="auto"/>
          <w:sz w:val="18"/>
          <w:szCs w:val="24"/>
          <w:lang w:val="en-GB" w:eastAsia="hr-HR"/>
        </w:rPr>
        <w:t xml:space="preserve"> Photo of NIMT</w:t>
      </w:r>
      <w:r w:rsidR="00E11931" w:rsidRPr="00E11931">
        <w:rPr>
          <w:rFonts w:ascii="Times New Roman" w:eastAsia="Times New Roman" w:hAnsi="Times New Roman" w:cs="Times New Roman"/>
          <w:color w:val="auto"/>
          <w:sz w:val="18"/>
          <w:szCs w:val="24"/>
          <w:lang w:val="en-GB" w:eastAsia="hr-HR"/>
        </w:rPr>
        <w:t>’</w:t>
      </w:r>
      <w:r w:rsidR="00E11931" w:rsidRPr="00E11931">
        <w:rPr>
          <w:rFonts w:ascii="Times New Roman" w:eastAsia="Times New Roman" w:hAnsi="Times New Roman" w:cs="Times New Roman" w:hint="eastAsia"/>
          <w:color w:val="auto"/>
          <w:sz w:val="18"/>
          <w:szCs w:val="24"/>
          <w:lang w:val="en-GB" w:eastAsia="hr-HR"/>
        </w:rPr>
        <w:t>s primary shock calibration system based on Hopkinson bar excitation device</w:t>
      </w:r>
      <w:r w:rsidR="00085803" w:rsidRPr="00E11931">
        <w:rPr>
          <w:rFonts w:ascii="Times New Roman" w:eastAsia="Times New Roman" w:hAnsi="Times New Roman" w:cs="Times New Roman"/>
          <w:color w:val="auto"/>
          <w:sz w:val="18"/>
          <w:szCs w:val="24"/>
          <w:lang w:val="en-GB" w:eastAsia="hr-HR"/>
        </w:rPr>
        <w:t xml:space="preserve"> should be used.</w:t>
      </w:r>
    </w:p>
    <w:p w:rsidR="00E11931" w:rsidRDefault="00E11931" w:rsidP="00E11931">
      <w:pPr>
        <w:pStyle w:val="Section"/>
      </w:pPr>
      <w:r>
        <w:rPr>
          <w:rFonts w:eastAsiaTheme="minorEastAsia" w:hint="eastAsia"/>
          <w:lang w:eastAsia="zh-CN"/>
        </w:rPr>
        <w:t>3</w:t>
      </w:r>
      <w:r>
        <w:t xml:space="preserve">. </w:t>
      </w:r>
      <w:r w:rsidRPr="00E11931">
        <w:rPr>
          <w:rFonts w:hint="eastAsia"/>
        </w:rPr>
        <w:t>Pilot comparison</w:t>
      </w:r>
    </w:p>
    <w:p w:rsidR="00E11931" w:rsidRDefault="00E11931" w:rsidP="00E11931">
      <w:pPr>
        <w:pStyle w:val="Subsection"/>
        <w:ind w:firstLine="0"/>
      </w:pPr>
      <w:r>
        <w:rPr>
          <w:rFonts w:eastAsiaTheme="minorEastAsia" w:hint="eastAsia"/>
          <w:lang w:eastAsia="zh-CN"/>
        </w:rPr>
        <w:t>3</w:t>
      </w:r>
      <w:r>
        <w:t xml:space="preserve">.1. </w:t>
      </w:r>
      <w:r w:rsidRPr="00E11931">
        <w:rPr>
          <w:rFonts w:hint="eastAsia"/>
        </w:rPr>
        <w:t>Background of the comparison</w:t>
      </w:r>
    </w:p>
    <w:p w:rsidR="00E11931" w:rsidRPr="00E11931" w:rsidRDefault="00E11931" w:rsidP="00E11931">
      <w:pPr>
        <w:pStyle w:val="Text"/>
      </w:pPr>
      <w:r w:rsidRPr="00E11931">
        <w:rPr>
          <w:rFonts w:hint="eastAsia"/>
        </w:rPr>
        <w:t xml:space="preserve">The accurate measurement of low intensity shock acceleration is vital in certain applications, for example car crash test. </w:t>
      </w:r>
      <w:r w:rsidRPr="00E11931">
        <w:t>Efforts to decrease the losses in human li</w:t>
      </w:r>
      <w:r w:rsidRPr="00E11931">
        <w:rPr>
          <w:rFonts w:hint="eastAsia"/>
        </w:rPr>
        <w:t>v</w:t>
      </w:r>
      <w:r w:rsidRPr="00E11931">
        <w:t xml:space="preserve">es on the roads during </w:t>
      </w:r>
      <w:r w:rsidRPr="00E11931">
        <w:rPr>
          <w:rFonts w:hint="eastAsia"/>
        </w:rPr>
        <w:t>1950s</w:t>
      </w:r>
      <w:r w:rsidRPr="00E11931">
        <w:t xml:space="preserve"> led to an increased research into the biomechanics of head impact. A break-through was made with the introduction of the Wayne State Tolerance Curve</w:t>
      </w:r>
      <w:r w:rsidRPr="00E11931">
        <w:rPr>
          <w:rFonts w:hint="eastAsia"/>
        </w:rPr>
        <w:t xml:space="preserve"> [9], shown in Figure 4</w:t>
      </w:r>
      <w:r w:rsidRPr="00E11931">
        <w:t>.</w:t>
      </w:r>
      <w:r w:rsidRPr="00E11931">
        <w:rPr>
          <w:rFonts w:hint="eastAsia"/>
        </w:rPr>
        <w:t xml:space="preserve"> </w:t>
      </w:r>
      <w:r w:rsidRPr="00E11931">
        <w:t>This curve was interpreted and a weighted injury criterion was developed. This criterion was later transformed into the Head Injury Criterion (HIC) to improve the crashworthiness of cars.</w:t>
      </w:r>
      <w:r w:rsidRPr="00E11931">
        <w:rPr>
          <w:rFonts w:hint="eastAsia"/>
        </w:rPr>
        <w:t xml:space="preserve"> </w:t>
      </w:r>
      <w:r w:rsidRPr="00E11931">
        <w:t>HIC is a measure of the likelihood of </w:t>
      </w:r>
      <w:hyperlink r:id="rId12" w:tooltip="Head injury" w:history="1">
        <w:r w:rsidRPr="00E11931">
          <w:t>head injury</w:t>
        </w:r>
      </w:hyperlink>
      <w:r w:rsidRPr="00E11931">
        <w:t> arising from an impact. The HIC can be used to assess safety related to vehicles</w:t>
      </w:r>
      <w:r w:rsidRPr="00E11931">
        <w:rPr>
          <w:rFonts w:hint="eastAsia"/>
        </w:rPr>
        <w:t xml:space="preserve"> and i</w:t>
      </w:r>
      <w:r w:rsidRPr="00E11931">
        <w:t>t is defined as:</w:t>
      </w:r>
    </w:p>
    <w:p w:rsidR="00E11931" w:rsidRPr="008A6C9F" w:rsidRDefault="008A6C9F" w:rsidP="008A6C9F">
      <w:pPr>
        <w:pStyle w:val="Equation"/>
        <w:wordWrap w:val="0"/>
        <w:jc w:val="right"/>
        <w:rPr>
          <w:color w:val="000000"/>
          <w:sz w:val="24"/>
        </w:rPr>
      </w:pPr>
      <w:r w:rsidRPr="008A6C9F">
        <w:rPr>
          <w:bCs w:val="0"/>
          <w:position w:val="-40"/>
        </w:rPr>
        <w:object w:dxaOrig="3780" w:dyaOrig="900">
          <v:shape id="_x0000_i1027" type="#_x0000_t75" style="width:130.2pt;height:30.55pt" o:ole="" fillcolor="window">
            <v:imagedata r:id="rId13" o:title=""/>
          </v:shape>
          <o:OLEObject Type="Embed" ProgID="Equation.DSMT4" ShapeID="_x0000_i1027" DrawAspect="Content" ObjectID="_1493875451" r:id="rId14"/>
        </w:object>
      </w:r>
      <w:r>
        <w:rPr>
          <w:rFonts w:eastAsiaTheme="minorEastAsia" w:hint="eastAsia"/>
          <w:bCs w:val="0"/>
          <w:lang w:eastAsia="zh-CN"/>
        </w:rPr>
        <w:t xml:space="preserve">              </w:t>
      </w:r>
      <w:r w:rsidRPr="008A6C9F">
        <w:rPr>
          <w:bCs w:val="0"/>
        </w:rPr>
        <w:t>(1)</w:t>
      </w:r>
    </w:p>
    <w:p w:rsidR="00E11931" w:rsidRPr="00E11931" w:rsidRDefault="00E11931" w:rsidP="008A6C9F">
      <w:pPr>
        <w:pStyle w:val="Text"/>
        <w:ind w:firstLine="0"/>
      </w:pPr>
      <w:proofErr w:type="gramStart"/>
      <w:r w:rsidRPr="00E11931">
        <w:t>where</w:t>
      </w:r>
      <w:proofErr w:type="gramEnd"/>
      <w:r w:rsidRPr="00E11931">
        <w:t> t</w:t>
      </w:r>
      <w:r w:rsidRPr="008A6C9F">
        <w:rPr>
          <w:vertAlign w:val="subscript"/>
        </w:rPr>
        <w:t>1</w:t>
      </w:r>
      <w:r w:rsidRPr="00E11931">
        <w:t> and t</w:t>
      </w:r>
      <w:r w:rsidRPr="008A6C9F">
        <w:rPr>
          <w:vertAlign w:val="subscript"/>
        </w:rPr>
        <w:t>2</w:t>
      </w:r>
      <w:r w:rsidRPr="00E11931">
        <w:t> are the initial and final times (in seconds) of the interval during which HIC attains a maximum value, and </w:t>
      </w:r>
      <w:hyperlink r:id="rId15" w:tooltip="Acceleration" w:history="1">
        <w:r w:rsidRPr="00E11931">
          <w:t>acceleration</w:t>
        </w:r>
      </w:hyperlink>
      <w:r w:rsidRPr="00E11931">
        <w:t> a is measured in g (</w:t>
      </w:r>
      <w:hyperlink r:id="rId16" w:tooltip="Standard gravity" w:history="1">
        <w:r w:rsidRPr="00E11931">
          <w:t>standard gravity</w:t>
        </w:r>
      </w:hyperlink>
      <w:r w:rsidRPr="00E11931">
        <w:t xml:space="preserve">acceleration). </w:t>
      </w:r>
    </w:p>
    <w:p w:rsidR="00E11931" w:rsidRPr="00E11931" w:rsidRDefault="00E11931" w:rsidP="00E11931">
      <w:pPr>
        <w:pStyle w:val="Text"/>
      </w:pPr>
      <w:r w:rsidRPr="00E11931">
        <w:t>Normally the variable is derived from the acceleration/time history of an accelerometer mounted at the </w:t>
      </w:r>
      <w:hyperlink r:id="rId17" w:tooltip="Centre of gravity" w:history="1">
        <w:r w:rsidRPr="00E11931">
          <w:t>centre of gravity</w:t>
        </w:r>
      </w:hyperlink>
      <w:r w:rsidRPr="00E11931">
        <w:t> of a </w:t>
      </w:r>
      <w:hyperlink r:id="rId18" w:tooltip="Crash test dummy" w:history="1">
        <w:r w:rsidRPr="00E11931">
          <w:t>dummy</w:t>
        </w:r>
      </w:hyperlink>
      <w:r w:rsidRPr="00E11931">
        <w:t xml:space="preserve">’s head, </w:t>
      </w:r>
      <w:r w:rsidRPr="00E11931">
        <w:rPr>
          <w:rFonts w:hint="eastAsia"/>
        </w:rPr>
        <w:t xml:space="preserve">like in the car crash test photo of Figure 4, </w:t>
      </w:r>
      <w:r w:rsidRPr="00E11931">
        <w:t xml:space="preserve">when the dummy is exposed to crash forces. This means that the HIC includes the effects of head acceleration and the duration of the acceleration. Large accelerations </w:t>
      </w:r>
      <w:r w:rsidRPr="00E11931">
        <w:rPr>
          <w:rFonts w:hint="eastAsia"/>
        </w:rPr>
        <w:t>up to 5000 m/s</w:t>
      </w:r>
      <w:r w:rsidRPr="003C7CBA">
        <w:rPr>
          <w:rFonts w:hint="eastAsia"/>
          <w:vertAlign w:val="superscript"/>
        </w:rPr>
        <w:t>2</w:t>
      </w:r>
      <w:r w:rsidRPr="00E11931">
        <w:rPr>
          <w:rFonts w:hint="eastAsia"/>
        </w:rPr>
        <w:t xml:space="preserve"> </w:t>
      </w:r>
      <w:r w:rsidRPr="00E11931">
        <w:t xml:space="preserve">may be tolerated for very short </w:t>
      </w:r>
      <w:r w:rsidRPr="00E11931">
        <w:rPr>
          <w:rFonts w:hint="eastAsia"/>
        </w:rPr>
        <w:t xml:space="preserve">duration of less than 1 </w:t>
      </w:r>
      <w:proofErr w:type="spellStart"/>
      <w:proofErr w:type="gramStart"/>
      <w:r w:rsidRPr="00E11931">
        <w:rPr>
          <w:rFonts w:hint="eastAsia"/>
        </w:rPr>
        <w:t>ms</w:t>
      </w:r>
      <w:proofErr w:type="gramEnd"/>
      <w:r w:rsidRPr="00E11931">
        <w:t>.</w:t>
      </w:r>
      <w:proofErr w:type="spellEnd"/>
    </w:p>
    <w:p w:rsidR="00E11931" w:rsidRDefault="00E11931" w:rsidP="00E11931">
      <w:pPr>
        <w:pStyle w:val="Text"/>
        <w:rPr>
          <w:rFonts w:eastAsiaTheme="minorEastAsia"/>
          <w:lang w:eastAsia="zh-CN"/>
        </w:rPr>
      </w:pPr>
      <w:r w:rsidRPr="00E11931">
        <w:rPr>
          <w:rFonts w:hint="eastAsia"/>
        </w:rPr>
        <w:t xml:space="preserve">Therefore, a low intensity shock comparison is well justified with the acceleration range </w:t>
      </w:r>
      <w:r w:rsidRPr="00E11931">
        <w:t>from 500 m/s² to 5 000 m/s²</w:t>
      </w:r>
      <w:r w:rsidRPr="00E11931">
        <w:rPr>
          <w:rFonts w:hint="eastAsia"/>
        </w:rPr>
        <w:t xml:space="preserve"> and duration of monopole shock pulse from 0.3 to 3 </w:t>
      </w:r>
      <w:proofErr w:type="spellStart"/>
      <w:r w:rsidRPr="00E11931">
        <w:rPr>
          <w:rFonts w:hint="eastAsia"/>
        </w:rPr>
        <w:t>ms.</w:t>
      </w:r>
      <w:proofErr w:type="spellEnd"/>
    </w:p>
    <w:p w:rsidR="008A6C9F" w:rsidRDefault="00E11931" w:rsidP="008A6C9F">
      <w:pPr>
        <w:jc w:val="center"/>
        <w:rPr>
          <w:lang w:eastAsia="zh-CN"/>
        </w:rPr>
      </w:pPr>
      <w:r w:rsidRPr="00AE1B83">
        <w:rPr>
          <w:rFonts w:hint="eastAsia"/>
          <w:noProof/>
          <w:sz w:val="21"/>
          <w:szCs w:val="21"/>
          <w:lang w:val="en-US" w:eastAsia="zh-CN"/>
        </w:rPr>
        <w:drawing>
          <wp:inline distT="0" distB="0" distL="0" distR="0">
            <wp:extent cx="1309421" cy="1131718"/>
            <wp:effectExtent l="19050" t="0" r="5029"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1311714" cy="1133699"/>
                    </a:xfrm>
                    <a:prstGeom prst="rect">
                      <a:avLst/>
                    </a:prstGeom>
                    <a:noFill/>
                    <a:ln w="9525">
                      <a:noFill/>
                      <a:miter lim="800000"/>
                      <a:headEnd/>
                      <a:tailEnd/>
                    </a:ln>
                  </pic:spPr>
                </pic:pic>
              </a:graphicData>
            </a:graphic>
          </wp:inline>
        </w:drawing>
      </w:r>
      <w:r w:rsidR="00915A9B">
        <w:object w:dxaOrig="9308" w:dyaOrig="6039">
          <v:shape id="_x0000_i1028" type="#_x0000_t75" style="width:138.25pt;height:88.7pt" o:ole="">
            <v:imagedata r:id="rId20" o:title=""/>
          </v:shape>
          <o:OLEObject Type="Embed" ProgID="Visio.Drawing.11" ShapeID="_x0000_i1028" DrawAspect="Content" ObjectID="_1493875452" r:id="rId21"/>
        </w:object>
      </w:r>
    </w:p>
    <w:p w:rsidR="00E11931" w:rsidRPr="008A6C9F" w:rsidRDefault="00E11931" w:rsidP="008A6C9F">
      <w:pPr>
        <w:jc w:val="center"/>
        <w:rPr>
          <w:rFonts w:ascii="Times New Roman" w:hAnsi="Times New Roman" w:cs="Times New Roman"/>
          <w:color w:val="auto"/>
          <w:sz w:val="18"/>
          <w:szCs w:val="24"/>
          <w:lang w:val="en-GB" w:eastAsia="zh-CN"/>
        </w:rPr>
      </w:pPr>
      <w:proofErr w:type="gramStart"/>
      <w:r w:rsidRPr="008A6C9F">
        <w:rPr>
          <w:rFonts w:ascii="Times New Roman" w:eastAsia="Times New Roman" w:hAnsi="Times New Roman" w:cs="Times New Roman" w:hint="eastAsia"/>
          <w:color w:val="auto"/>
          <w:sz w:val="18"/>
          <w:szCs w:val="24"/>
          <w:lang w:val="en-GB" w:eastAsia="hr-HR"/>
        </w:rPr>
        <w:t>Fig. 4.</w:t>
      </w:r>
      <w:proofErr w:type="gramEnd"/>
      <w:r w:rsidRPr="008A6C9F">
        <w:rPr>
          <w:rFonts w:ascii="Times New Roman" w:eastAsia="Times New Roman" w:hAnsi="Times New Roman" w:cs="Times New Roman" w:hint="eastAsia"/>
          <w:color w:val="auto"/>
          <w:sz w:val="18"/>
          <w:szCs w:val="24"/>
          <w:lang w:val="en-GB" w:eastAsia="hr-HR"/>
        </w:rPr>
        <w:t xml:space="preserve"> </w:t>
      </w:r>
      <w:r w:rsidRPr="008A6C9F">
        <w:rPr>
          <w:rFonts w:ascii="Times New Roman" w:eastAsia="Times New Roman" w:hAnsi="Times New Roman" w:cs="Times New Roman"/>
          <w:color w:val="auto"/>
          <w:sz w:val="18"/>
          <w:szCs w:val="24"/>
          <w:lang w:val="en-GB" w:eastAsia="hr-HR"/>
        </w:rPr>
        <w:t>Wayne State Tolerance Curve</w:t>
      </w:r>
      <w:r w:rsidRPr="008A6C9F">
        <w:rPr>
          <w:rFonts w:ascii="Times New Roman" w:eastAsia="Times New Roman" w:hAnsi="Times New Roman" w:cs="Times New Roman" w:hint="eastAsia"/>
          <w:color w:val="auto"/>
          <w:sz w:val="18"/>
          <w:szCs w:val="24"/>
          <w:lang w:val="en-GB" w:eastAsia="hr-HR"/>
        </w:rPr>
        <w:t xml:space="preserve"> and Photo of car crash test in China</w:t>
      </w:r>
    </w:p>
    <w:p w:rsidR="00E11931" w:rsidRDefault="00E11931" w:rsidP="00E11931">
      <w:pPr>
        <w:pStyle w:val="Subsection"/>
        <w:ind w:firstLine="0"/>
      </w:pPr>
      <w:r>
        <w:rPr>
          <w:rFonts w:eastAsiaTheme="minorEastAsia" w:hint="eastAsia"/>
          <w:lang w:eastAsia="zh-CN"/>
        </w:rPr>
        <w:lastRenderedPageBreak/>
        <w:t>3</w:t>
      </w:r>
      <w:r>
        <w:t xml:space="preserve">.2. </w:t>
      </w:r>
      <w:r w:rsidR="008A6C9F" w:rsidRPr="008A6C9F">
        <w:rPr>
          <w:rFonts w:hint="eastAsia"/>
        </w:rPr>
        <w:t>Comparison feasibility</w:t>
      </w:r>
    </w:p>
    <w:p w:rsidR="008A6C9F" w:rsidRPr="008A6C9F" w:rsidRDefault="008A6C9F" w:rsidP="008A6C9F">
      <w:pPr>
        <w:pStyle w:val="Text"/>
      </w:pPr>
      <w:r w:rsidRPr="008A6C9F">
        <w:rPr>
          <w:rFonts w:hint="eastAsia"/>
        </w:rPr>
        <w:t>It was found previously by PTB that different shock sensitivity of the same accelerometer under the same level of shock acceleration was obtained when it was exposed to the excitation of hammer-anvil device and Hopkinson bar device respectively. The sensitivity difference was about 4% at about 5000 m/s</w:t>
      </w:r>
      <w:r w:rsidRPr="003C7CBA">
        <w:rPr>
          <w:rFonts w:hint="eastAsia"/>
          <w:vertAlign w:val="superscript"/>
        </w:rPr>
        <w:t>2</w:t>
      </w:r>
      <w:r w:rsidRPr="008A6C9F">
        <w:rPr>
          <w:rFonts w:hint="eastAsia"/>
        </w:rPr>
        <w:t>. Figure 5 reveals the cause of this sensitivity difference. The excitation of rigid body motion, the impact from hammer-anvil or pneumatic projectile, falls into a narrow low frequency range at the spectrum while the excitation by Hopkinson bar covers a wider spectrum range from low to high frequency. The sensitivity magnitude frequency response of the accelerometer only has a narrow linear working range at low frequency. The nonlinearity effect plays an increasing role when the shock pulse duration decreases and therefore covers a wide frequency range, which finally results in obvious sensitivity difference by two different excitations.</w:t>
      </w:r>
    </w:p>
    <w:p w:rsidR="008A6C9F" w:rsidRDefault="008A6C9F" w:rsidP="008A6C9F">
      <w:pPr>
        <w:pStyle w:val="Text"/>
        <w:ind w:firstLine="0"/>
        <w:jc w:val="center"/>
        <w:textAlignment w:val="center"/>
        <w:rPr>
          <w:sz w:val="24"/>
          <w:lang w:eastAsia="zh-CN"/>
        </w:rPr>
      </w:pPr>
      <w:r>
        <w:rPr>
          <w:rFonts w:hint="eastAsia"/>
          <w:noProof/>
          <w:sz w:val="24"/>
          <w:lang w:val="en-US" w:eastAsia="zh-CN"/>
        </w:rPr>
        <w:drawing>
          <wp:inline distT="0" distB="0" distL="0" distR="0">
            <wp:extent cx="2929300" cy="1226863"/>
            <wp:effectExtent l="19050" t="0" r="440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cstate="print"/>
                    <a:srcRect/>
                    <a:stretch>
                      <a:fillRect/>
                    </a:stretch>
                  </pic:blipFill>
                  <pic:spPr bwMode="auto">
                    <a:xfrm>
                      <a:off x="0" y="0"/>
                      <a:ext cx="2940199" cy="1231428"/>
                    </a:xfrm>
                    <a:prstGeom prst="rect">
                      <a:avLst/>
                    </a:prstGeom>
                    <a:noFill/>
                    <a:ln w="9525">
                      <a:noFill/>
                      <a:miter lim="800000"/>
                      <a:headEnd/>
                      <a:tailEnd/>
                    </a:ln>
                  </pic:spPr>
                </pic:pic>
              </a:graphicData>
            </a:graphic>
          </wp:inline>
        </w:drawing>
      </w:r>
    </w:p>
    <w:p w:rsidR="008A6C9F" w:rsidRPr="008A6C9F" w:rsidRDefault="008A6C9F" w:rsidP="008A6C9F">
      <w:pPr>
        <w:jc w:val="center"/>
        <w:rPr>
          <w:rFonts w:ascii="Times New Roman" w:eastAsia="Times New Roman" w:hAnsi="Times New Roman" w:cs="Times New Roman"/>
          <w:color w:val="auto"/>
          <w:sz w:val="18"/>
          <w:szCs w:val="24"/>
          <w:lang w:val="en-GB" w:eastAsia="hr-HR"/>
        </w:rPr>
      </w:pPr>
      <w:r w:rsidRPr="008A6C9F">
        <w:rPr>
          <w:rFonts w:ascii="Times New Roman" w:eastAsia="Times New Roman" w:hAnsi="Times New Roman" w:cs="Times New Roman" w:hint="eastAsia"/>
          <w:color w:val="auto"/>
          <w:sz w:val="18"/>
          <w:szCs w:val="24"/>
          <w:lang w:val="en-GB" w:eastAsia="hr-HR"/>
        </w:rPr>
        <w:t>Fig. 5. Frequency responses of accelerometer, rigid body and Hopkinson bar</w:t>
      </w:r>
    </w:p>
    <w:p w:rsidR="008A6C9F" w:rsidRPr="008A6C9F" w:rsidRDefault="008A6C9F" w:rsidP="008A6C9F">
      <w:pPr>
        <w:pStyle w:val="Text"/>
      </w:pPr>
      <w:r w:rsidRPr="008A6C9F">
        <w:rPr>
          <w:rFonts w:hint="eastAsia"/>
        </w:rPr>
        <w:t xml:space="preserve">Therefore, pulse shape, pulse duration and acceleration level should be restricted for the feasibility of the pilot low intensity shock </w:t>
      </w:r>
      <w:r w:rsidRPr="008A6C9F">
        <w:t>comparison</w:t>
      </w:r>
      <w:r w:rsidRPr="008A6C9F">
        <w:rPr>
          <w:rFonts w:hint="eastAsia"/>
        </w:rPr>
        <w:t xml:space="preserve">. Hammer-anvil excitation and pneumatic projectile excitation can generate monopole pulse and fall into the same group of rigid body motion. Hopkinson bar excitation should be treated into a different group. </w:t>
      </w:r>
    </w:p>
    <w:p w:rsidR="008A6C9F" w:rsidRPr="008A6C9F" w:rsidRDefault="008A6C9F" w:rsidP="008A6C9F">
      <w:pPr>
        <w:pStyle w:val="Text"/>
      </w:pPr>
      <w:r w:rsidRPr="008A6C9F">
        <w:rPr>
          <w:rFonts w:hint="eastAsia"/>
        </w:rPr>
        <w:t xml:space="preserve">For the monopole group, participants </w:t>
      </w:r>
      <w:r w:rsidRPr="008A6C9F">
        <w:t xml:space="preserve">are supposed to measure at the following </w:t>
      </w:r>
      <w:r w:rsidRPr="008A6C9F">
        <w:rPr>
          <w:rFonts w:hint="eastAsia"/>
        </w:rPr>
        <w:t>acceleration level</w:t>
      </w:r>
      <w:r w:rsidRPr="008A6C9F">
        <w:t>s (all</w:t>
      </w:r>
      <w:r w:rsidRPr="008A6C9F">
        <w:rPr>
          <w:rFonts w:hint="eastAsia"/>
        </w:rPr>
        <w:t xml:space="preserve"> </w:t>
      </w:r>
      <w:r w:rsidRPr="008A6C9F">
        <w:t>values in m/s²)</w:t>
      </w:r>
      <w:r w:rsidRPr="008A6C9F">
        <w:rPr>
          <w:rFonts w:hint="eastAsia"/>
        </w:rPr>
        <w:t xml:space="preserve">: 500, 1000, 2000, 3000, 4000, </w:t>
      </w:r>
      <w:proofErr w:type="gramStart"/>
      <w:r w:rsidRPr="008A6C9F">
        <w:rPr>
          <w:rFonts w:hint="eastAsia"/>
        </w:rPr>
        <w:t>5000</w:t>
      </w:r>
      <w:proofErr w:type="gramEnd"/>
      <w:r w:rsidRPr="008A6C9F">
        <w:t>.</w:t>
      </w:r>
      <w:r w:rsidRPr="008A6C9F">
        <w:rPr>
          <w:rFonts w:hint="eastAsia"/>
        </w:rPr>
        <w:t xml:space="preserve"> A</w:t>
      </w:r>
      <w:r w:rsidRPr="008A6C9F">
        <w:t xml:space="preserve"> </w:t>
      </w:r>
      <w:r w:rsidRPr="008A6C9F">
        <w:rPr>
          <w:rFonts w:hint="eastAsia"/>
        </w:rPr>
        <w:t>series</w:t>
      </w:r>
      <w:r w:rsidRPr="008A6C9F">
        <w:t xml:space="preserve"> of </w:t>
      </w:r>
      <w:r w:rsidRPr="008A6C9F">
        <w:rPr>
          <w:rFonts w:hint="eastAsia"/>
        </w:rPr>
        <w:t>0.5</w:t>
      </w:r>
      <w:r w:rsidRPr="008A6C9F">
        <w:t xml:space="preserve"> ms</w:t>
      </w:r>
      <w:r w:rsidRPr="008A6C9F">
        <w:rPr>
          <w:rFonts w:hint="eastAsia"/>
        </w:rPr>
        <w:t>, 1 ms, 1.5 ms and</w:t>
      </w:r>
      <w:r w:rsidRPr="008A6C9F">
        <w:t xml:space="preserve"> </w:t>
      </w:r>
      <w:r w:rsidRPr="008A6C9F">
        <w:rPr>
          <w:rFonts w:hint="eastAsia"/>
        </w:rPr>
        <w:t>2</w:t>
      </w:r>
      <w:r w:rsidRPr="008A6C9F">
        <w:t xml:space="preserve"> ms</w:t>
      </w:r>
      <w:r w:rsidRPr="008A6C9F">
        <w:rPr>
          <w:rFonts w:hint="eastAsia"/>
        </w:rPr>
        <w:t xml:space="preserve"> of shock pulse are</w:t>
      </w:r>
      <w:r w:rsidRPr="008A6C9F">
        <w:t xml:space="preserve"> </w:t>
      </w:r>
      <w:r w:rsidRPr="008A6C9F">
        <w:rPr>
          <w:rFonts w:hint="eastAsia"/>
        </w:rPr>
        <w:t>recommended, with the reference of 2 ms at the acceleration of 1000 m/s²</w:t>
      </w:r>
      <w:r w:rsidRPr="008A6C9F">
        <w:t>.</w:t>
      </w:r>
    </w:p>
    <w:p w:rsidR="008A6C9F" w:rsidRPr="008A6C9F" w:rsidRDefault="008A6C9F" w:rsidP="008A6C9F">
      <w:pPr>
        <w:pStyle w:val="Text"/>
      </w:pPr>
      <w:r w:rsidRPr="008A6C9F">
        <w:rPr>
          <w:rFonts w:hint="eastAsia"/>
        </w:rPr>
        <w:t xml:space="preserve">For the dipole group, participants </w:t>
      </w:r>
      <w:r w:rsidRPr="008A6C9F">
        <w:t xml:space="preserve">are supposed to measure at </w:t>
      </w:r>
      <w:r w:rsidRPr="008A6C9F">
        <w:rPr>
          <w:rFonts w:hint="eastAsia"/>
        </w:rPr>
        <w:t>1000</w:t>
      </w:r>
      <w:r w:rsidRPr="008A6C9F">
        <w:t xml:space="preserve"> m/s².</w:t>
      </w:r>
      <w:r w:rsidRPr="008A6C9F">
        <w:rPr>
          <w:rFonts w:hint="eastAsia"/>
        </w:rPr>
        <w:t xml:space="preserve"> A</w:t>
      </w:r>
      <w:r w:rsidRPr="008A6C9F">
        <w:t xml:space="preserve"> </w:t>
      </w:r>
      <w:r w:rsidRPr="008A6C9F">
        <w:rPr>
          <w:rFonts w:hint="eastAsia"/>
        </w:rPr>
        <w:t>series</w:t>
      </w:r>
      <w:r w:rsidRPr="008A6C9F">
        <w:t xml:space="preserve"> of </w:t>
      </w:r>
      <w:r w:rsidRPr="008A6C9F">
        <w:rPr>
          <w:rFonts w:hint="eastAsia"/>
        </w:rPr>
        <w:t>0.03</w:t>
      </w:r>
      <w:r w:rsidRPr="008A6C9F">
        <w:t xml:space="preserve"> ms</w:t>
      </w:r>
      <w:r w:rsidRPr="008A6C9F">
        <w:rPr>
          <w:rFonts w:hint="eastAsia"/>
        </w:rPr>
        <w:t>, 0.05 ms, 0.07 ms, 0.10 ms, 0.15 ms and</w:t>
      </w:r>
      <w:r w:rsidRPr="008A6C9F">
        <w:t xml:space="preserve"> </w:t>
      </w:r>
      <w:r w:rsidRPr="008A6C9F">
        <w:rPr>
          <w:rFonts w:hint="eastAsia"/>
        </w:rPr>
        <w:t>0.20</w:t>
      </w:r>
      <w:r w:rsidRPr="008A6C9F">
        <w:t xml:space="preserve"> ms</w:t>
      </w:r>
      <w:r w:rsidRPr="008A6C9F">
        <w:rPr>
          <w:rFonts w:hint="eastAsia"/>
        </w:rPr>
        <w:t xml:space="preserve"> are</w:t>
      </w:r>
      <w:r w:rsidRPr="008A6C9F">
        <w:t xml:space="preserve"> </w:t>
      </w:r>
      <w:r w:rsidRPr="008A6C9F">
        <w:rPr>
          <w:rFonts w:hint="eastAsia"/>
        </w:rPr>
        <w:t>recommended, with the reference of 0.1 ms</w:t>
      </w:r>
    </w:p>
    <w:p w:rsidR="00E11931" w:rsidRDefault="00E11931" w:rsidP="00E11931">
      <w:pPr>
        <w:pStyle w:val="Subsection"/>
        <w:ind w:firstLine="0"/>
      </w:pPr>
      <w:r>
        <w:rPr>
          <w:rFonts w:eastAsiaTheme="minorEastAsia" w:hint="eastAsia"/>
          <w:lang w:eastAsia="zh-CN"/>
        </w:rPr>
        <w:t>3</w:t>
      </w:r>
      <w:r>
        <w:t xml:space="preserve">.3. </w:t>
      </w:r>
      <w:r w:rsidR="008A6C9F" w:rsidRPr="008A6C9F">
        <w:rPr>
          <w:rFonts w:hint="eastAsia"/>
        </w:rPr>
        <w:t>Comparison results</w:t>
      </w:r>
    </w:p>
    <w:p w:rsidR="008A6C9F" w:rsidRPr="008A6C9F" w:rsidRDefault="008A6C9F" w:rsidP="008A6C9F">
      <w:pPr>
        <w:pStyle w:val="Text"/>
      </w:pPr>
      <w:r w:rsidRPr="008A6C9F">
        <w:t>For the purpose of the comparison the pilot laboratory selected a</w:t>
      </w:r>
      <w:r w:rsidRPr="008A6C9F">
        <w:rPr>
          <w:rFonts w:hint="eastAsia"/>
        </w:rPr>
        <w:t>n</w:t>
      </w:r>
      <w:r w:rsidRPr="008A6C9F">
        <w:t xml:space="preserve"> </w:t>
      </w:r>
      <w:r w:rsidRPr="008A6C9F">
        <w:rPr>
          <w:rFonts w:hint="eastAsia"/>
        </w:rPr>
        <w:t>ENDEVCO 2270</w:t>
      </w:r>
      <w:r w:rsidRPr="008A6C9F">
        <w:t xml:space="preserve"> </w:t>
      </w:r>
      <w:r w:rsidRPr="008A6C9F">
        <w:rPr>
          <w:rFonts w:hint="eastAsia"/>
        </w:rPr>
        <w:t>(</w:t>
      </w:r>
      <w:r w:rsidRPr="008A6C9F">
        <w:t xml:space="preserve">SN: </w:t>
      </w:r>
      <w:r w:rsidRPr="008A6C9F">
        <w:rPr>
          <w:rFonts w:hint="eastAsia"/>
        </w:rPr>
        <w:t xml:space="preserve">10466) with a </w:t>
      </w:r>
      <w:proofErr w:type="spellStart"/>
      <w:r w:rsidRPr="008A6C9F">
        <w:t>Brüel</w:t>
      </w:r>
      <w:proofErr w:type="spellEnd"/>
      <w:r w:rsidRPr="008A6C9F">
        <w:t xml:space="preserve"> &amp; </w:t>
      </w:r>
      <w:proofErr w:type="spellStart"/>
      <w:r w:rsidRPr="008A6C9F">
        <w:t>Kjær</w:t>
      </w:r>
      <w:proofErr w:type="spellEnd"/>
      <w:r w:rsidRPr="008A6C9F">
        <w:rPr>
          <w:rFonts w:hint="eastAsia"/>
        </w:rPr>
        <w:t xml:space="preserve"> charge amplifier 2692 (</w:t>
      </w:r>
      <w:r w:rsidRPr="008A6C9F">
        <w:t xml:space="preserve">SN: </w:t>
      </w:r>
      <w:r w:rsidRPr="008A6C9F">
        <w:rPr>
          <w:rFonts w:hint="eastAsia"/>
        </w:rPr>
        <w:t>2752215) as</w:t>
      </w:r>
      <w:r w:rsidRPr="008A6C9F">
        <w:t xml:space="preserve"> </w:t>
      </w:r>
      <w:r w:rsidRPr="008A6C9F">
        <w:rPr>
          <w:rFonts w:hint="eastAsia"/>
        </w:rPr>
        <w:t>A</w:t>
      </w:r>
      <w:r w:rsidRPr="008A6C9F">
        <w:t xml:space="preserve">ccelerometer </w:t>
      </w:r>
      <w:r w:rsidRPr="008A6C9F">
        <w:rPr>
          <w:rFonts w:hint="eastAsia"/>
        </w:rPr>
        <w:t xml:space="preserve">Chain </w:t>
      </w:r>
      <w:r w:rsidRPr="008A6C9F">
        <w:t>of which monitoring data for 6 months were available and of which data were not included in any published international cooperation work.</w:t>
      </w:r>
      <w:r w:rsidRPr="008A6C9F">
        <w:rPr>
          <w:rFonts w:hint="eastAsia"/>
        </w:rPr>
        <w:t xml:space="preserve"> For this comparison, NIM used its hammer-anvil calibration system and Hopkinson bar calibration system; ITRI used its hammer-anvil calibration system; NIMT used its Hopkinson bar calibration system; and SPEKTRA used its pneumatic projectile calibration system and Hopkinson bar calibration system. In Table 1 and 2, the calibration results under monopole and dipole excitations are presented.</w:t>
      </w:r>
    </w:p>
    <w:p w:rsidR="00915A9B" w:rsidRDefault="00915A9B" w:rsidP="008A6C9F">
      <w:pPr>
        <w:pStyle w:val="Table"/>
        <w:rPr>
          <w:rFonts w:eastAsiaTheme="minorEastAsia"/>
        </w:rPr>
        <w:sectPr w:rsidR="00915A9B" w:rsidSect="000D7AAD">
          <w:type w:val="continuous"/>
          <w:pgSz w:w="11906" w:h="16838"/>
          <w:pgMar w:top="1418" w:right="907" w:bottom="1418" w:left="907" w:header="709" w:footer="709" w:gutter="0"/>
          <w:cols w:num="2" w:space="340"/>
          <w:docGrid w:linePitch="360"/>
        </w:sectPr>
      </w:pPr>
    </w:p>
    <w:p w:rsidR="008A6C9F" w:rsidRPr="008A6C9F" w:rsidRDefault="008A6C9F" w:rsidP="008A6C9F">
      <w:pPr>
        <w:pStyle w:val="Table"/>
        <w:rPr>
          <w:rFonts w:eastAsiaTheme="minorEastAsia"/>
        </w:rPr>
      </w:pPr>
      <w:r w:rsidRPr="008A6C9F">
        <w:rPr>
          <w:rFonts w:eastAsiaTheme="minorEastAsia" w:hint="eastAsia"/>
        </w:rPr>
        <w:lastRenderedPageBreak/>
        <w:t>Table 1 C</w:t>
      </w:r>
      <w:r w:rsidRPr="008A6C9F">
        <w:rPr>
          <w:rFonts w:eastAsiaTheme="minorEastAsia"/>
        </w:rPr>
        <w:t>alibration results of the participants for voltage sensitivities</w:t>
      </w:r>
      <w:r w:rsidRPr="008A6C9F">
        <w:rPr>
          <w:rFonts w:eastAsiaTheme="minorEastAsia" w:hint="eastAsia"/>
        </w:rPr>
        <w:t xml:space="preserve"> </w:t>
      </w:r>
      <w:proofErr w:type="spellStart"/>
      <w:r w:rsidRPr="008A6C9F">
        <w:rPr>
          <w:rFonts w:eastAsiaTheme="minorEastAsia"/>
        </w:rPr>
        <w:t>Sva</w:t>
      </w:r>
      <w:proofErr w:type="spellEnd"/>
      <w:r w:rsidRPr="008A6C9F">
        <w:rPr>
          <w:rFonts w:eastAsiaTheme="minorEastAsia"/>
        </w:rPr>
        <w:t xml:space="preserve"> </w:t>
      </w:r>
      <w:r w:rsidRPr="008A6C9F">
        <w:rPr>
          <w:rFonts w:eastAsiaTheme="minorEastAsia" w:hint="eastAsia"/>
        </w:rPr>
        <w:t>under monopole shock excitation</w:t>
      </w:r>
      <w:r w:rsidRPr="008A6C9F">
        <w:rPr>
          <w:rFonts w:eastAsiaTheme="minorEastAsia"/>
        </w:rPr>
        <w:t xml:space="preserve"> with expanded relative uncertainty </w:t>
      </w:r>
      <w:proofErr w:type="spellStart"/>
      <w:r w:rsidRPr="00B339C8">
        <w:rPr>
          <w:rFonts w:eastAsiaTheme="minorEastAsia"/>
          <w:i/>
        </w:rPr>
        <w:t>Uc</w:t>
      </w:r>
      <w:proofErr w:type="spellEnd"/>
      <w:r w:rsidRPr="008A6C9F">
        <w:rPr>
          <w:rFonts w:eastAsiaTheme="minorEastAsia"/>
        </w:rPr>
        <w:t xml:space="preserve"> (</w:t>
      </w:r>
      <w:r w:rsidRPr="00B339C8">
        <w:rPr>
          <w:rFonts w:eastAsiaTheme="minorEastAsia"/>
          <w:i/>
        </w:rPr>
        <w:t>k</w:t>
      </w:r>
      <w:r w:rsidRPr="008A6C9F">
        <w:rPr>
          <w:rFonts w:eastAsiaTheme="minorEastAsia"/>
        </w:rPr>
        <w:t xml:space="preserve"> = 2)</w:t>
      </w:r>
      <w:r w:rsidRPr="008A6C9F">
        <w:rPr>
          <w:rFonts w:eastAsiaTheme="minorEastAsia" w:hint="eastAsia"/>
        </w:rPr>
        <w:t>.</w:t>
      </w:r>
    </w:p>
    <w:tbl>
      <w:tblPr>
        <w:tblW w:w="6448" w:type="dxa"/>
        <w:jc w:val="center"/>
        <w:tblInd w:w="4665" w:type="dxa"/>
        <w:tblBorders>
          <w:top w:val="single" w:sz="4" w:space="0" w:color="auto"/>
          <w:bottom w:val="single" w:sz="4" w:space="0" w:color="auto"/>
        </w:tblBorders>
        <w:tblLook w:val="0000"/>
      </w:tblPr>
      <w:tblGrid>
        <w:gridCol w:w="1136"/>
        <w:gridCol w:w="816"/>
        <w:gridCol w:w="1096"/>
        <w:gridCol w:w="486"/>
        <w:gridCol w:w="1096"/>
        <w:gridCol w:w="486"/>
        <w:gridCol w:w="1096"/>
        <w:gridCol w:w="486"/>
      </w:tblGrid>
      <w:tr w:rsidR="008A6C9F" w:rsidRPr="00915A9B" w:rsidTr="00915A9B">
        <w:trPr>
          <w:trHeight w:val="334"/>
          <w:jc w:val="center"/>
        </w:trPr>
        <w:tc>
          <w:tcPr>
            <w:tcW w:w="1136" w:type="dxa"/>
            <w:vMerge w:val="restart"/>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color w:val="000000" w:themeColor="text1"/>
                <w:sz w:val="18"/>
                <w:szCs w:val="18"/>
              </w:rPr>
              <w:t>Acceleration</w:t>
            </w:r>
          </w:p>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color w:val="000000" w:themeColor="text1"/>
                <w:sz w:val="18"/>
                <w:szCs w:val="18"/>
                <w:lang w:eastAsia="zh-CN"/>
              </w:rPr>
              <w:t>(</w:t>
            </w:r>
            <w:r w:rsidRPr="00915A9B">
              <w:rPr>
                <w:rFonts w:ascii="Times New Roman" w:hAnsi="Times New Roman" w:cs="Times New Roman"/>
                <w:color w:val="000000" w:themeColor="text1"/>
                <w:sz w:val="18"/>
                <w:szCs w:val="18"/>
              </w:rPr>
              <w:t>m/s²</w:t>
            </w:r>
            <w:r w:rsidRPr="00915A9B">
              <w:rPr>
                <w:rFonts w:ascii="Times New Roman" w:hAnsi="Times New Roman" w:cs="Times New Roman"/>
                <w:color w:val="000000" w:themeColor="text1"/>
                <w:sz w:val="18"/>
                <w:szCs w:val="18"/>
                <w:lang w:eastAsia="zh-CN"/>
              </w:rPr>
              <w:t>)</w:t>
            </w:r>
          </w:p>
        </w:tc>
        <w:tc>
          <w:tcPr>
            <w:tcW w:w="816" w:type="dxa"/>
            <w:vMerge w:val="restart"/>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color w:val="000000" w:themeColor="text1"/>
                <w:sz w:val="18"/>
                <w:szCs w:val="18"/>
              </w:rPr>
              <w:t xml:space="preserve">Pulse duration </w:t>
            </w:r>
          </w:p>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color w:val="000000" w:themeColor="text1"/>
                <w:sz w:val="18"/>
                <w:szCs w:val="18"/>
                <w:lang w:eastAsia="zh-CN"/>
              </w:rPr>
              <w:t>(</w:t>
            </w:r>
            <w:r w:rsidRPr="00915A9B">
              <w:rPr>
                <w:rFonts w:ascii="Times New Roman" w:hAnsi="Times New Roman" w:cs="Times New Roman"/>
                <w:color w:val="000000" w:themeColor="text1"/>
                <w:sz w:val="18"/>
                <w:szCs w:val="18"/>
              </w:rPr>
              <w:t>ms</w:t>
            </w:r>
            <w:r w:rsidRPr="00915A9B">
              <w:rPr>
                <w:rFonts w:ascii="Times New Roman" w:hAnsi="Times New Roman" w:cs="Times New Roman"/>
                <w:color w:val="000000" w:themeColor="text1"/>
                <w:sz w:val="18"/>
                <w:szCs w:val="18"/>
                <w:lang w:eastAsia="zh-CN"/>
              </w:rPr>
              <w:t>)</w:t>
            </w:r>
          </w:p>
        </w:tc>
        <w:tc>
          <w:tcPr>
            <w:tcW w:w="1582" w:type="dxa"/>
            <w:gridSpan w:val="2"/>
            <w:tcBorders>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NIM</w:t>
            </w:r>
          </w:p>
        </w:tc>
        <w:tc>
          <w:tcPr>
            <w:tcW w:w="1582" w:type="dxa"/>
            <w:gridSpan w:val="2"/>
            <w:tcBorders>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color w:val="000000" w:themeColor="text1"/>
                <w:sz w:val="18"/>
                <w:szCs w:val="18"/>
                <w:lang w:eastAsia="zh-CN"/>
              </w:rPr>
              <w:t>ITRI</w:t>
            </w:r>
          </w:p>
        </w:tc>
        <w:tc>
          <w:tcPr>
            <w:tcW w:w="1332" w:type="dxa"/>
            <w:gridSpan w:val="2"/>
            <w:tcBorders>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SPEKTRA</w:t>
            </w:r>
          </w:p>
        </w:tc>
      </w:tr>
      <w:tr w:rsidR="008A6C9F" w:rsidRPr="00915A9B" w:rsidTr="00B52AA1">
        <w:trPr>
          <w:trHeight w:val="405"/>
          <w:jc w:val="center"/>
        </w:trPr>
        <w:tc>
          <w:tcPr>
            <w:tcW w:w="1136" w:type="dxa"/>
            <w:vMerge/>
            <w:tcBorders>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rPr>
            </w:pPr>
          </w:p>
        </w:tc>
        <w:tc>
          <w:tcPr>
            <w:tcW w:w="816" w:type="dxa"/>
            <w:vMerge/>
            <w:tcBorders>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rPr>
            </w:pPr>
          </w:p>
        </w:tc>
        <w:tc>
          <w:tcPr>
            <w:tcW w:w="1096" w:type="dxa"/>
            <w:tcBorders>
              <w:top w:val="single" w:sz="4" w:space="0" w:color="auto"/>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i/>
                <w:color w:val="000000" w:themeColor="text1"/>
                <w:sz w:val="18"/>
                <w:szCs w:val="18"/>
              </w:rPr>
              <w:t>S</w:t>
            </w:r>
            <w:r w:rsidRPr="00915A9B">
              <w:rPr>
                <w:rFonts w:ascii="Times New Roman" w:hAnsi="Times New Roman" w:cs="Times New Roman"/>
                <w:i/>
                <w:color w:val="000000" w:themeColor="text1"/>
                <w:sz w:val="18"/>
                <w:szCs w:val="18"/>
                <w:vertAlign w:val="subscript"/>
              </w:rPr>
              <w:t>va</w:t>
            </w:r>
            <w:r w:rsidRPr="00915A9B">
              <w:rPr>
                <w:rFonts w:ascii="Times New Roman" w:hAnsi="Times New Roman" w:cs="Times New Roman"/>
                <w:color w:val="000000" w:themeColor="text1"/>
                <w:sz w:val="18"/>
                <w:szCs w:val="18"/>
              </w:rPr>
              <w:t xml:space="preserve"> </w:t>
            </w:r>
            <w:r w:rsidRPr="00915A9B">
              <w:rPr>
                <w:rFonts w:ascii="Times New Roman" w:hAnsi="Times New Roman" w:cs="Times New Roman"/>
                <w:color w:val="000000" w:themeColor="text1"/>
                <w:sz w:val="18"/>
                <w:szCs w:val="18"/>
                <w:lang w:eastAsia="zh-CN"/>
              </w:rPr>
              <w:t>(</w:t>
            </w:r>
            <w:r w:rsidRPr="00915A9B">
              <w:rPr>
                <w:rFonts w:ascii="Times New Roman" w:hAnsi="Times New Roman" w:cs="Times New Roman"/>
                <w:color w:val="000000" w:themeColor="text1"/>
                <w:sz w:val="18"/>
                <w:szCs w:val="18"/>
              </w:rPr>
              <w:t>mV/(m/s</w:t>
            </w:r>
            <w:r w:rsidRPr="00915A9B">
              <w:rPr>
                <w:rFonts w:ascii="Times New Roman" w:hAnsi="Times New Roman" w:cs="Times New Roman"/>
                <w:color w:val="000000" w:themeColor="text1"/>
                <w:sz w:val="18"/>
                <w:szCs w:val="18"/>
                <w:vertAlign w:val="superscript"/>
              </w:rPr>
              <w:t>2</w:t>
            </w:r>
            <w:r w:rsidRPr="00915A9B">
              <w:rPr>
                <w:rFonts w:ascii="Times New Roman" w:hAnsi="Times New Roman" w:cs="Times New Roman"/>
                <w:color w:val="000000" w:themeColor="text1"/>
                <w:sz w:val="18"/>
                <w:szCs w:val="18"/>
              </w:rPr>
              <w:t>)</w:t>
            </w:r>
            <w:r w:rsidRPr="00915A9B">
              <w:rPr>
                <w:rFonts w:ascii="Times New Roman" w:hAnsi="Times New Roman" w:cs="Times New Roman"/>
                <w:color w:val="000000" w:themeColor="text1"/>
                <w:sz w:val="18"/>
                <w:szCs w:val="18"/>
                <w:lang w:eastAsia="zh-CN"/>
              </w:rPr>
              <w:t>)</w:t>
            </w:r>
          </w:p>
        </w:tc>
        <w:tc>
          <w:tcPr>
            <w:tcW w:w="486" w:type="dxa"/>
            <w:tcBorders>
              <w:top w:val="single" w:sz="4" w:space="0" w:color="auto"/>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i/>
                <w:color w:val="000000" w:themeColor="text1"/>
                <w:sz w:val="18"/>
                <w:szCs w:val="18"/>
              </w:rPr>
              <w:t>U</w:t>
            </w:r>
            <w:r w:rsidRPr="00915A9B">
              <w:rPr>
                <w:rFonts w:ascii="Times New Roman" w:hAnsi="Times New Roman" w:cs="Times New Roman"/>
                <w:i/>
                <w:color w:val="000000" w:themeColor="text1"/>
                <w:sz w:val="18"/>
                <w:szCs w:val="18"/>
                <w:vertAlign w:val="subscript"/>
              </w:rPr>
              <w:t>c</w:t>
            </w:r>
            <w:r w:rsidRPr="00915A9B">
              <w:rPr>
                <w:rFonts w:ascii="Times New Roman" w:hAnsi="Times New Roman" w:cs="Times New Roman"/>
                <w:i/>
                <w:color w:val="000000" w:themeColor="text1"/>
                <w:sz w:val="18"/>
                <w:szCs w:val="18"/>
                <w:vertAlign w:val="subscript"/>
                <w:lang w:eastAsia="zh-CN"/>
              </w:rPr>
              <w:t xml:space="preserve"> </w:t>
            </w:r>
            <w:r w:rsidRPr="00915A9B">
              <w:rPr>
                <w:rFonts w:ascii="Times New Roman" w:hAnsi="Times New Roman" w:cs="Times New Roman"/>
                <w:color w:val="000000" w:themeColor="text1"/>
                <w:sz w:val="18"/>
                <w:szCs w:val="18"/>
                <w:lang w:eastAsia="zh-CN"/>
              </w:rPr>
              <w:t>(</w:t>
            </w:r>
            <w:r w:rsidRPr="00915A9B">
              <w:rPr>
                <w:rFonts w:ascii="Times New Roman" w:hAnsi="Times New Roman" w:cs="Times New Roman"/>
                <w:color w:val="000000" w:themeColor="text1"/>
                <w:sz w:val="18"/>
                <w:szCs w:val="18"/>
              </w:rPr>
              <w:t>%</w:t>
            </w:r>
            <w:r w:rsidRPr="00915A9B">
              <w:rPr>
                <w:rFonts w:ascii="Times New Roman" w:hAnsi="Times New Roman" w:cs="Times New Roman"/>
                <w:color w:val="000000" w:themeColor="text1"/>
                <w:sz w:val="18"/>
                <w:szCs w:val="18"/>
                <w:lang w:eastAsia="zh-CN"/>
              </w:rPr>
              <w:t>)</w:t>
            </w:r>
          </w:p>
        </w:tc>
        <w:tc>
          <w:tcPr>
            <w:tcW w:w="1096" w:type="dxa"/>
            <w:tcBorders>
              <w:top w:val="single" w:sz="4" w:space="0" w:color="auto"/>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i/>
                <w:color w:val="000000" w:themeColor="text1"/>
                <w:sz w:val="18"/>
                <w:szCs w:val="18"/>
              </w:rPr>
              <w:t>S</w:t>
            </w:r>
            <w:r w:rsidRPr="00915A9B">
              <w:rPr>
                <w:rFonts w:ascii="Times New Roman" w:hAnsi="Times New Roman" w:cs="Times New Roman"/>
                <w:i/>
                <w:color w:val="000000" w:themeColor="text1"/>
                <w:sz w:val="18"/>
                <w:szCs w:val="18"/>
                <w:vertAlign w:val="subscript"/>
              </w:rPr>
              <w:t>va</w:t>
            </w:r>
            <w:r w:rsidRPr="00915A9B">
              <w:rPr>
                <w:rFonts w:ascii="Times New Roman" w:hAnsi="Times New Roman" w:cs="Times New Roman"/>
                <w:color w:val="000000" w:themeColor="text1"/>
                <w:sz w:val="18"/>
                <w:szCs w:val="18"/>
              </w:rPr>
              <w:t xml:space="preserve"> </w:t>
            </w:r>
            <w:r w:rsidRPr="00915A9B">
              <w:rPr>
                <w:rFonts w:ascii="Times New Roman" w:hAnsi="Times New Roman" w:cs="Times New Roman"/>
                <w:color w:val="000000" w:themeColor="text1"/>
                <w:sz w:val="18"/>
                <w:szCs w:val="18"/>
                <w:lang w:eastAsia="zh-CN"/>
              </w:rPr>
              <w:t>(</w:t>
            </w:r>
            <w:r w:rsidRPr="00915A9B">
              <w:rPr>
                <w:rFonts w:ascii="Times New Roman" w:hAnsi="Times New Roman" w:cs="Times New Roman"/>
                <w:color w:val="000000" w:themeColor="text1"/>
                <w:sz w:val="18"/>
                <w:szCs w:val="18"/>
              </w:rPr>
              <w:t>mV/(m/s</w:t>
            </w:r>
            <w:r w:rsidRPr="00915A9B">
              <w:rPr>
                <w:rFonts w:ascii="Times New Roman" w:hAnsi="Times New Roman" w:cs="Times New Roman"/>
                <w:color w:val="000000" w:themeColor="text1"/>
                <w:sz w:val="18"/>
                <w:szCs w:val="18"/>
                <w:vertAlign w:val="superscript"/>
              </w:rPr>
              <w:t>2</w:t>
            </w:r>
            <w:r w:rsidRPr="00915A9B">
              <w:rPr>
                <w:rFonts w:ascii="Times New Roman" w:hAnsi="Times New Roman" w:cs="Times New Roman"/>
                <w:color w:val="000000" w:themeColor="text1"/>
                <w:sz w:val="18"/>
                <w:szCs w:val="18"/>
              </w:rPr>
              <w:t>)</w:t>
            </w:r>
            <w:r w:rsidRPr="00915A9B">
              <w:rPr>
                <w:rFonts w:ascii="Times New Roman" w:hAnsi="Times New Roman" w:cs="Times New Roman"/>
                <w:color w:val="000000" w:themeColor="text1"/>
                <w:sz w:val="18"/>
                <w:szCs w:val="18"/>
                <w:lang w:eastAsia="zh-CN"/>
              </w:rPr>
              <w:t>)</w:t>
            </w:r>
          </w:p>
        </w:tc>
        <w:tc>
          <w:tcPr>
            <w:tcW w:w="486" w:type="dxa"/>
            <w:tcBorders>
              <w:top w:val="single" w:sz="4" w:space="0" w:color="auto"/>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i/>
                <w:color w:val="000000" w:themeColor="text1"/>
                <w:sz w:val="18"/>
                <w:szCs w:val="18"/>
              </w:rPr>
              <w:t>U</w:t>
            </w:r>
            <w:r w:rsidRPr="00915A9B">
              <w:rPr>
                <w:rFonts w:ascii="Times New Roman" w:hAnsi="Times New Roman" w:cs="Times New Roman"/>
                <w:i/>
                <w:color w:val="000000" w:themeColor="text1"/>
                <w:sz w:val="18"/>
                <w:szCs w:val="18"/>
                <w:vertAlign w:val="subscript"/>
              </w:rPr>
              <w:t>c</w:t>
            </w:r>
            <w:r w:rsidRPr="00915A9B">
              <w:rPr>
                <w:rFonts w:ascii="Times New Roman" w:hAnsi="Times New Roman" w:cs="Times New Roman"/>
                <w:i/>
                <w:color w:val="000000" w:themeColor="text1"/>
                <w:sz w:val="18"/>
                <w:szCs w:val="18"/>
                <w:vertAlign w:val="subscript"/>
                <w:lang w:eastAsia="zh-CN"/>
              </w:rPr>
              <w:t xml:space="preserve"> </w:t>
            </w:r>
            <w:r w:rsidRPr="00915A9B">
              <w:rPr>
                <w:rFonts w:ascii="Times New Roman" w:hAnsi="Times New Roman" w:cs="Times New Roman"/>
                <w:color w:val="000000" w:themeColor="text1"/>
                <w:sz w:val="18"/>
                <w:szCs w:val="18"/>
                <w:lang w:eastAsia="zh-CN"/>
              </w:rPr>
              <w:t>(</w:t>
            </w:r>
            <w:r w:rsidRPr="00915A9B">
              <w:rPr>
                <w:rFonts w:ascii="Times New Roman" w:hAnsi="Times New Roman" w:cs="Times New Roman"/>
                <w:color w:val="000000" w:themeColor="text1"/>
                <w:sz w:val="18"/>
                <w:szCs w:val="18"/>
              </w:rPr>
              <w:t>%</w:t>
            </w:r>
            <w:r w:rsidRPr="00915A9B">
              <w:rPr>
                <w:rFonts w:ascii="Times New Roman" w:hAnsi="Times New Roman" w:cs="Times New Roman"/>
                <w:color w:val="000000" w:themeColor="text1"/>
                <w:sz w:val="18"/>
                <w:szCs w:val="18"/>
                <w:lang w:eastAsia="zh-CN"/>
              </w:rPr>
              <w:t>)</w:t>
            </w:r>
          </w:p>
        </w:tc>
        <w:tc>
          <w:tcPr>
            <w:tcW w:w="1096" w:type="dxa"/>
            <w:tcBorders>
              <w:top w:val="single" w:sz="4" w:space="0" w:color="auto"/>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i/>
                <w:color w:val="000000" w:themeColor="text1"/>
                <w:sz w:val="18"/>
                <w:szCs w:val="18"/>
              </w:rPr>
              <w:t>S</w:t>
            </w:r>
            <w:r w:rsidRPr="00915A9B">
              <w:rPr>
                <w:rFonts w:ascii="Times New Roman" w:hAnsi="Times New Roman" w:cs="Times New Roman"/>
                <w:i/>
                <w:color w:val="000000" w:themeColor="text1"/>
                <w:sz w:val="18"/>
                <w:szCs w:val="18"/>
                <w:vertAlign w:val="subscript"/>
              </w:rPr>
              <w:t>va</w:t>
            </w:r>
            <w:r w:rsidRPr="00915A9B">
              <w:rPr>
                <w:rFonts w:ascii="Times New Roman" w:hAnsi="Times New Roman" w:cs="Times New Roman"/>
                <w:color w:val="000000" w:themeColor="text1"/>
                <w:sz w:val="18"/>
                <w:szCs w:val="18"/>
              </w:rPr>
              <w:t xml:space="preserve"> </w:t>
            </w:r>
            <w:r w:rsidRPr="00915A9B">
              <w:rPr>
                <w:rFonts w:ascii="Times New Roman" w:hAnsi="Times New Roman" w:cs="Times New Roman"/>
                <w:color w:val="000000" w:themeColor="text1"/>
                <w:sz w:val="18"/>
                <w:szCs w:val="18"/>
                <w:lang w:eastAsia="zh-CN"/>
              </w:rPr>
              <w:t>(</w:t>
            </w:r>
            <w:r w:rsidRPr="00915A9B">
              <w:rPr>
                <w:rFonts w:ascii="Times New Roman" w:hAnsi="Times New Roman" w:cs="Times New Roman"/>
                <w:color w:val="000000" w:themeColor="text1"/>
                <w:sz w:val="18"/>
                <w:szCs w:val="18"/>
              </w:rPr>
              <w:t>mV/(m/s</w:t>
            </w:r>
            <w:r w:rsidRPr="00915A9B">
              <w:rPr>
                <w:rFonts w:ascii="Times New Roman" w:hAnsi="Times New Roman" w:cs="Times New Roman"/>
                <w:color w:val="000000" w:themeColor="text1"/>
                <w:sz w:val="18"/>
                <w:szCs w:val="18"/>
                <w:vertAlign w:val="superscript"/>
              </w:rPr>
              <w:t>2</w:t>
            </w:r>
            <w:r w:rsidRPr="00915A9B">
              <w:rPr>
                <w:rFonts w:ascii="Times New Roman" w:hAnsi="Times New Roman" w:cs="Times New Roman"/>
                <w:color w:val="000000" w:themeColor="text1"/>
                <w:sz w:val="18"/>
                <w:szCs w:val="18"/>
              </w:rPr>
              <w:t>)</w:t>
            </w:r>
            <w:r w:rsidRPr="00915A9B">
              <w:rPr>
                <w:rFonts w:ascii="Times New Roman" w:hAnsi="Times New Roman" w:cs="Times New Roman"/>
                <w:color w:val="000000" w:themeColor="text1"/>
                <w:sz w:val="18"/>
                <w:szCs w:val="18"/>
                <w:lang w:eastAsia="zh-CN"/>
              </w:rPr>
              <w:t>)</w:t>
            </w:r>
          </w:p>
        </w:tc>
        <w:tc>
          <w:tcPr>
            <w:tcW w:w="236" w:type="dxa"/>
            <w:tcBorders>
              <w:top w:val="single" w:sz="4" w:space="0" w:color="auto"/>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i/>
                <w:color w:val="000000" w:themeColor="text1"/>
                <w:sz w:val="18"/>
                <w:szCs w:val="18"/>
              </w:rPr>
              <w:t>U</w:t>
            </w:r>
            <w:r w:rsidRPr="00915A9B">
              <w:rPr>
                <w:rFonts w:ascii="Times New Roman" w:hAnsi="Times New Roman" w:cs="Times New Roman"/>
                <w:i/>
                <w:color w:val="000000" w:themeColor="text1"/>
                <w:sz w:val="18"/>
                <w:szCs w:val="18"/>
                <w:vertAlign w:val="subscript"/>
              </w:rPr>
              <w:t>c</w:t>
            </w:r>
            <w:r w:rsidRPr="00915A9B">
              <w:rPr>
                <w:rFonts w:ascii="Times New Roman" w:hAnsi="Times New Roman" w:cs="Times New Roman"/>
                <w:i/>
                <w:color w:val="000000" w:themeColor="text1"/>
                <w:sz w:val="18"/>
                <w:szCs w:val="18"/>
                <w:vertAlign w:val="subscript"/>
                <w:lang w:eastAsia="zh-CN"/>
              </w:rPr>
              <w:t xml:space="preserve"> </w:t>
            </w:r>
            <w:r w:rsidRPr="00915A9B">
              <w:rPr>
                <w:rFonts w:ascii="Times New Roman" w:hAnsi="Times New Roman" w:cs="Times New Roman"/>
                <w:color w:val="000000" w:themeColor="text1"/>
                <w:sz w:val="18"/>
                <w:szCs w:val="18"/>
                <w:lang w:eastAsia="zh-CN"/>
              </w:rPr>
              <w:t>(</w:t>
            </w:r>
            <w:r w:rsidRPr="00915A9B">
              <w:rPr>
                <w:rFonts w:ascii="Times New Roman" w:hAnsi="Times New Roman" w:cs="Times New Roman"/>
                <w:color w:val="000000" w:themeColor="text1"/>
                <w:sz w:val="18"/>
                <w:szCs w:val="18"/>
              </w:rPr>
              <w:t>%</w:t>
            </w:r>
            <w:r w:rsidRPr="00915A9B">
              <w:rPr>
                <w:rFonts w:ascii="Times New Roman" w:hAnsi="Times New Roman" w:cs="Times New Roman"/>
                <w:color w:val="000000" w:themeColor="text1"/>
                <w:sz w:val="18"/>
                <w:szCs w:val="18"/>
                <w:lang w:eastAsia="zh-CN"/>
              </w:rPr>
              <w:t>)</w:t>
            </w:r>
          </w:p>
        </w:tc>
      </w:tr>
      <w:tr w:rsidR="008A6C9F" w:rsidRPr="00915A9B" w:rsidTr="00B52AA1">
        <w:trPr>
          <w:trHeight w:val="340"/>
          <w:jc w:val="center"/>
        </w:trPr>
        <w:tc>
          <w:tcPr>
            <w:tcW w:w="1136" w:type="dxa"/>
            <w:tcBorders>
              <w:top w:val="single" w:sz="4" w:space="0" w:color="auto"/>
              <w:bottom w:val="nil"/>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500</w:t>
            </w:r>
          </w:p>
        </w:tc>
        <w:tc>
          <w:tcPr>
            <w:tcW w:w="816" w:type="dxa"/>
            <w:tcBorders>
              <w:top w:val="single" w:sz="4" w:space="0" w:color="auto"/>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3.0</w:t>
            </w:r>
          </w:p>
        </w:tc>
        <w:tc>
          <w:tcPr>
            <w:tcW w:w="1096" w:type="dxa"/>
            <w:tcBorders>
              <w:top w:val="single" w:sz="4" w:space="0" w:color="auto"/>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0.1967</w:t>
            </w:r>
          </w:p>
        </w:tc>
        <w:tc>
          <w:tcPr>
            <w:tcW w:w="486" w:type="dxa"/>
            <w:tcBorders>
              <w:top w:val="single" w:sz="4" w:space="0" w:color="auto"/>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0.5</w:t>
            </w:r>
          </w:p>
        </w:tc>
        <w:tc>
          <w:tcPr>
            <w:tcW w:w="1096" w:type="dxa"/>
            <w:tcBorders>
              <w:top w:val="single" w:sz="4" w:space="0" w:color="auto"/>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0.1966</w:t>
            </w:r>
          </w:p>
        </w:tc>
        <w:tc>
          <w:tcPr>
            <w:tcW w:w="486" w:type="dxa"/>
            <w:tcBorders>
              <w:top w:val="single" w:sz="4" w:space="0" w:color="auto"/>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1.0</w:t>
            </w:r>
          </w:p>
        </w:tc>
        <w:tc>
          <w:tcPr>
            <w:tcW w:w="1096" w:type="dxa"/>
            <w:tcBorders>
              <w:top w:val="single" w:sz="4" w:space="0" w:color="auto"/>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0.19727</w:t>
            </w:r>
          </w:p>
        </w:tc>
        <w:tc>
          <w:tcPr>
            <w:tcW w:w="236" w:type="dxa"/>
            <w:tcBorders>
              <w:top w:val="single" w:sz="4" w:space="0" w:color="auto"/>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0.5</w:t>
            </w:r>
          </w:p>
        </w:tc>
      </w:tr>
      <w:tr w:rsidR="008A6C9F" w:rsidRPr="00915A9B" w:rsidTr="00B52AA1">
        <w:trPr>
          <w:trHeight w:val="340"/>
          <w:jc w:val="center"/>
        </w:trPr>
        <w:tc>
          <w:tcPr>
            <w:tcW w:w="1136" w:type="dxa"/>
            <w:tcBorders>
              <w:top w:val="nil"/>
              <w:bottom w:val="nil"/>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1000</w:t>
            </w:r>
          </w:p>
        </w:tc>
        <w:tc>
          <w:tcPr>
            <w:tcW w:w="81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2.0</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0.1968</w:t>
            </w:r>
          </w:p>
        </w:tc>
        <w:tc>
          <w:tcPr>
            <w:tcW w:w="48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0.5</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0.1970</w:t>
            </w:r>
          </w:p>
        </w:tc>
        <w:tc>
          <w:tcPr>
            <w:tcW w:w="48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1.0</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0.19746</w:t>
            </w:r>
          </w:p>
        </w:tc>
        <w:tc>
          <w:tcPr>
            <w:tcW w:w="23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0.5</w:t>
            </w:r>
          </w:p>
        </w:tc>
      </w:tr>
      <w:tr w:rsidR="008A6C9F" w:rsidRPr="00915A9B" w:rsidTr="00B52AA1">
        <w:trPr>
          <w:trHeight w:val="340"/>
          <w:jc w:val="center"/>
        </w:trPr>
        <w:tc>
          <w:tcPr>
            <w:tcW w:w="1136" w:type="dxa"/>
            <w:tcBorders>
              <w:top w:val="nil"/>
              <w:bottom w:val="nil"/>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2000</w:t>
            </w:r>
          </w:p>
        </w:tc>
        <w:tc>
          <w:tcPr>
            <w:tcW w:w="81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1.5</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0.1970</w:t>
            </w:r>
          </w:p>
        </w:tc>
        <w:tc>
          <w:tcPr>
            <w:tcW w:w="48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0.5</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0.1971</w:t>
            </w:r>
          </w:p>
        </w:tc>
        <w:tc>
          <w:tcPr>
            <w:tcW w:w="48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1.0</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0.19749</w:t>
            </w:r>
          </w:p>
        </w:tc>
        <w:tc>
          <w:tcPr>
            <w:tcW w:w="23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0.7</w:t>
            </w:r>
          </w:p>
        </w:tc>
      </w:tr>
      <w:tr w:rsidR="008A6C9F" w:rsidRPr="00915A9B" w:rsidTr="00B52AA1">
        <w:trPr>
          <w:trHeight w:val="340"/>
          <w:jc w:val="center"/>
        </w:trPr>
        <w:tc>
          <w:tcPr>
            <w:tcW w:w="1136" w:type="dxa"/>
            <w:tcBorders>
              <w:top w:val="nil"/>
              <w:bottom w:val="nil"/>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3000</w:t>
            </w:r>
          </w:p>
        </w:tc>
        <w:tc>
          <w:tcPr>
            <w:tcW w:w="81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1.0</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0.1973</w:t>
            </w:r>
          </w:p>
        </w:tc>
        <w:tc>
          <w:tcPr>
            <w:tcW w:w="48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0.5</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0.1971</w:t>
            </w:r>
          </w:p>
        </w:tc>
        <w:tc>
          <w:tcPr>
            <w:tcW w:w="48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1.0</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0.19755</w:t>
            </w:r>
          </w:p>
        </w:tc>
        <w:tc>
          <w:tcPr>
            <w:tcW w:w="23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0.7</w:t>
            </w:r>
          </w:p>
        </w:tc>
      </w:tr>
      <w:tr w:rsidR="008A6C9F" w:rsidRPr="00915A9B" w:rsidTr="00B52AA1">
        <w:trPr>
          <w:trHeight w:val="340"/>
          <w:jc w:val="center"/>
        </w:trPr>
        <w:tc>
          <w:tcPr>
            <w:tcW w:w="1136" w:type="dxa"/>
            <w:tcBorders>
              <w:top w:val="nil"/>
              <w:bottom w:val="nil"/>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4000</w:t>
            </w:r>
          </w:p>
        </w:tc>
        <w:tc>
          <w:tcPr>
            <w:tcW w:w="81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1.0</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0.1973</w:t>
            </w:r>
          </w:p>
        </w:tc>
        <w:tc>
          <w:tcPr>
            <w:tcW w:w="48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0.5</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0.1971</w:t>
            </w:r>
          </w:p>
        </w:tc>
        <w:tc>
          <w:tcPr>
            <w:tcW w:w="48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1.0</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0.19735</w:t>
            </w:r>
          </w:p>
        </w:tc>
        <w:tc>
          <w:tcPr>
            <w:tcW w:w="23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0.7</w:t>
            </w:r>
          </w:p>
        </w:tc>
      </w:tr>
      <w:tr w:rsidR="008A6C9F" w:rsidRPr="00915A9B" w:rsidTr="00B52AA1">
        <w:trPr>
          <w:trHeight w:val="340"/>
          <w:jc w:val="center"/>
        </w:trPr>
        <w:tc>
          <w:tcPr>
            <w:tcW w:w="1136" w:type="dxa"/>
            <w:tcBorders>
              <w:top w:val="nil"/>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5000</w:t>
            </w:r>
          </w:p>
        </w:tc>
        <w:tc>
          <w:tcPr>
            <w:tcW w:w="816" w:type="dxa"/>
            <w:tcBorders>
              <w:top w:val="nil"/>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0.8</w:t>
            </w:r>
          </w:p>
        </w:tc>
        <w:tc>
          <w:tcPr>
            <w:tcW w:w="1096" w:type="dxa"/>
            <w:tcBorders>
              <w:top w:val="nil"/>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0.1973</w:t>
            </w:r>
          </w:p>
        </w:tc>
        <w:tc>
          <w:tcPr>
            <w:tcW w:w="486" w:type="dxa"/>
            <w:tcBorders>
              <w:top w:val="nil"/>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0.5</w:t>
            </w:r>
          </w:p>
        </w:tc>
        <w:tc>
          <w:tcPr>
            <w:tcW w:w="1096" w:type="dxa"/>
            <w:tcBorders>
              <w:top w:val="nil"/>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0.1971</w:t>
            </w:r>
          </w:p>
        </w:tc>
        <w:tc>
          <w:tcPr>
            <w:tcW w:w="486" w:type="dxa"/>
            <w:tcBorders>
              <w:top w:val="nil"/>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1.0</w:t>
            </w:r>
          </w:p>
        </w:tc>
        <w:tc>
          <w:tcPr>
            <w:tcW w:w="1096" w:type="dxa"/>
            <w:tcBorders>
              <w:top w:val="nil"/>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0.19734</w:t>
            </w:r>
          </w:p>
        </w:tc>
        <w:tc>
          <w:tcPr>
            <w:tcW w:w="236" w:type="dxa"/>
            <w:tcBorders>
              <w:top w:val="nil"/>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0.7</w:t>
            </w:r>
          </w:p>
        </w:tc>
      </w:tr>
    </w:tbl>
    <w:p w:rsidR="00915A9B" w:rsidRDefault="00915A9B" w:rsidP="008A6C9F">
      <w:pPr>
        <w:pStyle w:val="Table"/>
        <w:rPr>
          <w:rFonts w:eastAsiaTheme="minorEastAsia"/>
        </w:rPr>
        <w:sectPr w:rsidR="00915A9B" w:rsidSect="00915A9B">
          <w:type w:val="continuous"/>
          <w:pgSz w:w="11906" w:h="16838"/>
          <w:pgMar w:top="1418" w:right="907" w:bottom="1418" w:left="907" w:header="709" w:footer="709" w:gutter="0"/>
          <w:cols w:space="340"/>
          <w:docGrid w:linePitch="360"/>
        </w:sectPr>
      </w:pPr>
    </w:p>
    <w:p w:rsidR="008A6C9F" w:rsidRPr="008A6C9F" w:rsidRDefault="008A6C9F" w:rsidP="008A6C9F">
      <w:pPr>
        <w:pStyle w:val="Table"/>
        <w:rPr>
          <w:rFonts w:eastAsiaTheme="minorEastAsia"/>
        </w:rPr>
      </w:pPr>
      <w:r w:rsidRPr="008A6C9F">
        <w:rPr>
          <w:rFonts w:eastAsiaTheme="minorEastAsia" w:hint="eastAsia"/>
        </w:rPr>
        <w:lastRenderedPageBreak/>
        <w:t>Table 2 C</w:t>
      </w:r>
      <w:r w:rsidRPr="008A6C9F">
        <w:rPr>
          <w:rFonts w:eastAsiaTheme="minorEastAsia"/>
        </w:rPr>
        <w:t>alibration results of the participants for voltage sensitivities</w:t>
      </w:r>
      <w:r w:rsidRPr="008A6C9F">
        <w:rPr>
          <w:rFonts w:eastAsiaTheme="minorEastAsia" w:hint="eastAsia"/>
        </w:rPr>
        <w:t xml:space="preserve"> </w:t>
      </w:r>
      <w:proofErr w:type="spellStart"/>
      <w:r w:rsidRPr="008A6C9F">
        <w:rPr>
          <w:rFonts w:eastAsiaTheme="minorEastAsia"/>
        </w:rPr>
        <w:t>Sva</w:t>
      </w:r>
      <w:proofErr w:type="spellEnd"/>
      <w:r w:rsidRPr="008A6C9F">
        <w:rPr>
          <w:rFonts w:eastAsiaTheme="minorEastAsia"/>
        </w:rPr>
        <w:t xml:space="preserve"> </w:t>
      </w:r>
      <w:r w:rsidRPr="008A6C9F">
        <w:rPr>
          <w:rFonts w:eastAsiaTheme="minorEastAsia" w:hint="eastAsia"/>
        </w:rPr>
        <w:t>under dipole shock excitation</w:t>
      </w:r>
      <w:r w:rsidRPr="008A6C9F">
        <w:rPr>
          <w:rFonts w:eastAsiaTheme="minorEastAsia"/>
        </w:rPr>
        <w:t xml:space="preserve"> with expanded relative uncertainty</w:t>
      </w:r>
      <w:r w:rsidRPr="008A6C9F">
        <w:rPr>
          <w:rFonts w:eastAsiaTheme="minorEastAsia" w:hint="eastAsia"/>
        </w:rPr>
        <w:t xml:space="preserve"> </w:t>
      </w:r>
      <w:proofErr w:type="spellStart"/>
      <w:r w:rsidRPr="00B339C8">
        <w:rPr>
          <w:rFonts w:eastAsiaTheme="minorEastAsia"/>
          <w:i/>
        </w:rPr>
        <w:t>Uc</w:t>
      </w:r>
      <w:proofErr w:type="spellEnd"/>
      <w:r w:rsidRPr="008A6C9F">
        <w:rPr>
          <w:rFonts w:eastAsiaTheme="minorEastAsia"/>
        </w:rPr>
        <w:t xml:space="preserve"> (</w:t>
      </w:r>
      <w:r w:rsidRPr="00B339C8">
        <w:rPr>
          <w:rFonts w:eastAsiaTheme="minorEastAsia"/>
          <w:i/>
        </w:rPr>
        <w:t>k</w:t>
      </w:r>
      <w:r w:rsidRPr="008A6C9F">
        <w:rPr>
          <w:rFonts w:eastAsiaTheme="minorEastAsia"/>
        </w:rPr>
        <w:t xml:space="preserve"> = 2)</w:t>
      </w:r>
      <w:r w:rsidRPr="008A6C9F">
        <w:rPr>
          <w:rFonts w:eastAsiaTheme="minorEastAsia" w:hint="eastAsia"/>
        </w:rPr>
        <w:t>.</w:t>
      </w:r>
    </w:p>
    <w:tbl>
      <w:tblPr>
        <w:tblW w:w="6698" w:type="dxa"/>
        <w:jc w:val="center"/>
        <w:tblInd w:w="907" w:type="dxa"/>
        <w:tblBorders>
          <w:top w:val="single" w:sz="4" w:space="0" w:color="auto"/>
          <w:bottom w:val="single" w:sz="4" w:space="0" w:color="auto"/>
        </w:tblBorders>
        <w:tblLook w:val="0000"/>
      </w:tblPr>
      <w:tblGrid>
        <w:gridCol w:w="1136"/>
        <w:gridCol w:w="816"/>
        <w:gridCol w:w="1096"/>
        <w:gridCol w:w="486"/>
        <w:gridCol w:w="1096"/>
        <w:gridCol w:w="486"/>
        <w:gridCol w:w="1096"/>
        <w:gridCol w:w="486"/>
      </w:tblGrid>
      <w:tr w:rsidR="008A6C9F" w:rsidRPr="00915A9B" w:rsidTr="00915A9B">
        <w:trPr>
          <w:trHeight w:val="340"/>
          <w:jc w:val="center"/>
        </w:trPr>
        <w:tc>
          <w:tcPr>
            <w:tcW w:w="1136" w:type="dxa"/>
            <w:vMerge w:val="restart"/>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color w:val="000000" w:themeColor="text1"/>
                <w:sz w:val="18"/>
                <w:szCs w:val="18"/>
              </w:rPr>
              <w:t>Acceleration</w:t>
            </w:r>
          </w:p>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color w:val="000000" w:themeColor="text1"/>
                <w:sz w:val="18"/>
                <w:szCs w:val="18"/>
                <w:lang w:eastAsia="zh-CN"/>
              </w:rPr>
              <w:t>(</w:t>
            </w:r>
            <w:r w:rsidRPr="00915A9B">
              <w:rPr>
                <w:rFonts w:ascii="Times New Roman" w:hAnsi="Times New Roman" w:cs="Times New Roman"/>
                <w:color w:val="000000" w:themeColor="text1"/>
                <w:sz w:val="18"/>
                <w:szCs w:val="18"/>
              </w:rPr>
              <w:t>m/s²</w:t>
            </w:r>
            <w:r w:rsidRPr="00915A9B">
              <w:rPr>
                <w:rFonts w:ascii="Times New Roman" w:hAnsi="Times New Roman" w:cs="Times New Roman"/>
                <w:color w:val="000000" w:themeColor="text1"/>
                <w:sz w:val="18"/>
                <w:szCs w:val="18"/>
                <w:lang w:eastAsia="zh-CN"/>
              </w:rPr>
              <w:t>)</w:t>
            </w:r>
          </w:p>
        </w:tc>
        <w:tc>
          <w:tcPr>
            <w:tcW w:w="816" w:type="dxa"/>
            <w:vMerge w:val="restart"/>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color w:val="000000" w:themeColor="text1"/>
                <w:sz w:val="18"/>
                <w:szCs w:val="18"/>
              </w:rPr>
              <w:t xml:space="preserve">Pulse duration </w:t>
            </w:r>
          </w:p>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color w:val="000000" w:themeColor="text1"/>
                <w:sz w:val="18"/>
                <w:szCs w:val="18"/>
                <w:lang w:eastAsia="zh-CN"/>
              </w:rPr>
              <w:t>(</w:t>
            </w:r>
            <w:r w:rsidRPr="00915A9B">
              <w:rPr>
                <w:rFonts w:ascii="Times New Roman" w:hAnsi="Times New Roman" w:cs="Times New Roman"/>
                <w:color w:val="000000" w:themeColor="text1"/>
                <w:sz w:val="18"/>
                <w:szCs w:val="18"/>
              </w:rPr>
              <w:t>ms</w:t>
            </w:r>
            <w:r w:rsidRPr="00915A9B">
              <w:rPr>
                <w:rFonts w:ascii="Times New Roman" w:hAnsi="Times New Roman" w:cs="Times New Roman"/>
                <w:color w:val="000000" w:themeColor="text1"/>
                <w:sz w:val="18"/>
                <w:szCs w:val="18"/>
                <w:lang w:eastAsia="zh-CN"/>
              </w:rPr>
              <w:t>)</w:t>
            </w:r>
          </w:p>
        </w:tc>
        <w:tc>
          <w:tcPr>
            <w:tcW w:w="1582" w:type="dxa"/>
            <w:gridSpan w:val="2"/>
            <w:tcBorders>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NIM</w:t>
            </w:r>
          </w:p>
        </w:tc>
        <w:tc>
          <w:tcPr>
            <w:tcW w:w="1582" w:type="dxa"/>
            <w:gridSpan w:val="2"/>
            <w:tcBorders>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color w:val="000000" w:themeColor="text1"/>
                <w:sz w:val="18"/>
                <w:szCs w:val="18"/>
              </w:rPr>
              <w:t>NIM</w:t>
            </w:r>
            <w:r w:rsidRPr="00915A9B">
              <w:rPr>
                <w:rFonts w:ascii="Times New Roman" w:hAnsi="Times New Roman" w:cs="Times New Roman"/>
                <w:color w:val="000000" w:themeColor="text1"/>
                <w:sz w:val="18"/>
                <w:szCs w:val="18"/>
                <w:lang w:eastAsia="zh-CN"/>
              </w:rPr>
              <w:t>T</w:t>
            </w:r>
          </w:p>
        </w:tc>
        <w:tc>
          <w:tcPr>
            <w:tcW w:w="1582" w:type="dxa"/>
            <w:gridSpan w:val="2"/>
            <w:tcBorders>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SPEKTRA</w:t>
            </w:r>
          </w:p>
        </w:tc>
      </w:tr>
      <w:tr w:rsidR="00B52AA1" w:rsidRPr="00915A9B" w:rsidTr="00B52AA1">
        <w:trPr>
          <w:trHeight w:val="405"/>
          <w:jc w:val="center"/>
        </w:trPr>
        <w:tc>
          <w:tcPr>
            <w:tcW w:w="1136" w:type="dxa"/>
            <w:vMerge/>
            <w:tcBorders>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rPr>
            </w:pPr>
          </w:p>
        </w:tc>
        <w:tc>
          <w:tcPr>
            <w:tcW w:w="816" w:type="dxa"/>
            <w:vMerge/>
            <w:tcBorders>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rPr>
            </w:pPr>
          </w:p>
        </w:tc>
        <w:tc>
          <w:tcPr>
            <w:tcW w:w="1096" w:type="dxa"/>
            <w:tcBorders>
              <w:top w:val="single" w:sz="4" w:space="0" w:color="auto"/>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i/>
                <w:color w:val="000000" w:themeColor="text1"/>
                <w:sz w:val="18"/>
                <w:szCs w:val="18"/>
              </w:rPr>
              <w:t>S</w:t>
            </w:r>
            <w:r w:rsidRPr="00915A9B">
              <w:rPr>
                <w:rFonts w:ascii="Times New Roman" w:hAnsi="Times New Roman" w:cs="Times New Roman"/>
                <w:i/>
                <w:color w:val="000000" w:themeColor="text1"/>
                <w:sz w:val="18"/>
                <w:szCs w:val="18"/>
                <w:vertAlign w:val="subscript"/>
              </w:rPr>
              <w:t>va</w:t>
            </w:r>
            <w:r w:rsidRPr="00915A9B">
              <w:rPr>
                <w:rFonts w:ascii="Times New Roman" w:hAnsi="Times New Roman" w:cs="Times New Roman"/>
                <w:color w:val="000000" w:themeColor="text1"/>
                <w:sz w:val="18"/>
                <w:szCs w:val="18"/>
              </w:rPr>
              <w:t xml:space="preserve"> </w:t>
            </w:r>
            <w:r w:rsidRPr="00915A9B">
              <w:rPr>
                <w:rFonts w:ascii="Times New Roman" w:hAnsi="Times New Roman" w:cs="Times New Roman"/>
                <w:color w:val="000000" w:themeColor="text1"/>
                <w:sz w:val="18"/>
                <w:szCs w:val="18"/>
                <w:lang w:eastAsia="zh-CN"/>
              </w:rPr>
              <w:t>(</w:t>
            </w:r>
            <w:r w:rsidRPr="00915A9B">
              <w:rPr>
                <w:rFonts w:ascii="Times New Roman" w:hAnsi="Times New Roman" w:cs="Times New Roman"/>
                <w:color w:val="000000" w:themeColor="text1"/>
                <w:sz w:val="18"/>
                <w:szCs w:val="18"/>
              </w:rPr>
              <w:t>mV/(m/s</w:t>
            </w:r>
            <w:r w:rsidRPr="00915A9B">
              <w:rPr>
                <w:rFonts w:ascii="Times New Roman" w:hAnsi="Times New Roman" w:cs="Times New Roman"/>
                <w:color w:val="000000" w:themeColor="text1"/>
                <w:sz w:val="18"/>
                <w:szCs w:val="18"/>
                <w:vertAlign w:val="superscript"/>
              </w:rPr>
              <w:t>2</w:t>
            </w:r>
            <w:r w:rsidRPr="00915A9B">
              <w:rPr>
                <w:rFonts w:ascii="Times New Roman" w:hAnsi="Times New Roman" w:cs="Times New Roman"/>
                <w:color w:val="000000" w:themeColor="text1"/>
                <w:sz w:val="18"/>
                <w:szCs w:val="18"/>
              </w:rPr>
              <w:t>)</w:t>
            </w:r>
            <w:r w:rsidRPr="00915A9B">
              <w:rPr>
                <w:rFonts w:ascii="Times New Roman" w:hAnsi="Times New Roman" w:cs="Times New Roman"/>
                <w:color w:val="000000" w:themeColor="text1"/>
                <w:sz w:val="18"/>
                <w:szCs w:val="18"/>
                <w:lang w:eastAsia="zh-CN"/>
              </w:rPr>
              <w:t>)</w:t>
            </w:r>
          </w:p>
        </w:tc>
        <w:tc>
          <w:tcPr>
            <w:tcW w:w="486" w:type="dxa"/>
            <w:tcBorders>
              <w:top w:val="single" w:sz="4" w:space="0" w:color="auto"/>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i/>
                <w:color w:val="000000" w:themeColor="text1"/>
                <w:sz w:val="18"/>
                <w:szCs w:val="18"/>
              </w:rPr>
              <w:t>U</w:t>
            </w:r>
            <w:r w:rsidRPr="00915A9B">
              <w:rPr>
                <w:rFonts w:ascii="Times New Roman" w:hAnsi="Times New Roman" w:cs="Times New Roman"/>
                <w:i/>
                <w:color w:val="000000" w:themeColor="text1"/>
                <w:sz w:val="18"/>
                <w:szCs w:val="18"/>
                <w:vertAlign w:val="subscript"/>
              </w:rPr>
              <w:t>c</w:t>
            </w:r>
            <w:r w:rsidRPr="00915A9B">
              <w:rPr>
                <w:rFonts w:ascii="Times New Roman" w:hAnsi="Times New Roman" w:cs="Times New Roman"/>
                <w:i/>
                <w:color w:val="000000" w:themeColor="text1"/>
                <w:sz w:val="18"/>
                <w:szCs w:val="18"/>
                <w:vertAlign w:val="subscript"/>
                <w:lang w:eastAsia="zh-CN"/>
              </w:rPr>
              <w:t xml:space="preserve"> </w:t>
            </w:r>
            <w:r w:rsidRPr="00915A9B">
              <w:rPr>
                <w:rFonts w:ascii="Times New Roman" w:hAnsi="Times New Roman" w:cs="Times New Roman"/>
                <w:color w:val="000000" w:themeColor="text1"/>
                <w:sz w:val="18"/>
                <w:szCs w:val="18"/>
                <w:lang w:eastAsia="zh-CN"/>
              </w:rPr>
              <w:t>(</w:t>
            </w:r>
            <w:r w:rsidRPr="00915A9B">
              <w:rPr>
                <w:rFonts w:ascii="Times New Roman" w:hAnsi="Times New Roman" w:cs="Times New Roman"/>
                <w:color w:val="000000" w:themeColor="text1"/>
                <w:sz w:val="18"/>
                <w:szCs w:val="18"/>
              </w:rPr>
              <w:t>%</w:t>
            </w:r>
            <w:r w:rsidRPr="00915A9B">
              <w:rPr>
                <w:rFonts w:ascii="Times New Roman" w:hAnsi="Times New Roman" w:cs="Times New Roman"/>
                <w:color w:val="000000" w:themeColor="text1"/>
                <w:sz w:val="18"/>
                <w:szCs w:val="18"/>
                <w:lang w:eastAsia="zh-CN"/>
              </w:rPr>
              <w:t>)</w:t>
            </w:r>
          </w:p>
        </w:tc>
        <w:tc>
          <w:tcPr>
            <w:tcW w:w="1096" w:type="dxa"/>
            <w:tcBorders>
              <w:top w:val="single" w:sz="4" w:space="0" w:color="auto"/>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i/>
                <w:color w:val="000000" w:themeColor="text1"/>
                <w:sz w:val="18"/>
                <w:szCs w:val="18"/>
              </w:rPr>
              <w:t>S</w:t>
            </w:r>
            <w:r w:rsidRPr="00915A9B">
              <w:rPr>
                <w:rFonts w:ascii="Times New Roman" w:hAnsi="Times New Roman" w:cs="Times New Roman"/>
                <w:i/>
                <w:color w:val="000000" w:themeColor="text1"/>
                <w:sz w:val="18"/>
                <w:szCs w:val="18"/>
                <w:vertAlign w:val="subscript"/>
              </w:rPr>
              <w:t>va</w:t>
            </w:r>
            <w:r w:rsidRPr="00915A9B">
              <w:rPr>
                <w:rFonts w:ascii="Times New Roman" w:hAnsi="Times New Roman" w:cs="Times New Roman"/>
                <w:color w:val="000000" w:themeColor="text1"/>
                <w:sz w:val="18"/>
                <w:szCs w:val="18"/>
              </w:rPr>
              <w:t xml:space="preserve"> </w:t>
            </w:r>
            <w:r w:rsidRPr="00915A9B">
              <w:rPr>
                <w:rFonts w:ascii="Times New Roman" w:hAnsi="Times New Roman" w:cs="Times New Roman"/>
                <w:color w:val="000000" w:themeColor="text1"/>
                <w:sz w:val="18"/>
                <w:szCs w:val="18"/>
                <w:lang w:eastAsia="zh-CN"/>
              </w:rPr>
              <w:t>(</w:t>
            </w:r>
            <w:r w:rsidRPr="00915A9B">
              <w:rPr>
                <w:rFonts w:ascii="Times New Roman" w:hAnsi="Times New Roman" w:cs="Times New Roman"/>
                <w:color w:val="000000" w:themeColor="text1"/>
                <w:sz w:val="18"/>
                <w:szCs w:val="18"/>
              </w:rPr>
              <w:t>mV/(m/s</w:t>
            </w:r>
            <w:r w:rsidRPr="00915A9B">
              <w:rPr>
                <w:rFonts w:ascii="Times New Roman" w:hAnsi="Times New Roman" w:cs="Times New Roman"/>
                <w:color w:val="000000" w:themeColor="text1"/>
                <w:sz w:val="18"/>
                <w:szCs w:val="18"/>
                <w:vertAlign w:val="superscript"/>
              </w:rPr>
              <w:t>2</w:t>
            </w:r>
            <w:r w:rsidRPr="00915A9B">
              <w:rPr>
                <w:rFonts w:ascii="Times New Roman" w:hAnsi="Times New Roman" w:cs="Times New Roman"/>
                <w:color w:val="000000" w:themeColor="text1"/>
                <w:sz w:val="18"/>
                <w:szCs w:val="18"/>
              </w:rPr>
              <w:t>)</w:t>
            </w:r>
            <w:r w:rsidRPr="00915A9B">
              <w:rPr>
                <w:rFonts w:ascii="Times New Roman" w:hAnsi="Times New Roman" w:cs="Times New Roman"/>
                <w:color w:val="000000" w:themeColor="text1"/>
                <w:sz w:val="18"/>
                <w:szCs w:val="18"/>
                <w:lang w:eastAsia="zh-CN"/>
              </w:rPr>
              <w:t>)</w:t>
            </w:r>
          </w:p>
        </w:tc>
        <w:tc>
          <w:tcPr>
            <w:tcW w:w="486" w:type="dxa"/>
            <w:tcBorders>
              <w:top w:val="single" w:sz="4" w:space="0" w:color="auto"/>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i/>
                <w:color w:val="000000" w:themeColor="text1"/>
                <w:sz w:val="18"/>
                <w:szCs w:val="18"/>
              </w:rPr>
              <w:t>U</w:t>
            </w:r>
            <w:r w:rsidRPr="00915A9B">
              <w:rPr>
                <w:rFonts w:ascii="Times New Roman" w:hAnsi="Times New Roman" w:cs="Times New Roman"/>
                <w:i/>
                <w:color w:val="000000" w:themeColor="text1"/>
                <w:sz w:val="18"/>
                <w:szCs w:val="18"/>
                <w:vertAlign w:val="subscript"/>
              </w:rPr>
              <w:t>c</w:t>
            </w:r>
            <w:r w:rsidRPr="00915A9B">
              <w:rPr>
                <w:rFonts w:ascii="Times New Roman" w:hAnsi="Times New Roman" w:cs="Times New Roman"/>
                <w:i/>
                <w:color w:val="000000" w:themeColor="text1"/>
                <w:sz w:val="18"/>
                <w:szCs w:val="18"/>
                <w:vertAlign w:val="subscript"/>
                <w:lang w:eastAsia="zh-CN"/>
              </w:rPr>
              <w:t xml:space="preserve"> </w:t>
            </w:r>
            <w:r w:rsidRPr="00915A9B">
              <w:rPr>
                <w:rFonts w:ascii="Times New Roman" w:hAnsi="Times New Roman" w:cs="Times New Roman"/>
                <w:color w:val="000000" w:themeColor="text1"/>
                <w:sz w:val="18"/>
                <w:szCs w:val="18"/>
                <w:lang w:eastAsia="zh-CN"/>
              </w:rPr>
              <w:t>(</w:t>
            </w:r>
            <w:r w:rsidRPr="00915A9B">
              <w:rPr>
                <w:rFonts w:ascii="Times New Roman" w:hAnsi="Times New Roman" w:cs="Times New Roman"/>
                <w:color w:val="000000" w:themeColor="text1"/>
                <w:sz w:val="18"/>
                <w:szCs w:val="18"/>
              </w:rPr>
              <w:t>%</w:t>
            </w:r>
            <w:r w:rsidRPr="00915A9B">
              <w:rPr>
                <w:rFonts w:ascii="Times New Roman" w:hAnsi="Times New Roman" w:cs="Times New Roman"/>
                <w:color w:val="000000" w:themeColor="text1"/>
                <w:sz w:val="18"/>
                <w:szCs w:val="18"/>
                <w:lang w:eastAsia="zh-CN"/>
              </w:rPr>
              <w:t>)</w:t>
            </w:r>
          </w:p>
        </w:tc>
        <w:tc>
          <w:tcPr>
            <w:tcW w:w="1096" w:type="dxa"/>
            <w:tcBorders>
              <w:top w:val="single" w:sz="4" w:space="0" w:color="auto"/>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i/>
                <w:color w:val="000000" w:themeColor="text1"/>
                <w:sz w:val="18"/>
                <w:szCs w:val="18"/>
              </w:rPr>
              <w:t>S</w:t>
            </w:r>
            <w:r w:rsidRPr="00915A9B">
              <w:rPr>
                <w:rFonts w:ascii="Times New Roman" w:hAnsi="Times New Roman" w:cs="Times New Roman"/>
                <w:i/>
                <w:color w:val="000000" w:themeColor="text1"/>
                <w:sz w:val="18"/>
                <w:szCs w:val="18"/>
                <w:vertAlign w:val="subscript"/>
              </w:rPr>
              <w:t>va</w:t>
            </w:r>
            <w:r w:rsidRPr="00915A9B">
              <w:rPr>
                <w:rFonts w:ascii="Times New Roman" w:hAnsi="Times New Roman" w:cs="Times New Roman"/>
                <w:color w:val="000000" w:themeColor="text1"/>
                <w:sz w:val="18"/>
                <w:szCs w:val="18"/>
              </w:rPr>
              <w:t xml:space="preserve"> </w:t>
            </w:r>
            <w:r w:rsidRPr="00915A9B">
              <w:rPr>
                <w:rFonts w:ascii="Times New Roman" w:hAnsi="Times New Roman" w:cs="Times New Roman"/>
                <w:color w:val="000000" w:themeColor="text1"/>
                <w:sz w:val="18"/>
                <w:szCs w:val="18"/>
                <w:lang w:eastAsia="zh-CN"/>
              </w:rPr>
              <w:t>(</w:t>
            </w:r>
            <w:r w:rsidRPr="00915A9B">
              <w:rPr>
                <w:rFonts w:ascii="Times New Roman" w:hAnsi="Times New Roman" w:cs="Times New Roman"/>
                <w:color w:val="000000" w:themeColor="text1"/>
                <w:sz w:val="18"/>
                <w:szCs w:val="18"/>
              </w:rPr>
              <w:t>mV/(m/s</w:t>
            </w:r>
            <w:r w:rsidRPr="00915A9B">
              <w:rPr>
                <w:rFonts w:ascii="Times New Roman" w:hAnsi="Times New Roman" w:cs="Times New Roman"/>
                <w:color w:val="000000" w:themeColor="text1"/>
                <w:sz w:val="18"/>
                <w:szCs w:val="18"/>
                <w:vertAlign w:val="superscript"/>
              </w:rPr>
              <w:t>2</w:t>
            </w:r>
            <w:r w:rsidRPr="00915A9B">
              <w:rPr>
                <w:rFonts w:ascii="Times New Roman" w:hAnsi="Times New Roman" w:cs="Times New Roman"/>
                <w:color w:val="000000" w:themeColor="text1"/>
                <w:sz w:val="18"/>
                <w:szCs w:val="18"/>
              </w:rPr>
              <w:t>)</w:t>
            </w:r>
            <w:r w:rsidRPr="00915A9B">
              <w:rPr>
                <w:rFonts w:ascii="Times New Roman" w:hAnsi="Times New Roman" w:cs="Times New Roman"/>
                <w:color w:val="000000" w:themeColor="text1"/>
                <w:sz w:val="18"/>
                <w:szCs w:val="18"/>
                <w:lang w:eastAsia="zh-CN"/>
              </w:rPr>
              <w:t>)</w:t>
            </w:r>
          </w:p>
        </w:tc>
        <w:tc>
          <w:tcPr>
            <w:tcW w:w="486" w:type="dxa"/>
            <w:tcBorders>
              <w:top w:val="single" w:sz="4" w:space="0" w:color="auto"/>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lang w:eastAsia="zh-CN"/>
              </w:rPr>
            </w:pPr>
            <w:r w:rsidRPr="00915A9B">
              <w:rPr>
                <w:rFonts w:ascii="Times New Roman" w:hAnsi="Times New Roman" w:cs="Times New Roman"/>
                <w:i/>
                <w:color w:val="000000" w:themeColor="text1"/>
                <w:sz w:val="18"/>
                <w:szCs w:val="18"/>
              </w:rPr>
              <w:t>U</w:t>
            </w:r>
            <w:r w:rsidRPr="00915A9B">
              <w:rPr>
                <w:rFonts w:ascii="Times New Roman" w:hAnsi="Times New Roman" w:cs="Times New Roman"/>
                <w:i/>
                <w:color w:val="000000" w:themeColor="text1"/>
                <w:sz w:val="18"/>
                <w:szCs w:val="18"/>
                <w:vertAlign w:val="subscript"/>
              </w:rPr>
              <w:t>c</w:t>
            </w:r>
            <w:r w:rsidRPr="00915A9B">
              <w:rPr>
                <w:rFonts w:ascii="Times New Roman" w:hAnsi="Times New Roman" w:cs="Times New Roman"/>
                <w:i/>
                <w:color w:val="000000" w:themeColor="text1"/>
                <w:sz w:val="18"/>
                <w:szCs w:val="18"/>
                <w:vertAlign w:val="subscript"/>
                <w:lang w:eastAsia="zh-CN"/>
              </w:rPr>
              <w:t xml:space="preserve"> </w:t>
            </w:r>
            <w:r w:rsidRPr="00915A9B">
              <w:rPr>
                <w:rFonts w:ascii="Times New Roman" w:hAnsi="Times New Roman" w:cs="Times New Roman"/>
                <w:color w:val="000000" w:themeColor="text1"/>
                <w:sz w:val="18"/>
                <w:szCs w:val="18"/>
                <w:lang w:eastAsia="zh-CN"/>
              </w:rPr>
              <w:t>(</w:t>
            </w:r>
            <w:r w:rsidRPr="00915A9B">
              <w:rPr>
                <w:rFonts w:ascii="Times New Roman" w:hAnsi="Times New Roman" w:cs="Times New Roman"/>
                <w:color w:val="000000" w:themeColor="text1"/>
                <w:sz w:val="18"/>
                <w:szCs w:val="18"/>
              </w:rPr>
              <w:t>%</w:t>
            </w:r>
            <w:r w:rsidRPr="00915A9B">
              <w:rPr>
                <w:rFonts w:ascii="Times New Roman" w:hAnsi="Times New Roman" w:cs="Times New Roman"/>
                <w:color w:val="000000" w:themeColor="text1"/>
                <w:sz w:val="18"/>
                <w:szCs w:val="18"/>
                <w:lang w:eastAsia="zh-CN"/>
              </w:rPr>
              <w:t>)</w:t>
            </w:r>
          </w:p>
        </w:tc>
      </w:tr>
      <w:tr w:rsidR="00B52AA1" w:rsidRPr="00915A9B" w:rsidTr="00B52AA1">
        <w:trPr>
          <w:trHeight w:val="340"/>
          <w:jc w:val="center"/>
        </w:trPr>
        <w:tc>
          <w:tcPr>
            <w:tcW w:w="1136" w:type="dxa"/>
            <w:tcBorders>
              <w:top w:val="single" w:sz="4" w:space="0" w:color="auto"/>
              <w:bottom w:val="nil"/>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1000</w:t>
            </w:r>
          </w:p>
        </w:tc>
        <w:tc>
          <w:tcPr>
            <w:tcW w:w="816" w:type="dxa"/>
            <w:tcBorders>
              <w:top w:val="single" w:sz="4" w:space="0" w:color="auto"/>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0.20</w:t>
            </w:r>
          </w:p>
        </w:tc>
        <w:tc>
          <w:tcPr>
            <w:tcW w:w="1096" w:type="dxa"/>
            <w:tcBorders>
              <w:top w:val="single" w:sz="4" w:space="0" w:color="auto"/>
              <w:bottom w:val="nil"/>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0.1972 </w:t>
            </w:r>
          </w:p>
        </w:tc>
        <w:tc>
          <w:tcPr>
            <w:tcW w:w="486" w:type="dxa"/>
            <w:tcBorders>
              <w:top w:val="single" w:sz="4" w:space="0" w:color="auto"/>
              <w:bottom w:val="nil"/>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0.5 </w:t>
            </w:r>
          </w:p>
        </w:tc>
        <w:tc>
          <w:tcPr>
            <w:tcW w:w="1096" w:type="dxa"/>
            <w:tcBorders>
              <w:top w:val="single" w:sz="4" w:space="0" w:color="auto"/>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0.1976</w:t>
            </w:r>
          </w:p>
        </w:tc>
        <w:tc>
          <w:tcPr>
            <w:tcW w:w="486" w:type="dxa"/>
            <w:tcBorders>
              <w:top w:val="single" w:sz="4" w:space="0" w:color="auto"/>
              <w:bottom w:val="nil"/>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0.6 </w:t>
            </w:r>
          </w:p>
        </w:tc>
        <w:tc>
          <w:tcPr>
            <w:tcW w:w="1096" w:type="dxa"/>
            <w:tcBorders>
              <w:top w:val="single" w:sz="4" w:space="0" w:color="auto"/>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0.19765</w:t>
            </w:r>
          </w:p>
        </w:tc>
        <w:tc>
          <w:tcPr>
            <w:tcW w:w="486" w:type="dxa"/>
            <w:tcBorders>
              <w:top w:val="single" w:sz="4" w:space="0" w:color="auto"/>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0.5</w:t>
            </w:r>
          </w:p>
        </w:tc>
      </w:tr>
      <w:tr w:rsidR="00B52AA1" w:rsidRPr="00915A9B" w:rsidTr="00B52AA1">
        <w:trPr>
          <w:trHeight w:val="340"/>
          <w:jc w:val="center"/>
        </w:trPr>
        <w:tc>
          <w:tcPr>
            <w:tcW w:w="1136" w:type="dxa"/>
            <w:tcBorders>
              <w:top w:val="nil"/>
              <w:bottom w:val="nil"/>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1000</w:t>
            </w:r>
          </w:p>
        </w:tc>
        <w:tc>
          <w:tcPr>
            <w:tcW w:w="81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0.15</w:t>
            </w:r>
          </w:p>
        </w:tc>
        <w:tc>
          <w:tcPr>
            <w:tcW w:w="1096" w:type="dxa"/>
            <w:tcBorders>
              <w:top w:val="nil"/>
              <w:bottom w:val="nil"/>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0.1973 </w:t>
            </w:r>
          </w:p>
        </w:tc>
        <w:tc>
          <w:tcPr>
            <w:tcW w:w="486" w:type="dxa"/>
            <w:tcBorders>
              <w:top w:val="nil"/>
              <w:bottom w:val="nil"/>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0.5 </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0.1977</w:t>
            </w:r>
          </w:p>
        </w:tc>
        <w:tc>
          <w:tcPr>
            <w:tcW w:w="486" w:type="dxa"/>
            <w:tcBorders>
              <w:top w:val="nil"/>
              <w:bottom w:val="nil"/>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0.6 </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0.19744</w:t>
            </w:r>
          </w:p>
        </w:tc>
        <w:tc>
          <w:tcPr>
            <w:tcW w:w="48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0.5</w:t>
            </w:r>
          </w:p>
        </w:tc>
      </w:tr>
      <w:tr w:rsidR="00B52AA1" w:rsidRPr="00915A9B" w:rsidTr="00B52AA1">
        <w:trPr>
          <w:trHeight w:val="340"/>
          <w:jc w:val="center"/>
        </w:trPr>
        <w:tc>
          <w:tcPr>
            <w:tcW w:w="1136" w:type="dxa"/>
            <w:tcBorders>
              <w:top w:val="nil"/>
              <w:bottom w:val="nil"/>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1000</w:t>
            </w:r>
          </w:p>
        </w:tc>
        <w:tc>
          <w:tcPr>
            <w:tcW w:w="81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0.10</w:t>
            </w:r>
          </w:p>
        </w:tc>
        <w:tc>
          <w:tcPr>
            <w:tcW w:w="1096" w:type="dxa"/>
            <w:tcBorders>
              <w:top w:val="nil"/>
              <w:bottom w:val="nil"/>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0.1976 </w:t>
            </w:r>
          </w:p>
        </w:tc>
        <w:tc>
          <w:tcPr>
            <w:tcW w:w="486" w:type="dxa"/>
            <w:tcBorders>
              <w:top w:val="nil"/>
              <w:bottom w:val="nil"/>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1.0 </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0.1976</w:t>
            </w:r>
          </w:p>
        </w:tc>
        <w:tc>
          <w:tcPr>
            <w:tcW w:w="486" w:type="dxa"/>
            <w:tcBorders>
              <w:top w:val="nil"/>
              <w:bottom w:val="nil"/>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0.7 </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0.19765</w:t>
            </w:r>
          </w:p>
        </w:tc>
        <w:tc>
          <w:tcPr>
            <w:tcW w:w="48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0.5</w:t>
            </w:r>
          </w:p>
        </w:tc>
      </w:tr>
      <w:tr w:rsidR="00B52AA1" w:rsidRPr="00915A9B" w:rsidTr="00B52AA1">
        <w:trPr>
          <w:trHeight w:val="340"/>
          <w:jc w:val="center"/>
        </w:trPr>
        <w:tc>
          <w:tcPr>
            <w:tcW w:w="1136" w:type="dxa"/>
            <w:tcBorders>
              <w:top w:val="nil"/>
              <w:bottom w:val="nil"/>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1000</w:t>
            </w:r>
          </w:p>
        </w:tc>
        <w:tc>
          <w:tcPr>
            <w:tcW w:w="81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0.07</w:t>
            </w:r>
          </w:p>
        </w:tc>
        <w:tc>
          <w:tcPr>
            <w:tcW w:w="1096" w:type="dxa"/>
            <w:tcBorders>
              <w:top w:val="nil"/>
              <w:bottom w:val="nil"/>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0.1981 </w:t>
            </w:r>
          </w:p>
        </w:tc>
        <w:tc>
          <w:tcPr>
            <w:tcW w:w="486" w:type="dxa"/>
            <w:tcBorders>
              <w:top w:val="nil"/>
              <w:bottom w:val="nil"/>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1.0 </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0.1976</w:t>
            </w:r>
          </w:p>
        </w:tc>
        <w:tc>
          <w:tcPr>
            <w:tcW w:w="486" w:type="dxa"/>
            <w:tcBorders>
              <w:top w:val="nil"/>
              <w:bottom w:val="nil"/>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1.0 </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0.19776</w:t>
            </w:r>
          </w:p>
        </w:tc>
        <w:tc>
          <w:tcPr>
            <w:tcW w:w="48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0.8</w:t>
            </w:r>
          </w:p>
        </w:tc>
      </w:tr>
      <w:tr w:rsidR="00B52AA1" w:rsidRPr="00915A9B" w:rsidTr="00B52AA1">
        <w:trPr>
          <w:trHeight w:val="340"/>
          <w:jc w:val="center"/>
        </w:trPr>
        <w:tc>
          <w:tcPr>
            <w:tcW w:w="1136" w:type="dxa"/>
            <w:tcBorders>
              <w:top w:val="nil"/>
              <w:bottom w:val="nil"/>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1000</w:t>
            </w:r>
          </w:p>
        </w:tc>
        <w:tc>
          <w:tcPr>
            <w:tcW w:w="81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0.05</w:t>
            </w:r>
          </w:p>
        </w:tc>
        <w:tc>
          <w:tcPr>
            <w:tcW w:w="1096" w:type="dxa"/>
            <w:tcBorders>
              <w:top w:val="nil"/>
              <w:bottom w:val="nil"/>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0.1985 </w:t>
            </w:r>
          </w:p>
        </w:tc>
        <w:tc>
          <w:tcPr>
            <w:tcW w:w="486" w:type="dxa"/>
            <w:tcBorders>
              <w:top w:val="nil"/>
              <w:bottom w:val="nil"/>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1.5 </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0.1977</w:t>
            </w:r>
          </w:p>
        </w:tc>
        <w:tc>
          <w:tcPr>
            <w:tcW w:w="486" w:type="dxa"/>
            <w:tcBorders>
              <w:top w:val="nil"/>
              <w:bottom w:val="nil"/>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1.0 </w:t>
            </w:r>
          </w:p>
        </w:tc>
        <w:tc>
          <w:tcPr>
            <w:tcW w:w="109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0.19758</w:t>
            </w:r>
          </w:p>
        </w:tc>
        <w:tc>
          <w:tcPr>
            <w:tcW w:w="486" w:type="dxa"/>
            <w:tcBorders>
              <w:top w:val="nil"/>
              <w:bottom w:val="nil"/>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0.8</w:t>
            </w:r>
          </w:p>
        </w:tc>
      </w:tr>
      <w:tr w:rsidR="00B52AA1" w:rsidRPr="00915A9B" w:rsidTr="00B52AA1">
        <w:trPr>
          <w:trHeight w:val="340"/>
          <w:jc w:val="center"/>
        </w:trPr>
        <w:tc>
          <w:tcPr>
            <w:tcW w:w="1136" w:type="dxa"/>
            <w:tcBorders>
              <w:top w:val="nil"/>
              <w:bottom w:val="single" w:sz="4" w:space="0" w:color="auto"/>
            </w:tcBorders>
            <w:shd w:val="clear" w:color="auto" w:fill="auto"/>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1000</w:t>
            </w:r>
          </w:p>
        </w:tc>
        <w:tc>
          <w:tcPr>
            <w:tcW w:w="816" w:type="dxa"/>
            <w:tcBorders>
              <w:top w:val="nil"/>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0.03</w:t>
            </w:r>
          </w:p>
        </w:tc>
        <w:tc>
          <w:tcPr>
            <w:tcW w:w="1096" w:type="dxa"/>
            <w:tcBorders>
              <w:top w:val="nil"/>
              <w:bottom w:val="single" w:sz="4" w:space="0" w:color="auto"/>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0.1990 </w:t>
            </w:r>
          </w:p>
        </w:tc>
        <w:tc>
          <w:tcPr>
            <w:tcW w:w="486" w:type="dxa"/>
            <w:tcBorders>
              <w:top w:val="nil"/>
              <w:bottom w:val="single" w:sz="4" w:space="0" w:color="auto"/>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1.5 </w:t>
            </w:r>
          </w:p>
        </w:tc>
        <w:tc>
          <w:tcPr>
            <w:tcW w:w="1096" w:type="dxa"/>
            <w:tcBorders>
              <w:top w:val="nil"/>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0.1985</w:t>
            </w:r>
          </w:p>
        </w:tc>
        <w:tc>
          <w:tcPr>
            <w:tcW w:w="486" w:type="dxa"/>
            <w:tcBorders>
              <w:top w:val="nil"/>
              <w:bottom w:val="single" w:sz="4" w:space="0" w:color="auto"/>
            </w:tcBorders>
            <w:shd w:val="clear" w:color="auto" w:fill="auto"/>
            <w:noWrap/>
            <w:vAlign w:val="bottom"/>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 xml:space="preserve">1.0 </w:t>
            </w:r>
          </w:p>
        </w:tc>
        <w:tc>
          <w:tcPr>
            <w:tcW w:w="1096" w:type="dxa"/>
            <w:tcBorders>
              <w:top w:val="nil"/>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0.19718</w:t>
            </w:r>
          </w:p>
        </w:tc>
        <w:tc>
          <w:tcPr>
            <w:tcW w:w="486" w:type="dxa"/>
            <w:tcBorders>
              <w:top w:val="nil"/>
              <w:bottom w:val="single" w:sz="4" w:space="0" w:color="auto"/>
            </w:tcBorders>
            <w:shd w:val="clear" w:color="auto" w:fill="auto"/>
            <w:noWrap/>
            <w:vAlign w:val="center"/>
          </w:tcPr>
          <w:p w:rsidR="008A6C9F" w:rsidRPr="00915A9B" w:rsidRDefault="008A6C9F" w:rsidP="00A15219">
            <w:pPr>
              <w:jc w:val="center"/>
              <w:rPr>
                <w:rFonts w:ascii="Times New Roman" w:hAnsi="Times New Roman" w:cs="Times New Roman"/>
                <w:color w:val="000000" w:themeColor="text1"/>
                <w:sz w:val="18"/>
                <w:szCs w:val="18"/>
              </w:rPr>
            </w:pPr>
            <w:r w:rsidRPr="00915A9B">
              <w:rPr>
                <w:rFonts w:ascii="Times New Roman" w:hAnsi="Times New Roman" w:cs="Times New Roman"/>
                <w:color w:val="000000" w:themeColor="text1"/>
                <w:sz w:val="18"/>
                <w:szCs w:val="18"/>
              </w:rPr>
              <w:t>0.8</w:t>
            </w:r>
          </w:p>
        </w:tc>
      </w:tr>
    </w:tbl>
    <w:p w:rsidR="00915A9B" w:rsidRDefault="00915A9B" w:rsidP="008A6C9F">
      <w:pPr>
        <w:pStyle w:val="Text"/>
        <w:sectPr w:rsidR="00915A9B" w:rsidSect="00915A9B">
          <w:type w:val="continuous"/>
          <w:pgSz w:w="11906" w:h="16838"/>
          <w:pgMar w:top="1418" w:right="907" w:bottom="1418" w:left="907" w:header="709" w:footer="709" w:gutter="0"/>
          <w:cols w:space="340"/>
          <w:docGrid w:linePitch="360"/>
        </w:sectPr>
      </w:pPr>
    </w:p>
    <w:p w:rsidR="008A6C9F" w:rsidRPr="008A6C9F" w:rsidRDefault="008A6C9F" w:rsidP="008A6C9F">
      <w:pPr>
        <w:pStyle w:val="Text"/>
      </w:pPr>
      <w:r w:rsidRPr="008A6C9F">
        <w:lastRenderedPageBreak/>
        <w:t xml:space="preserve">The weighted mean was agreed upon by all </w:t>
      </w:r>
      <w:r w:rsidRPr="008A6C9F">
        <w:rPr>
          <w:rFonts w:hint="eastAsia"/>
        </w:rPr>
        <w:t>participant</w:t>
      </w:r>
      <w:r w:rsidRPr="008A6C9F">
        <w:t xml:space="preserve">s to calculate the </w:t>
      </w:r>
      <w:r w:rsidRPr="008A6C9F">
        <w:rPr>
          <w:rFonts w:hint="eastAsia"/>
        </w:rPr>
        <w:t>Pilot Comparison Reference Value</w:t>
      </w:r>
      <w:r w:rsidRPr="008A6C9F">
        <w:t>s</w:t>
      </w:r>
      <w:r w:rsidRPr="008A6C9F">
        <w:rPr>
          <w:rFonts w:hint="eastAsia"/>
        </w:rPr>
        <w:t xml:space="preserve"> (</w:t>
      </w:r>
      <w:r w:rsidRPr="008A6C9F">
        <w:t>PCRV</w:t>
      </w:r>
      <w:r w:rsidRPr="008A6C9F">
        <w:rPr>
          <w:rFonts w:hint="eastAsia"/>
        </w:rPr>
        <w:t>)</w:t>
      </w:r>
      <w:r w:rsidRPr="008A6C9F">
        <w:t xml:space="preserve"> for the APMP.AUV.V-P1 data. PCRVs were calculated separately at each </w:t>
      </w:r>
      <w:r w:rsidRPr="008A6C9F">
        <w:rPr>
          <w:rFonts w:hint="eastAsia"/>
        </w:rPr>
        <w:t>acceleration or pulse duration</w:t>
      </w:r>
      <w:r w:rsidRPr="008A6C9F">
        <w:t xml:space="preserve"> point measured for </w:t>
      </w:r>
      <w:r w:rsidRPr="008A6C9F">
        <w:rPr>
          <w:rFonts w:hint="eastAsia"/>
        </w:rPr>
        <w:t>A</w:t>
      </w:r>
      <w:r w:rsidRPr="008A6C9F">
        <w:t>ccelerometer</w:t>
      </w:r>
      <w:r w:rsidRPr="008A6C9F">
        <w:rPr>
          <w:rFonts w:hint="eastAsia"/>
        </w:rPr>
        <w:t xml:space="preserve"> Chain</w:t>
      </w:r>
      <w:r w:rsidRPr="008A6C9F">
        <w:t>.</w:t>
      </w:r>
      <w:r w:rsidRPr="008A6C9F">
        <w:rPr>
          <w:rFonts w:hint="eastAsia"/>
        </w:rPr>
        <w:t xml:space="preserve"> Four typical degrees of equivalence with respect to PCRVs of the </w:t>
      </w:r>
      <w:r w:rsidRPr="008A6C9F">
        <w:t>participants</w:t>
      </w:r>
      <w:r w:rsidRPr="008A6C9F">
        <w:rPr>
          <w:rFonts w:hint="eastAsia"/>
        </w:rPr>
        <w:t xml:space="preserve"> are shown in Figure 6 and 7. The </w:t>
      </w:r>
      <w:r w:rsidRPr="008A6C9F">
        <w:t xml:space="preserve">degrees of equivalence </w:t>
      </w:r>
      <w:r w:rsidRPr="008A6C9F">
        <w:rPr>
          <w:rFonts w:hint="eastAsia"/>
        </w:rPr>
        <w:t xml:space="preserve">also </w:t>
      </w:r>
      <w:r w:rsidRPr="008A6C9F">
        <w:t xml:space="preserve">support the uncertainty of measurement </w:t>
      </w:r>
      <w:r w:rsidRPr="008A6C9F">
        <w:rPr>
          <w:rFonts w:hint="eastAsia"/>
        </w:rPr>
        <w:t>of the participants at other acceleration levels and pulse durations</w:t>
      </w:r>
      <w:r w:rsidRPr="008A6C9F">
        <w:t>.</w:t>
      </w:r>
    </w:p>
    <w:p w:rsidR="008A6C9F" w:rsidRDefault="008A6C9F" w:rsidP="008A6C9F">
      <w:pPr>
        <w:pStyle w:val="Text"/>
        <w:ind w:firstLine="0"/>
        <w:jc w:val="center"/>
        <w:textAlignment w:val="center"/>
        <w:rPr>
          <w:sz w:val="24"/>
          <w:lang w:eastAsia="zh-CN"/>
        </w:rPr>
      </w:pPr>
      <w:r>
        <w:rPr>
          <w:noProof/>
          <w:sz w:val="24"/>
          <w:lang w:val="en-US" w:eastAsia="zh-CN"/>
        </w:rPr>
        <w:drawing>
          <wp:inline distT="0" distB="0" distL="0" distR="0">
            <wp:extent cx="1980000" cy="1254629"/>
            <wp:effectExtent l="19050" t="0" r="120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srcRect/>
                    <a:stretch>
                      <a:fillRect/>
                    </a:stretch>
                  </pic:blipFill>
                  <pic:spPr bwMode="auto">
                    <a:xfrm>
                      <a:off x="0" y="0"/>
                      <a:ext cx="1980000" cy="1254629"/>
                    </a:xfrm>
                    <a:prstGeom prst="rect">
                      <a:avLst/>
                    </a:prstGeom>
                    <a:noFill/>
                    <a:ln w="9525">
                      <a:noFill/>
                      <a:miter lim="800000"/>
                      <a:headEnd/>
                      <a:tailEnd/>
                    </a:ln>
                  </pic:spPr>
                </pic:pic>
              </a:graphicData>
            </a:graphic>
          </wp:inline>
        </w:drawing>
      </w:r>
      <w:r>
        <w:rPr>
          <w:rFonts w:hint="eastAsia"/>
          <w:sz w:val="24"/>
          <w:lang w:eastAsia="zh-CN"/>
        </w:rPr>
        <w:t xml:space="preserve"> </w:t>
      </w:r>
      <w:r>
        <w:rPr>
          <w:rFonts w:hint="eastAsia"/>
          <w:noProof/>
          <w:sz w:val="24"/>
          <w:lang w:val="en-US" w:eastAsia="zh-CN"/>
        </w:rPr>
        <w:drawing>
          <wp:inline distT="0" distB="0" distL="0" distR="0">
            <wp:extent cx="1980000" cy="1209006"/>
            <wp:effectExtent l="19050" t="0" r="120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srcRect/>
                    <a:stretch>
                      <a:fillRect/>
                    </a:stretch>
                  </pic:blipFill>
                  <pic:spPr bwMode="auto">
                    <a:xfrm>
                      <a:off x="0" y="0"/>
                      <a:ext cx="1980000" cy="1209006"/>
                    </a:xfrm>
                    <a:prstGeom prst="rect">
                      <a:avLst/>
                    </a:prstGeom>
                    <a:noFill/>
                    <a:ln w="9525">
                      <a:noFill/>
                      <a:miter lim="800000"/>
                      <a:headEnd/>
                      <a:tailEnd/>
                    </a:ln>
                  </pic:spPr>
                </pic:pic>
              </a:graphicData>
            </a:graphic>
          </wp:inline>
        </w:drawing>
      </w:r>
    </w:p>
    <w:p w:rsidR="008A6C9F" w:rsidRPr="008A6C9F" w:rsidRDefault="008A6C9F" w:rsidP="008A6C9F">
      <w:pPr>
        <w:jc w:val="center"/>
        <w:rPr>
          <w:rFonts w:ascii="Times New Roman" w:eastAsia="Times New Roman" w:hAnsi="Times New Roman" w:cs="Times New Roman"/>
          <w:color w:val="auto"/>
          <w:sz w:val="18"/>
          <w:szCs w:val="24"/>
          <w:lang w:val="en-GB" w:eastAsia="hr-HR"/>
        </w:rPr>
      </w:pPr>
      <w:proofErr w:type="gramStart"/>
      <w:r w:rsidRPr="008A6C9F">
        <w:rPr>
          <w:rFonts w:ascii="Times New Roman" w:eastAsia="Times New Roman" w:hAnsi="Times New Roman" w:cs="Times New Roman" w:hint="eastAsia"/>
          <w:color w:val="auto"/>
          <w:sz w:val="18"/>
          <w:szCs w:val="24"/>
          <w:lang w:val="en-GB" w:eastAsia="hr-HR"/>
        </w:rPr>
        <w:t>Fig. 6.</w:t>
      </w:r>
      <w:proofErr w:type="gramEnd"/>
      <w:r w:rsidRPr="008A6C9F">
        <w:rPr>
          <w:rFonts w:ascii="Times New Roman" w:eastAsia="Times New Roman" w:hAnsi="Times New Roman" w:cs="Times New Roman" w:hint="eastAsia"/>
          <w:color w:val="auto"/>
          <w:sz w:val="18"/>
          <w:szCs w:val="24"/>
          <w:lang w:val="en-GB" w:eastAsia="hr-HR"/>
        </w:rPr>
        <w:t xml:space="preserve"> Degree of equivalence for voltage</w:t>
      </w:r>
      <w:r w:rsidRPr="008A6C9F">
        <w:rPr>
          <w:rFonts w:ascii="Times New Roman" w:eastAsia="Times New Roman" w:hAnsi="Times New Roman" w:cs="Times New Roman"/>
          <w:color w:val="auto"/>
          <w:sz w:val="18"/>
          <w:szCs w:val="24"/>
          <w:lang w:val="en-GB" w:eastAsia="hr-HR"/>
        </w:rPr>
        <w:t xml:space="preserve"> sensitivities </w:t>
      </w:r>
      <w:r w:rsidRPr="008A6C9F">
        <w:rPr>
          <w:rFonts w:ascii="Times New Roman" w:eastAsia="Times New Roman" w:hAnsi="Times New Roman" w:cs="Times New Roman" w:hint="eastAsia"/>
          <w:color w:val="auto"/>
          <w:sz w:val="18"/>
          <w:szCs w:val="24"/>
          <w:lang w:val="en-GB" w:eastAsia="hr-HR"/>
        </w:rPr>
        <w:t>under monopole shock excitation</w:t>
      </w:r>
      <w:r>
        <w:rPr>
          <w:rFonts w:ascii="Times New Roman" w:hAnsi="Times New Roman" w:cs="Times New Roman" w:hint="eastAsia"/>
          <w:color w:val="auto"/>
          <w:sz w:val="18"/>
          <w:szCs w:val="24"/>
          <w:lang w:val="en-GB" w:eastAsia="zh-CN"/>
        </w:rPr>
        <w:t xml:space="preserve"> </w:t>
      </w:r>
      <w:r w:rsidRPr="008A6C9F">
        <w:rPr>
          <w:rFonts w:ascii="Times New Roman" w:eastAsia="Times New Roman" w:hAnsi="Times New Roman" w:cs="Times New Roman" w:hint="eastAsia"/>
          <w:color w:val="auto"/>
          <w:sz w:val="18"/>
          <w:szCs w:val="24"/>
          <w:lang w:val="en-GB" w:eastAsia="hr-HR"/>
        </w:rPr>
        <w:t>at 1000</w:t>
      </w:r>
      <w:r w:rsidRPr="008A6C9F">
        <w:rPr>
          <w:rFonts w:ascii="Times New Roman" w:eastAsia="Times New Roman" w:hAnsi="Times New Roman" w:cs="Times New Roman"/>
          <w:color w:val="auto"/>
          <w:sz w:val="18"/>
          <w:szCs w:val="24"/>
          <w:lang w:val="en-GB" w:eastAsia="hr-HR"/>
        </w:rPr>
        <w:t xml:space="preserve"> </w:t>
      </w:r>
      <w:r w:rsidRPr="008A6C9F">
        <w:rPr>
          <w:rFonts w:ascii="Times New Roman" w:eastAsia="Times New Roman" w:hAnsi="Times New Roman" w:cs="Times New Roman" w:hint="eastAsia"/>
          <w:color w:val="auto"/>
          <w:sz w:val="18"/>
          <w:szCs w:val="24"/>
          <w:lang w:val="en-GB" w:eastAsia="hr-HR"/>
        </w:rPr>
        <w:t>m/s</w:t>
      </w:r>
      <w:r w:rsidRPr="003C7CBA">
        <w:rPr>
          <w:rFonts w:ascii="Times New Roman" w:eastAsia="Times New Roman" w:hAnsi="Times New Roman" w:cs="Times New Roman" w:hint="eastAsia"/>
          <w:color w:val="auto"/>
          <w:sz w:val="18"/>
          <w:szCs w:val="24"/>
          <w:vertAlign w:val="superscript"/>
          <w:lang w:val="en-GB" w:eastAsia="hr-HR"/>
        </w:rPr>
        <w:t>2</w:t>
      </w:r>
      <w:r w:rsidRPr="008A6C9F">
        <w:rPr>
          <w:rFonts w:ascii="Times New Roman" w:eastAsia="Times New Roman" w:hAnsi="Times New Roman" w:cs="Times New Roman" w:hint="eastAsia"/>
          <w:color w:val="auto"/>
          <w:sz w:val="18"/>
          <w:szCs w:val="24"/>
          <w:lang w:val="en-GB" w:eastAsia="hr-HR"/>
        </w:rPr>
        <w:t>, 2.0 ms and 5000</w:t>
      </w:r>
      <w:r w:rsidRPr="008A6C9F">
        <w:rPr>
          <w:rFonts w:ascii="Times New Roman" w:eastAsia="Times New Roman" w:hAnsi="Times New Roman" w:cs="Times New Roman"/>
          <w:color w:val="auto"/>
          <w:sz w:val="18"/>
          <w:szCs w:val="24"/>
          <w:lang w:val="en-GB" w:eastAsia="hr-HR"/>
        </w:rPr>
        <w:t xml:space="preserve"> </w:t>
      </w:r>
      <w:r w:rsidRPr="008A6C9F">
        <w:rPr>
          <w:rFonts w:ascii="Times New Roman" w:eastAsia="Times New Roman" w:hAnsi="Times New Roman" w:cs="Times New Roman" w:hint="eastAsia"/>
          <w:color w:val="auto"/>
          <w:sz w:val="18"/>
          <w:szCs w:val="24"/>
          <w:lang w:val="en-GB" w:eastAsia="hr-HR"/>
        </w:rPr>
        <w:t>m/s</w:t>
      </w:r>
      <w:r w:rsidRPr="003C7CBA">
        <w:rPr>
          <w:rFonts w:ascii="Times New Roman" w:eastAsia="Times New Roman" w:hAnsi="Times New Roman" w:cs="Times New Roman" w:hint="eastAsia"/>
          <w:color w:val="auto"/>
          <w:sz w:val="18"/>
          <w:szCs w:val="24"/>
          <w:vertAlign w:val="superscript"/>
          <w:lang w:val="en-GB" w:eastAsia="hr-HR"/>
        </w:rPr>
        <w:t>2</w:t>
      </w:r>
      <w:r w:rsidRPr="008A6C9F">
        <w:rPr>
          <w:rFonts w:ascii="Times New Roman" w:eastAsia="Times New Roman" w:hAnsi="Times New Roman" w:cs="Times New Roman" w:hint="eastAsia"/>
          <w:color w:val="auto"/>
          <w:sz w:val="18"/>
          <w:szCs w:val="24"/>
          <w:lang w:val="en-GB" w:eastAsia="hr-HR"/>
        </w:rPr>
        <w:t>, 0.8 ms</w:t>
      </w:r>
    </w:p>
    <w:p w:rsidR="008A6C9F" w:rsidRPr="0098704C" w:rsidRDefault="008A6C9F" w:rsidP="008A6C9F">
      <w:pPr>
        <w:spacing w:line="360" w:lineRule="auto"/>
        <w:jc w:val="center"/>
        <w:rPr>
          <w:sz w:val="21"/>
          <w:szCs w:val="21"/>
          <w:lang w:eastAsia="zh-CN"/>
        </w:rPr>
      </w:pPr>
      <w:r>
        <w:rPr>
          <w:rFonts w:hint="eastAsia"/>
          <w:noProof/>
          <w:lang w:val="en-US" w:eastAsia="zh-CN"/>
        </w:rPr>
        <w:lastRenderedPageBreak/>
        <w:drawing>
          <wp:inline distT="0" distB="0" distL="0" distR="0">
            <wp:extent cx="1980000" cy="1239420"/>
            <wp:effectExtent l="19050" t="0" r="120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srcRect/>
                    <a:stretch>
                      <a:fillRect/>
                    </a:stretch>
                  </pic:blipFill>
                  <pic:spPr bwMode="auto">
                    <a:xfrm>
                      <a:off x="0" y="0"/>
                      <a:ext cx="1980000" cy="1239420"/>
                    </a:xfrm>
                    <a:prstGeom prst="rect">
                      <a:avLst/>
                    </a:prstGeom>
                    <a:noFill/>
                    <a:ln w="9525">
                      <a:noFill/>
                      <a:miter lim="800000"/>
                      <a:headEnd/>
                      <a:tailEnd/>
                    </a:ln>
                  </pic:spPr>
                </pic:pic>
              </a:graphicData>
            </a:graphic>
          </wp:inline>
        </w:drawing>
      </w:r>
      <w:r>
        <w:rPr>
          <w:rFonts w:hint="eastAsia"/>
          <w:noProof/>
          <w:lang w:val="en-US" w:eastAsia="zh-CN"/>
        </w:rPr>
        <w:drawing>
          <wp:inline distT="0" distB="0" distL="0" distR="0">
            <wp:extent cx="1980000" cy="1224213"/>
            <wp:effectExtent l="19050" t="0" r="120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srcRect/>
                    <a:stretch>
                      <a:fillRect/>
                    </a:stretch>
                  </pic:blipFill>
                  <pic:spPr bwMode="auto">
                    <a:xfrm>
                      <a:off x="0" y="0"/>
                      <a:ext cx="1980000" cy="1224213"/>
                    </a:xfrm>
                    <a:prstGeom prst="rect">
                      <a:avLst/>
                    </a:prstGeom>
                    <a:noFill/>
                    <a:ln w="9525">
                      <a:noFill/>
                      <a:miter lim="800000"/>
                      <a:headEnd/>
                      <a:tailEnd/>
                    </a:ln>
                  </pic:spPr>
                </pic:pic>
              </a:graphicData>
            </a:graphic>
          </wp:inline>
        </w:drawing>
      </w:r>
    </w:p>
    <w:p w:rsidR="00E11931" w:rsidRPr="008A6C9F" w:rsidRDefault="008A6C9F" w:rsidP="008A6C9F">
      <w:pPr>
        <w:jc w:val="center"/>
        <w:rPr>
          <w:rFonts w:ascii="Times New Roman" w:hAnsi="Times New Roman" w:cs="Times New Roman"/>
          <w:color w:val="auto"/>
          <w:sz w:val="18"/>
          <w:szCs w:val="24"/>
          <w:lang w:val="en-GB" w:eastAsia="zh-CN"/>
        </w:rPr>
      </w:pPr>
      <w:proofErr w:type="gramStart"/>
      <w:r w:rsidRPr="008A6C9F">
        <w:rPr>
          <w:rFonts w:ascii="Times New Roman" w:eastAsia="Times New Roman" w:hAnsi="Times New Roman" w:cs="Times New Roman" w:hint="eastAsia"/>
          <w:color w:val="auto"/>
          <w:sz w:val="18"/>
          <w:szCs w:val="24"/>
          <w:lang w:val="en-GB" w:eastAsia="hr-HR"/>
        </w:rPr>
        <w:t>Fig. 7.</w:t>
      </w:r>
      <w:proofErr w:type="gramEnd"/>
      <w:r w:rsidRPr="008A6C9F">
        <w:rPr>
          <w:rFonts w:ascii="Times New Roman" w:eastAsia="Times New Roman" w:hAnsi="Times New Roman" w:cs="Times New Roman" w:hint="eastAsia"/>
          <w:color w:val="auto"/>
          <w:sz w:val="18"/>
          <w:szCs w:val="24"/>
          <w:lang w:val="en-GB" w:eastAsia="hr-HR"/>
        </w:rPr>
        <w:t xml:space="preserve"> Degree of equivalence for voltage</w:t>
      </w:r>
      <w:r w:rsidRPr="008A6C9F">
        <w:rPr>
          <w:rFonts w:ascii="Times New Roman" w:eastAsia="Times New Roman" w:hAnsi="Times New Roman" w:cs="Times New Roman"/>
          <w:color w:val="auto"/>
          <w:sz w:val="18"/>
          <w:szCs w:val="24"/>
          <w:lang w:val="en-GB" w:eastAsia="hr-HR"/>
        </w:rPr>
        <w:t xml:space="preserve"> sensitivities </w:t>
      </w:r>
      <w:r w:rsidRPr="008A6C9F">
        <w:rPr>
          <w:rFonts w:ascii="Times New Roman" w:eastAsia="Times New Roman" w:hAnsi="Times New Roman" w:cs="Times New Roman" w:hint="eastAsia"/>
          <w:color w:val="auto"/>
          <w:sz w:val="18"/>
          <w:szCs w:val="24"/>
          <w:lang w:val="en-GB" w:eastAsia="hr-HR"/>
        </w:rPr>
        <w:t>under dipole shock excitation</w:t>
      </w:r>
      <w:r>
        <w:rPr>
          <w:rFonts w:ascii="Times New Roman" w:hAnsi="Times New Roman" w:cs="Times New Roman" w:hint="eastAsia"/>
          <w:color w:val="auto"/>
          <w:sz w:val="18"/>
          <w:szCs w:val="24"/>
          <w:lang w:val="en-GB" w:eastAsia="zh-CN"/>
        </w:rPr>
        <w:t xml:space="preserve"> </w:t>
      </w:r>
      <w:r w:rsidRPr="008A6C9F">
        <w:rPr>
          <w:rFonts w:ascii="Times New Roman" w:eastAsia="Times New Roman" w:hAnsi="Times New Roman" w:cs="Times New Roman" w:hint="eastAsia"/>
          <w:color w:val="auto"/>
          <w:sz w:val="18"/>
          <w:szCs w:val="24"/>
          <w:lang w:val="en-GB" w:eastAsia="hr-HR"/>
        </w:rPr>
        <w:t>at 1000</w:t>
      </w:r>
      <w:r w:rsidRPr="008A6C9F">
        <w:rPr>
          <w:rFonts w:ascii="Times New Roman" w:eastAsia="Times New Roman" w:hAnsi="Times New Roman" w:cs="Times New Roman"/>
          <w:color w:val="auto"/>
          <w:sz w:val="18"/>
          <w:szCs w:val="24"/>
          <w:lang w:val="en-GB" w:eastAsia="hr-HR"/>
        </w:rPr>
        <w:t xml:space="preserve"> </w:t>
      </w:r>
      <w:r w:rsidRPr="008A6C9F">
        <w:rPr>
          <w:rFonts w:ascii="Times New Roman" w:eastAsia="Times New Roman" w:hAnsi="Times New Roman" w:cs="Times New Roman" w:hint="eastAsia"/>
          <w:color w:val="auto"/>
          <w:sz w:val="18"/>
          <w:szCs w:val="24"/>
          <w:lang w:val="en-GB" w:eastAsia="hr-HR"/>
        </w:rPr>
        <w:t>m/s</w:t>
      </w:r>
      <w:r w:rsidRPr="003C7CBA">
        <w:rPr>
          <w:rFonts w:ascii="Times New Roman" w:eastAsia="Times New Roman" w:hAnsi="Times New Roman" w:cs="Times New Roman" w:hint="eastAsia"/>
          <w:color w:val="auto"/>
          <w:sz w:val="18"/>
          <w:szCs w:val="24"/>
          <w:vertAlign w:val="superscript"/>
          <w:lang w:val="en-GB" w:eastAsia="hr-HR"/>
        </w:rPr>
        <w:t>2</w:t>
      </w:r>
      <w:r w:rsidRPr="008A6C9F">
        <w:rPr>
          <w:rFonts w:ascii="Times New Roman" w:eastAsia="Times New Roman" w:hAnsi="Times New Roman" w:cs="Times New Roman" w:hint="eastAsia"/>
          <w:color w:val="auto"/>
          <w:sz w:val="18"/>
          <w:szCs w:val="24"/>
          <w:lang w:val="en-GB" w:eastAsia="hr-HR"/>
        </w:rPr>
        <w:t>, 0.20 ms and 0.03 ms</w:t>
      </w:r>
    </w:p>
    <w:p w:rsidR="00085803" w:rsidRDefault="00085803" w:rsidP="00085803">
      <w:pPr>
        <w:pStyle w:val="Text"/>
      </w:pPr>
    </w:p>
    <w:p w:rsidR="00085803" w:rsidRDefault="00085803" w:rsidP="00085803">
      <w:pPr>
        <w:pStyle w:val="Section"/>
      </w:pPr>
      <w:r>
        <w:t>4.  CONCLUSIONS</w:t>
      </w:r>
    </w:p>
    <w:p w:rsidR="00B52AA1" w:rsidRPr="00B52AA1" w:rsidRDefault="00B52AA1" w:rsidP="00B52AA1">
      <w:pPr>
        <w:pStyle w:val="Text"/>
      </w:pPr>
      <w:r w:rsidRPr="00B52AA1">
        <w:rPr>
          <w:rFonts w:hint="eastAsia"/>
        </w:rPr>
        <w:t>Based on the investigation work of primary low intensity shock calibration technique and feasibility of a pilot comparison, T</w:t>
      </w:r>
      <w:r w:rsidRPr="00B52AA1">
        <w:t xml:space="preserve">CAUV </w:t>
      </w:r>
      <w:r w:rsidRPr="00B52AA1">
        <w:rPr>
          <w:rFonts w:hint="eastAsia"/>
        </w:rPr>
        <w:t>of APMP has successfully conducted</w:t>
      </w:r>
      <w:r w:rsidRPr="00B52AA1">
        <w:t xml:space="preserve"> a</w:t>
      </w:r>
      <w:r w:rsidRPr="00B52AA1">
        <w:rPr>
          <w:rFonts w:hint="eastAsia"/>
        </w:rPr>
        <w:t xml:space="preserve"> pilot</w:t>
      </w:r>
      <w:r w:rsidRPr="00B52AA1">
        <w:t xml:space="preserve"> </w:t>
      </w:r>
      <w:r w:rsidRPr="00B52AA1">
        <w:rPr>
          <w:rFonts w:hint="eastAsia"/>
        </w:rPr>
        <w:t>comparison</w:t>
      </w:r>
      <w:r w:rsidRPr="00B52AA1">
        <w:t xml:space="preserve"> </w:t>
      </w:r>
      <w:r w:rsidRPr="00B52AA1">
        <w:rPr>
          <w:rFonts w:hint="eastAsia"/>
        </w:rPr>
        <w:t xml:space="preserve">of shock acceleration sensitivity at low intensity shock acceleration </w:t>
      </w:r>
      <w:r w:rsidRPr="00B52AA1">
        <w:t>from</w:t>
      </w:r>
      <w:r w:rsidRPr="00B52AA1">
        <w:rPr>
          <w:rFonts w:hint="eastAsia"/>
        </w:rPr>
        <w:t xml:space="preserve"> 500 m/s² to 5000 </w:t>
      </w:r>
      <w:r w:rsidRPr="00B52AA1">
        <w:t>m/s².</w:t>
      </w:r>
      <w:r w:rsidRPr="00B52AA1">
        <w:rPr>
          <w:rFonts w:hint="eastAsia"/>
        </w:rPr>
        <w:t xml:space="preserve"> Laser interferometer is a necessity as measurement standard </w:t>
      </w:r>
      <w:r w:rsidRPr="00B52AA1">
        <w:rPr>
          <w:rFonts w:hint="eastAsia"/>
        </w:rPr>
        <w:lastRenderedPageBreak/>
        <w:t xml:space="preserve">of the calibration system. Three different types of mechanical shock excitation are employed by participants. </w:t>
      </w:r>
    </w:p>
    <w:p w:rsidR="00B52AA1" w:rsidRPr="00B52AA1" w:rsidRDefault="00B52AA1" w:rsidP="00B52AA1">
      <w:pPr>
        <w:pStyle w:val="Text"/>
      </w:pPr>
      <w:r w:rsidRPr="00B52AA1">
        <w:rPr>
          <w:rFonts w:hint="eastAsia"/>
        </w:rPr>
        <w:t xml:space="preserve">The comparison results are divided into two groups by the excitation pulse shape: monopole group and dipole group. </w:t>
      </w:r>
      <w:r w:rsidRPr="00B52AA1">
        <w:t xml:space="preserve">The reported sensitivities and associated uncertainties </w:t>
      </w:r>
      <w:r w:rsidRPr="00B52AA1">
        <w:rPr>
          <w:rFonts w:hint="eastAsia"/>
        </w:rPr>
        <w:t xml:space="preserve">by four </w:t>
      </w:r>
      <w:r w:rsidRPr="00B52AA1">
        <w:t>participants</w:t>
      </w:r>
      <w:r w:rsidRPr="00B52AA1">
        <w:rPr>
          <w:rFonts w:hint="eastAsia"/>
        </w:rPr>
        <w:t xml:space="preserve"> NIM, ITRI, NIMT and SPEKTRA are</w:t>
      </w:r>
      <w:r w:rsidRPr="00B52AA1">
        <w:t xml:space="preserve"> used for the calculation of </w:t>
      </w:r>
      <w:r w:rsidRPr="00B52AA1">
        <w:rPr>
          <w:rFonts w:hint="eastAsia"/>
        </w:rPr>
        <w:t xml:space="preserve">mean values of </w:t>
      </w:r>
      <w:r w:rsidRPr="00B52AA1">
        <w:t xml:space="preserve">the </w:t>
      </w:r>
      <w:r w:rsidRPr="00B52AA1">
        <w:rPr>
          <w:rFonts w:hint="eastAsia"/>
        </w:rPr>
        <w:t>p</w:t>
      </w:r>
      <w:r w:rsidRPr="00B52AA1">
        <w:t xml:space="preserve">ilot comparison </w:t>
      </w:r>
      <w:r w:rsidRPr="00B52AA1">
        <w:rPr>
          <w:rFonts w:hint="eastAsia"/>
        </w:rPr>
        <w:t>results and their associated uncertainties, as well as the deviations to the mean values with associated uncertainties</w:t>
      </w:r>
      <w:r w:rsidRPr="00B52AA1">
        <w:t>.</w:t>
      </w:r>
      <w:r w:rsidRPr="00B52AA1">
        <w:rPr>
          <w:rFonts w:hint="eastAsia"/>
        </w:rPr>
        <w:t xml:space="preserve"> T</w:t>
      </w:r>
      <w:r w:rsidRPr="00B52AA1">
        <w:t xml:space="preserve">he degrees of equivalence calculated from the </w:t>
      </w:r>
      <w:r w:rsidRPr="00B52AA1">
        <w:rPr>
          <w:rFonts w:hint="eastAsia"/>
        </w:rPr>
        <w:t>measurement results</w:t>
      </w:r>
      <w:r w:rsidRPr="00B52AA1">
        <w:t xml:space="preserve"> by the</w:t>
      </w:r>
      <w:r w:rsidRPr="00B52AA1">
        <w:rPr>
          <w:rFonts w:hint="eastAsia"/>
        </w:rPr>
        <w:t xml:space="preserve"> four participants</w:t>
      </w:r>
      <w:r w:rsidRPr="00B52AA1">
        <w:t xml:space="preserve"> support the uncertainty of measurement reported by the</w:t>
      </w:r>
      <w:r w:rsidRPr="00B52AA1">
        <w:rPr>
          <w:rFonts w:hint="eastAsia"/>
        </w:rPr>
        <w:t>m at all acceleration levels and pulse durations specified in technical protocol</w:t>
      </w:r>
      <w:r w:rsidRPr="00B52AA1">
        <w:t>.</w:t>
      </w:r>
      <w:r w:rsidRPr="00B52AA1">
        <w:rPr>
          <w:rFonts w:hint="eastAsia"/>
        </w:rPr>
        <w:t xml:space="preserve"> </w:t>
      </w:r>
    </w:p>
    <w:p w:rsidR="00B52AA1" w:rsidRPr="00B52AA1" w:rsidRDefault="00B52AA1" w:rsidP="00B52AA1">
      <w:pPr>
        <w:pStyle w:val="Text"/>
      </w:pPr>
      <w:r w:rsidRPr="00B52AA1">
        <w:rPr>
          <w:rFonts w:hint="eastAsia"/>
        </w:rPr>
        <w:t xml:space="preserve">The successful completion of this pilot comparison can serve, among other things, as part of the basis </w:t>
      </w:r>
      <w:r w:rsidRPr="00B52AA1">
        <w:t xml:space="preserve">for a </w:t>
      </w:r>
      <w:r w:rsidRPr="00B52AA1">
        <w:rPr>
          <w:rFonts w:hint="eastAsia"/>
        </w:rPr>
        <w:t>planned key</w:t>
      </w:r>
      <w:r w:rsidRPr="00B52AA1">
        <w:t xml:space="preserve"> comparison targeted at a low</w:t>
      </w:r>
      <w:r w:rsidRPr="00B52AA1">
        <w:rPr>
          <w:rFonts w:hint="eastAsia"/>
        </w:rPr>
        <w:t xml:space="preserve"> intensity shock</w:t>
      </w:r>
      <w:r w:rsidRPr="00B52AA1">
        <w:t xml:space="preserve"> range</w:t>
      </w:r>
      <w:r w:rsidRPr="00B52AA1">
        <w:rPr>
          <w:rFonts w:hint="eastAsia"/>
        </w:rPr>
        <w:t xml:space="preserve"> at CCAUV.</w:t>
      </w:r>
    </w:p>
    <w:p w:rsidR="00085803" w:rsidRDefault="00085803" w:rsidP="00085803">
      <w:pPr>
        <w:pStyle w:val="Section"/>
      </w:pPr>
      <w:r>
        <w:t>ACKNOWLEDGMENTS</w:t>
      </w:r>
    </w:p>
    <w:p w:rsidR="00B52AA1" w:rsidRPr="00B52AA1" w:rsidRDefault="00B52AA1" w:rsidP="00085803">
      <w:pPr>
        <w:pStyle w:val="Text"/>
      </w:pPr>
      <w:r w:rsidRPr="00B52AA1">
        <w:t>This work was supported in part by General Administration of Quality Supervision, Inspection and Quarantine of the People’s Republic of China under Contract No.</w:t>
      </w:r>
      <w:r w:rsidRPr="00B52AA1">
        <w:rPr>
          <w:rFonts w:hint="eastAsia"/>
        </w:rPr>
        <w:t xml:space="preserve"> ALC1201 and was partly </w:t>
      </w:r>
      <w:r w:rsidRPr="00B52AA1">
        <w:t>funded by</w:t>
      </w:r>
      <w:r w:rsidRPr="00B52AA1">
        <w:rPr>
          <w:rFonts w:hint="eastAsia"/>
        </w:rPr>
        <w:t xml:space="preserve"> APMP TC Initiative project </w:t>
      </w:r>
      <w:r w:rsidRPr="00B52AA1">
        <w:t>No.</w:t>
      </w:r>
      <w:r w:rsidRPr="00B52AA1">
        <w:rPr>
          <w:rFonts w:hint="eastAsia"/>
        </w:rPr>
        <w:t xml:space="preserve"> TCI-2011-01-TCAUV and by APMP DEC project 2014. </w:t>
      </w:r>
      <w:r w:rsidRPr="00B52AA1">
        <w:t xml:space="preserve">The authors would like to give special thanks to colleagues in </w:t>
      </w:r>
      <w:r w:rsidRPr="00B52AA1">
        <w:rPr>
          <w:rFonts w:hint="eastAsia"/>
        </w:rPr>
        <w:t xml:space="preserve">ITRI, NIMT, NMIJ and SPEKTRA </w:t>
      </w:r>
      <w:r w:rsidRPr="00B52AA1">
        <w:t>for their support and cooperation in</w:t>
      </w:r>
      <w:r w:rsidRPr="00B52AA1">
        <w:rPr>
          <w:rFonts w:hint="eastAsia"/>
        </w:rPr>
        <w:t xml:space="preserve"> this comparison, related research work and workshop activities.</w:t>
      </w:r>
    </w:p>
    <w:p w:rsidR="00085803" w:rsidRDefault="00085803" w:rsidP="00085803">
      <w:pPr>
        <w:pStyle w:val="Section"/>
      </w:pPr>
      <w:r>
        <w:t>REFERENCES</w:t>
      </w:r>
    </w:p>
    <w:p w:rsidR="00B52AA1" w:rsidRPr="00B52AA1" w:rsidRDefault="00B52AA1" w:rsidP="00B52AA1">
      <w:pPr>
        <w:pStyle w:val="Reference"/>
        <w:rPr>
          <w:rFonts w:eastAsiaTheme="minorEastAsia"/>
          <w:szCs w:val="18"/>
          <w:lang w:eastAsia="zh-CN"/>
        </w:rPr>
      </w:pPr>
      <w:r w:rsidRPr="00B52AA1">
        <w:rPr>
          <w:szCs w:val="18"/>
        </w:rPr>
        <w:t xml:space="preserve">[1] </w:t>
      </w:r>
      <w:r>
        <w:rPr>
          <w:rFonts w:eastAsiaTheme="minorEastAsia" w:hint="eastAsia"/>
          <w:szCs w:val="18"/>
          <w:lang w:eastAsia="zh-CN"/>
        </w:rPr>
        <w:t xml:space="preserve">  </w:t>
      </w:r>
      <w:r w:rsidRPr="00B52AA1">
        <w:t>Link</w:t>
      </w:r>
      <w:r w:rsidRPr="00B52AA1">
        <w:rPr>
          <w:color w:val="000000"/>
          <w:szCs w:val="18"/>
        </w:rPr>
        <w:t xml:space="preserve"> A</w:t>
      </w:r>
      <w:r w:rsidRPr="00B52AA1">
        <w:rPr>
          <w:rFonts w:eastAsia="宋体"/>
          <w:color w:val="000000"/>
          <w:szCs w:val="18"/>
          <w:lang w:eastAsia="zh-CN"/>
        </w:rPr>
        <w:t>,</w:t>
      </w:r>
      <w:r w:rsidRPr="00B52AA1">
        <w:rPr>
          <w:color w:val="000000"/>
          <w:szCs w:val="18"/>
        </w:rPr>
        <w:t xml:space="preserve"> von Martens HJ</w:t>
      </w:r>
      <w:r w:rsidRPr="00B52AA1">
        <w:rPr>
          <w:rFonts w:eastAsiaTheme="minorEastAsia"/>
          <w:color w:val="000000"/>
          <w:szCs w:val="18"/>
          <w:lang w:eastAsia="zh-CN"/>
        </w:rPr>
        <w:t xml:space="preserve">, </w:t>
      </w:r>
      <w:r w:rsidRPr="00B52AA1">
        <w:rPr>
          <w:color w:val="000000"/>
          <w:szCs w:val="18"/>
        </w:rPr>
        <w:t>Calibration of accelerometers by shock excitation and laser interferometry</w:t>
      </w:r>
      <w:r w:rsidRPr="00B52AA1">
        <w:rPr>
          <w:rFonts w:eastAsiaTheme="minorEastAsia"/>
          <w:color w:val="000000"/>
          <w:szCs w:val="18"/>
          <w:lang w:eastAsia="zh-CN"/>
        </w:rPr>
        <w:t>,</w:t>
      </w:r>
      <w:r w:rsidRPr="00B52AA1">
        <w:rPr>
          <w:color w:val="000000"/>
          <w:szCs w:val="18"/>
        </w:rPr>
        <w:t xml:space="preserve"> </w:t>
      </w:r>
      <w:r w:rsidRPr="00B52AA1">
        <w:rPr>
          <w:i/>
        </w:rPr>
        <w:t>Shock Vib</w:t>
      </w:r>
      <w:r w:rsidRPr="00B52AA1">
        <w:rPr>
          <w:rFonts w:eastAsiaTheme="minorEastAsia"/>
          <w:color w:val="000000"/>
          <w:szCs w:val="18"/>
          <w:lang w:eastAsia="zh-CN"/>
        </w:rPr>
        <w:t xml:space="preserve">, </w:t>
      </w:r>
      <w:r w:rsidRPr="00B52AA1">
        <w:rPr>
          <w:rFonts w:eastAsia="宋体"/>
          <w:color w:val="000000"/>
          <w:szCs w:val="18"/>
          <w:lang w:eastAsia="zh-CN"/>
        </w:rPr>
        <w:t>2000</w:t>
      </w:r>
      <w:r w:rsidRPr="00B52AA1">
        <w:rPr>
          <w:color w:val="000000"/>
          <w:szCs w:val="18"/>
        </w:rPr>
        <w:t xml:space="preserve"> 7:101-112</w:t>
      </w:r>
      <w:r w:rsidRPr="00B52AA1">
        <w:rPr>
          <w:rFonts w:eastAsiaTheme="minorEastAsia"/>
          <w:color w:val="000000"/>
          <w:szCs w:val="18"/>
          <w:lang w:eastAsia="zh-CN"/>
        </w:rPr>
        <w:t>.</w:t>
      </w:r>
    </w:p>
    <w:p w:rsidR="00B52AA1" w:rsidRPr="00B52AA1" w:rsidRDefault="00B52AA1" w:rsidP="00B52AA1">
      <w:pPr>
        <w:pStyle w:val="Reference"/>
        <w:rPr>
          <w:rFonts w:eastAsiaTheme="minorEastAsia"/>
          <w:szCs w:val="18"/>
          <w:lang w:eastAsia="zh-CN"/>
        </w:rPr>
      </w:pPr>
      <w:r w:rsidRPr="00B52AA1">
        <w:rPr>
          <w:szCs w:val="18"/>
        </w:rPr>
        <w:t>[</w:t>
      </w:r>
      <w:r w:rsidRPr="00B52AA1">
        <w:rPr>
          <w:rFonts w:eastAsiaTheme="minorEastAsia"/>
          <w:szCs w:val="18"/>
          <w:lang w:eastAsia="zh-CN"/>
        </w:rPr>
        <w:t>2</w:t>
      </w:r>
      <w:r w:rsidRPr="00B52AA1">
        <w:rPr>
          <w:szCs w:val="18"/>
        </w:rPr>
        <w:t xml:space="preserve">] </w:t>
      </w:r>
      <w:r>
        <w:rPr>
          <w:rFonts w:eastAsiaTheme="minorEastAsia" w:hint="eastAsia"/>
          <w:szCs w:val="18"/>
          <w:lang w:eastAsia="zh-CN"/>
        </w:rPr>
        <w:t xml:space="preserve"> </w:t>
      </w:r>
      <w:r w:rsidRPr="00B52AA1">
        <w:rPr>
          <w:color w:val="000000"/>
          <w:szCs w:val="18"/>
        </w:rPr>
        <w:t xml:space="preserve">H </w:t>
      </w:r>
      <w:proofErr w:type="spellStart"/>
      <w:r w:rsidRPr="00B52AA1">
        <w:t>Nozato</w:t>
      </w:r>
      <w:proofErr w:type="spellEnd"/>
      <w:r w:rsidRPr="00B52AA1">
        <w:rPr>
          <w:color w:val="000000"/>
          <w:szCs w:val="18"/>
        </w:rPr>
        <w:t xml:space="preserve">, T </w:t>
      </w:r>
      <w:proofErr w:type="spellStart"/>
      <w:r w:rsidRPr="00B52AA1">
        <w:rPr>
          <w:color w:val="000000"/>
          <w:szCs w:val="18"/>
        </w:rPr>
        <w:t>Usuda</w:t>
      </w:r>
      <w:proofErr w:type="spellEnd"/>
      <w:r w:rsidRPr="00B52AA1">
        <w:rPr>
          <w:color w:val="000000"/>
          <w:szCs w:val="18"/>
        </w:rPr>
        <w:t>, A Oota</w:t>
      </w:r>
      <w:r w:rsidRPr="00B52AA1">
        <w:rPr>
          <w:rFonts w:eastAsia="宋体"/>
          <w:color w:val="000000"/>
          <w:szCs w:val="18"/>
          <w:lang w:eastAsia="zh-CN"/>
        </w:rPr>
        <w:t xml:space="preserve">, </w:t>
      </w:r>
      <w:r w:rsidRPr="00B52AA1">
        <w:rPr>
          <w:color w:val="000000"/>
          <w:szCs w:val="18"/>
          <w:lang w:eastAsia="zh-CN"/>
        </w:rPr>
        <w:t>T Ishigami</w:t>
      </w:r>
      <w:r w:rsidRPr="00B52AA1">
        <w:rPr>
          <w:rFonts w:eastAsiaTheme="minorEastAsia"/>
          <w:color w:val="000000"/>
          <w:szCs w:val="18"/>
          <w:lang w:eastAsia="zh-CN"/>
        </w:rPr>
        <w:t>,</w:t>
      </w:r>
      <w:r w:rsidRPr="00B52AA1">
        <w:rPr>
          <w:rFonts w:eastAsia="宋体"/>
          <w:color w:val="000000"/>
          <w:szCs w:val="18"/>
          <w:lang w:eastAsia="zh-CN"/>
        </w:rPr>
        <w:t xml:space="preserve"> </w:t>
      </w:r>
      <w:r w:rsidRPr="00B52AA1">
        <w:rPr>
          <w:color w:val="000000"/>
          <w:szCs w:val="18"/>
        </w:rPr>
        <w:t>Calibration of vibration pick-ups with laser interferometry: part IV Development of a shock acceleration exciter and calibration system</w:t>
      </w:r>
      <w:r w:rsidRPr="00B52AA1">
        <w:rPr>
          <w:rFonts w:eastAsiaTheme="minorEastAsia"/>
          <w:color w:val="000000"/>
          <w:szCs w:val="18"/>
          <w:lang w:eastAsia="zh-CN"/>
        </w:rPr>
        <w:t>,</w:t>
      </w:r>
      <w:r w:rsidRPr="00B52AA1">
        <w:rPr>
          <w:color w:val="000000"/>
          <w:szCs w:val="18"/>
        </w:rPr>
        <w:t xml:space="preserve"> </w:t>
      </w:r>
      <w:r w:rsidRPr="00B52AA1">
        <w:rPr>
          <w:i/>
        </w:rPr>
        <w:t>Measurement Sci. Technol</w:t>
      </w:r>
      <w:r w:rsidRPr="00B52AA1">
        <w:rPr>
          <w:color w:val="000000"/>
          <w:szCs w:val="18"/>
        </w:rPr>
        <w:t xml:space="preserve">. </w:t>
      </w:r>
      <w:r w:rsidRPr="00B52AA1">
        <w:rPr>
          <w:rFonts w:eastAsia="宋体"/>
          <w:color w:val="000000"/>
          <w:szCs w:val="18"/>
          <w:lang w:eastAsia="zh-CN"/>
        </w:rPr>
        <w:t>2010</w:t>
      </w:r>
      <w:r w:rsidRPr="00B52AA1">
        <w:rPr>
          <w:color w:val="000000"/>
          <w:szCs w:val="18"/>
        </w:rPr>
        <w:t xml:space="preserve"> 21:065107</w:t>
      </w:r>
      <w:r w:rsidRPr="00B52AA1">
        <w:rPr>
          <w:rFonts w:eastAsiaTheme="minorEastAsia"/>
          <w:color w:val="000000"/>
          <w:szCs w:val="18"/>
          <w:lang w:eastAsia="zh-CN"/>
        </w:rPr>
        <w:t>.</w:t>
      </w:r>
    </w:p>
    <w:p w:rsidR="00B52AA1" w:rsidRPr="00B52AA1" w:rsidRDefault="00B52AA1" w:rsidP="00B52AA1">
      <w:pPr>
        <w:pStyle w:val="Reference"/>
        <w:rPr>
          <w:rFonts w:eastAsiaTheme="minorEastAsia"/>
          <w:i/>
          <w:iCs/>
          <w:szCs w:val="18"/>
        </w:rPr>
      </w:pPr>
      <w:r w:rsidRPr="00B52AA1">
        <w:rPr>
          <w:szCs w:val="18"/>
        </w:rPr>
        <w:t>[</w:t>
      </w:r>
      <w:r w:rsidRPr="00B52AA1">
        <w:rPr>
          <w:rFonts w:eastAsiaTheme="minorEastAsia"/>
          <w:szCs w:val="18"/>
          <w:lang w:eastAsia="zh-CN"/>
        </w:rPr>
        <w:t>3</w:t>
      </w:r>
      <w:r w:rsidRPr="00B52AA1">
        <w:rPr>
          <w:szCs w:val="18"/>
        </w:rPr>
        <w:t xml:space="preserve">] </w:t>
      </w:r>
      <w:r>
        <w:rPr>
          <w:rFonts w:eastAsiaTheme="minorEastAsia" w:hint="eastAsia"/>
          <w:szCs w:val="18"/>
          <w:lang w:eastAsia="zh-CN"/>
        </w:rPr>
        <w:t xml:space="preserve">  </w:t>
      </w:r>
      <w:r w:rsidRPr="00B52AA1">
        <w:rPr>
          <w:szCs w:val="18"/>
          <w:lang w:eastAsia="zh-CN"/>
        </w:rPr>
        <w:t xml:space="preserve">Yu-Chung </w:t>
      </w:r>
      <w:r w:rsidRPr="00B52AA1">
        <w:t>Huang</w:t>
      </w:r>
      <w:r w:rsidRPr="00B52AA1">
        <w:rPr>
          <w:szCs w:val="18"/>
          <w:lang w:eastAsia="zh-CN"/>
        </w:rPr>
        <w:t xml:space="preserve">, </w:t>
      </w:r>
      <w:proofErr w:type="spellStart"/>
      <w:r w:rsidRPr="00B52AA1">
        <w:rPr>
          <w:szCs w:val="18"/>
          <w:lang w:eastAsia="zh-CN"/>
        </w:rPr>
        <w:t>Jiun</w:t>
      </w:r>
      <w:proofErr w:type="spellEnd"/>
      <w:r w:rsidRPr="00B52AA1">
        <w:rPr>
          <w:szCs w:val="18"/>
          <w:lang w:eastAsia="zh-CN"/>
        </w:rPr>
        <w:t xml:space="preserve">-Kai Chen, </w:t>
      </w:r>
      <w:proofErr w:type="spellStart"/>
      <w:r w:rsidRPr="00B52AA1">
        <w:rPr>
          <w:szCs w:val="18"/>
          <w:lang w:eastAsia="zh-CN"/>
        </w:rPr>
        <w:t>Hsin-Chia</w:t>
      </w:r>
      <w:proofErr w:type="spellEnd"/>
      <w:r w:rsidRPr="00B52AA1">
        <w:rPr>
          <w:szCs w:val="18"/>
          <w:lang w:eastAsia="zh-CN"/>
        </w:rPr>
        <w:t xml:space="preserve"> Ho, </w:t>
      </w:r>
      <w:r w:rsidRPr="00B52AA1">
        <w:rPr>
          <w:rFonts w:eastAsia="宋体"/>
          <w:szCs w:val="18"/>
          <w:lang w:eastAsia="zh-CN"/>
        </w:rPr>
        <w:t>Chung-sheng Tu, Chao-Jun Chen,</w:t>
      </w:r>
      <w:r w:rsidRPr="00B52AA1">
        <w:rPr>
          <w:szCs w:val="18"/>
          <w:lang w:eastAsia="zh-CN"/>
        </w:rPr>
        <w:t xml:space="preserve"> The set up of primary calibration system for shock acceleration in NML</w:t>
      </w:r>
      <w:r w:rsidRPr="00B52AA1">
        <w:rPr>
          <w:rFonts w:eastAsiaTheme="minorEastAsia"/>
          <w:szCs w:val="18"/>
          <w:lang w:eastAsia="zh-CN"/>
        </w:rPr>
        <w:t>,</w:t>
      </w:r>
      <w:r w:rsidRPr="00B52AA1">
        <w:rPr>
          <w:szCs w:val="18"/>
          <w:lang w:eastAsia="zh-CN"/>
        </w:rPr>
        <w:t xml:space="preserve"> </w:t>
      </w:r>
      <w:r w:rsidRPr="00B52AA1">
        <w:rPr>
          <w:i/>
        </w:rPr>
        <w:t>Measurement,</w:t>
      </w:r>
      <w:r w:rsidRPr="00B52AA1">
        <w:rPr>
          <w:rFonts w:eastAsiaTheme="minorEastAsia"/>
          <w:color w:val="000000"/>
          <w:szCs w:val="18"/>
          <w:lang w:eastAsia="zh-CN"/>
        </w:rPr>
        <w:t xml:space="preserve"> </w:t>
      </w:r>
      <w:r w:rsidRPr="00B52AA1">
        <w:rPr>
          <w:rFonts w:eastAsia="宋体"/>
          <w:szCs w:val="18"/>
          <w:lang w:eastAsia="zh-CN"/>
        </w:rPr>
        <w:t>2012</w:t>
      </w:r>
      <w:r w:rsidRPr="00B52AA1">
        <w:rPr>
          <w:color w:val="000000"/>
          <w:szCs w:val="18"/>
        </w:rPr>
        <w:t xml:space="preserve"> </w:t>
      </w:r>
      <w:r w:rsidRPr="00B52AA1">
        <w:rPr>
          <w:szCs w:val="18"/>
          <w:lang w:eastAsia="zh-CN"/>
        </w:rPr>
        <w:t>45: 2383-2387</w:t>
      </w:r>
      <w:r w:rsidRPr="00B52AA1">
        <w:rPr>
          <w:rFonts w:eastAsiaTheme="minorEastAsia"/>
          <w:szCs w:val="18"/>
          <w:lang w:eastAsia="zh-CN"/>
        </w:rPr>
        <w:t>.</w:t>
      </w:r>
    </w:p>
    <w:p w:rsidR="00B52AA1" w:rsidRPr="00B52AA1" w:rsidRDefault="00B52AA1" w:rsidP="00B52AA1">
      <w:pPr>
        <w:pStyle w:val="Reference"/>
        <w:rPr>
          <w:rFonts w:eastAsiaTheme="minorEastAsia"/>
          <w:szCs w:val="18"/>
          <w:lang w:eastAsia="zh-CN"/>
        </w:rPr>
      </w:pPr>
      <w:r w:rsidRPr="00B52AA1">
        <w:rPr>
          <w:szCs w:val="18"/>
        </w:rPr>
        <w:t>[</w:t>
      </w:r>
      <w:r w:rsidRPr="00B52AA1">
        <w:rPr>
          <w:rFonts w:eastAsiaTheme="minorEastAsia"/>
          <w:szCs w:val="18"/>
          <w:lang w:eastAsia="zh-CN"/>
        </w:rPr>
        <w:t>4</w:t>
      </w:r>
      <w:r w:rsidRPr="00B52AA1">
        <w:rPr>
          <w:szCs w:val="18"/>
        </w:rPr>
        <w:t xml:space="preserve">] </w:t>
      </w:r>
      <w:r>
        <w:rPr>
          <w:rFonts w:eastAsiaTheme="minorEastAsia" w:hint="eastAsia"/>
          <w:szCs w:val="18"/>
          <w:lang w:eastAsia="zh-CN"/>
        </w:rPr>
        <w:t xml:space="preserve">   </w:t>
      </w:r>
      <w:proofErr w:type="spellStart"/>
      <w:r w:rsidRPr="00B52AA1">
        <w:rPr>
          <w:rFonts w:eastAsiaTheme="minorEastAsia"/>
          <w:color w:val="000000"/>
          <w:szCs w:val="18"/>
          <w:lang w:eastAsia="zh-CN"/>
        </w:rPr>
        <w:t>Qiao</w:t>
      </w:r>
      <w:proofErr w:type="spellEnd"/>
      <w:r w:rsidRPr="00B52AA1">
        <w:rPr>
          <w:rFonts w:eastAsiaTheme="minorEastAsia"/>
          <w:color w:val="000000"/>
          <w:szCs w:val="18"/>
          <w:lang w:eastAsia="zh-CN"/>
        </w:rPr>
        <w:t xml:space="preserve"> Sun</w:t>
      </w:r>
      <w:r w:rsidRPr="00B52AA1">
        <w:rPr>
          <w:color w:val="000000"/>
          <w:szCs w:val="18"/>
        </w:rPr>
        <w:t xml:space="preserve">, </w:t>
      </w:r>
      <w:proofErr w:type="spellStart"/>
      <w:r w:rsidRPr="00B52AA1">
        <w:rPr>
          <w:rFonts w:eastAsiaTheme="minorEastAsia"/>
          <w:color w:val="000000"/>
          <w:szCs w:val="18"/>
          <w:lang w:eastAsia="zh-CN"/>
        </w:rPr>
        <w:t>Jian-lin</w:t>
      </w:r>
      <w:proofErr w:type="spellEnd"/>
      <w:r w:rsidRPr="00B52AA1">
        <w:rPr>
          <w:rFonts w:eastAsiaTheme="minorEastAsia"/>
          <w:color w:val="000000"/>
          <w:szCs w:val="18"/>
          <w:lang w:eastAsia="zh-CN"/>
        </w:rPr>
        <w:t xml:space="preserve"> Wang</w:t>
      </w:r>
      <w:r w:rsidRPr="00B52AA1">
        <w:rPr>
          <w:color w:val="000000"/>
          <w:szCs w:val="18"/>
        </w:rPr>
        <w:t xml:space="preserve">, </w:t>
      </w:r>
      <w:r w:rsidRPr="00B52AA1">
        <w:rPr>
          <w:rFonts w:eastAsiaTheme="minorEastAsia"/>
          <w:color w:val="000000"/>
          <w:szCs w:val="18"/>
          <w:lang w:eastAsia="zh-CN"/>
        </w:rPr>
        <w:t>Hong-bo Hu,</w:t>
      </w:r>
      <w:r w:rsidRPr="00B52AA1">
        <w:rPr>
          <w:b/>
          <w:kern w:val="2"/>
          <w:szCs w:val="18"/>
          <w:lang w:eastAsia="zh-CN"/>
        </w:rPr>
        <w:t xml:space="preserve"> </w:t>
      </w:r>
      <w:r w:rsidRPr="00B52AA1">
        <w:rPr>
          <w:color w:val="000000"/>
          <w:szCs w:val="18"/>
          <w:lang w:eastAsia="zh-CN"/>
        </w:rPr>
        <w:t xml:space="preserve">A primary standard for low-g </w:t>
      </w:r>
      <w:r w:rsidRPr="00B52AA1">
        <w:t>shock</w:t>
      </w:r>
      <w:r w:rsidRPr="00B52AA1">
        <w:rPr>
          <w:color w:val="000000"/>
          <w:szCs w:val="18"/>
          <w:lang w:eastAsia="zh-CN"/>
        </w:rPr>
        <w:t xml:space="preserve"> calibration by laser </w:t>
      </w:r>
      <w:proofErr w:type="spellStart"/>
      <w:r w:rsidRPr="00B52AA1">
        <w:rPr>
          <w:color w:val="000000"/>
          <w:szCs w:val="18"/>
          <w:lang w:eastAsia="zh-CN"/>
        </w:rPr>
        <w:t>interferometry</w:t>
      </w:r>
      <w:proofErr w:type="spellEnd"/>
      <w:r w:rsidRPr="00B52AA1">
        <w:rPr>
          <w:rFonts w:eastAsiaTheme="minorEastAsia"/>
          <w:color w:val="000000"/>
          <w:szCs w:val="18"/>
          <w:lang w:eastAsia="zh-CN"/>
        </w:rPr>
        <w:t>,</w:t>
      </w:r>
      <w:r w:rsidRPr="00B52AA1">
        <w:rPr>
          <w:color w:val="000000"/>
          <w:szCs w:val="18"/>
        </w:rPr>
        <w:t xml:space="preserve"> </w:t>
      </w:r>
      <w:r w:rsidRPr="00B52AA1">
        <w:rPr>
          <w:i/>
        </w:rPr>
        <w:t>Measurement Sci</w:t>
      </w:r>
      <w:r w:rsidR="00915A9B">
        <w:rPr>
          <w:rFonts w:asciiTheme="minorEastAsia" w:eastAsiaTheme="minorEastAsia" w:hAnsiTheme="minorEastAsia" w:hint="eastAsia"/>
          <w:i/>
          <w:lang w:eastAsia="zh-CN"/>
        </w:rPr>
        <w:t>.</w:t>
      </w:r>
      <w:r w:rsidRPr="00B52AA1">
        <w:rPr>
          <w:i/>
        </w:rPr>
        <w:t xml:space="preserve"> Technol</w:t>
      </w:r>
      <w:r w:rsidRPr="00B52AA1">
        <w:rPr>
          <w:color w:val="000000"/>
          <w:szCs w:val="18"/>
        </w:rPr>
        <w:t>.</w:t>
      </w:r>
      <w:r w:rsidRPr="00B52AA1">
        <w:rPr>
          <w:rFonts w:eastAsiaTheme="minorEastAsia"/>
          <w:color w:val="000000"/>
          <w:szCs w:val="18"/>
          <w:lang w:eastAsia="zh-CN"/>
        </w:rPr>
        <w:t xml:space="preserve"> </w:t>
      </w:r>
      <w:r w:rsidRPr="00B52AA1">
        <w:rPr>
          <w:rFonts w:eastAsia="宋体"/>
          <w:color w:val="000000"/>
          <w:szCs w:val="18"/>
          <w:lang w:eastAsia="zh-CN"/>
        </w:rPr>
        <w:t>2014</w:t>
      </w:r>
      <w:r w:rsidRPr="00B52AA1">
        <w:rPr>
          <w:color w:val="000000"/>
          <w:szCs w:val="18"/>
        </w:rPr>
        <w:t xml:space="preserve"> 2</w:t>
      </w:r>
      <w:r w:rsidRPr="00B52AA1">
        <w:rPr>
          <w:rFonts w:eastAsiaTheme="minorEastAsia"/>
          <w:color w:val="000000"/>
          <w:szCs w:val="18"/>
          <w:lang w:eastAsia="zh-CN"/>
        </w:rPr>
        <w:t>5</w:t>
      </w:r>
      <w:r w:rsidRPr="00B52AA1">
        <w:rPr>
          <w:color w:val="000000"/>
          <w:szCs w:val="18"/>
        </w:rPr>
        <w:t>:0</w:t>
      </w:r>
      <w:r w:rsidRPr="00B52AA1">
        <w:rPr>
          <w:rFonts w:eastAsiaTheme="minorEastAsia"/>
          <w:color w:val="000000"/>
          <w:szCs w:val="18"/>
          <w:lang w:eastAsia="zh-CN"/>
        </w:rPr>
        <w:t>75003.</w:t>
      </w:r>
    </w:p>
    <w:p w:rsidR="00B52AA1" w:rsidRPr="00B52AA1" w:rsidRDefault="00B52AA1" w:rsidP="00B52AA1">
      <w:pPr>
        <w:pStyle w:val="Reference"/>
        <w:rPr>
          <w:rFonts w:eastAsiaTheme="minorEastAsia"/>
          <w:szCs w:val="18"/>
          <w:lang w:eastAsia="zh-CN"/>
        </w:rPr>
      </w:pPr>
      <w:r w:rsidRPr="00B52AA1">
        <w:rPr>
          <w:szCs w:val="18"/>
        </w:rPr>
        <w:t>[</w:t>
      </w:r>
      <w:r w:rsidRPr="00B52AA1">
        <w:rPr>
          <w:rFonts w:eastAsiaTheme="minorEastAsia"/>
          <w:szCs w:val="18"/>
          <w:lang w:eastAsia="zh-CN"/>
        </w:rPr>
        <w:t>5</w:t>
      </w:r>
      <w:r w:rsidRPr="00B52AA1">
        <w:rPr>
          <w:szCs w:val="18"/>
        </w:rPr>
        <w:t xml:space="preserve">] </w:t>
      </w:r>
      <w:r>
        <w:rPr>
          <w:rFonts w:eastAsiaTheme="minorEastAsia" w:hint="eastAsia"/>
          <w:szCs w:val="18"/>
          <w:lang w:eastAsia="zh-CN"/>
        </w:rPr>
        <w:t xml:space="preserve">  </w:t>
      </w:r>
      <w:r w:rsidRPr="00B52AA1">
        <w:rPr>
          <w:color w:val="000000"/>
          <w:szCs w:val="18"/>
        </w:rPr>
        <w:t xml:space="preserve">ISO </w:t>
      </w:r>
      <w:r w:rsidRPr="00B52AA1">
        <w:t>16063</w:t>
      </w:r>
      <w:r w:rsidRPr="00B52AA1">
        <w:rPr>
          <w:color w:val="000000"/>
          <w:szCs w:val="18"/>
        </w:rPr>
        <w:t>-1</w:t>
      </w:r>
      <w:r w:rsidRPr="00B52AA1">
        <w:rPr>
          <w:rFonts w:eastAsiaTheme="minorEastAsia"/>
          <w:color w:val="000000"/>
          <w:szCs w:val="18"/>
          <w:lang w:eastAsia="zh-CN"/>
        </w:rPr>
        <w:t xml:space="preserve">3, </w:t>
      </w:r>
      <w:r w:rsidRPr="00B52AA1">
        <w:rPr>
          <w:szCs w:val="18"/>
        </w:rPr>
        <w:t>Methods for the calibration of vibration and shock transducers. Part 1</w:t>
      </w:r>
      <w:r w:rsidRPr="00B52AA1">
        <w:rPr>
          <w:rFonts w:eastAsia="宋体"/>
          <w:szCs w:val="18"/>
          <w:lang w:eastAsia="zh-CN"/>
        </w:rPr>
        <w:t>3</w:t>
      </w:r>
      <w:r w:rsidRPr="00B52AA1">
        <w:rPr>
          <w:szCs w:val="18"/>
        </w:rPr>
        <w:t xml:space="preserve">: Primary </w:t>
      </w:r>
      <w:r w:rsidRPr="00B52AA1">
        <w:rPr>
          <w:rFonts w:eastAsia="宋体"/>
          <w:szCs w:val="18"/>
          <w:lang w:eastAsia="zh-CN"/>
        </w:rPr>
        <w:t>shock</w:t>
      </w:r>
      <w:r w:rsidRPr="00B52AA1">
        <w:rPr>
          <w:szCs w:val="18"/>
        </w:rPr>
        <w:t xml:space="preserve"> calibration </w:t>
      </w:r>
      <w:r w:rsidRPr="00B52AA1">
        <w:rPr>
          <w:rFonts w:eastAsia="宋体"/>
          <w:szCs w:val="18"/>
          <w:lang w:eastAsia="zh-CN"/>
        </w:rPr>
        <w:t>using</w:t>
      </w:r>
      <w:r w:rsidRPr="00B52AA1">
        <w:rPr>
          <w:szCs w:val="18"/>
        </w:rPr>
        <w:t xml:space="preserve"> laser interferometry</w:t>
      </w:r>
      <w:r w:rsidRPr="00B52AA1">
        <w:rPr>
          <w:rFonts w:eastAsiaTheme="minorEastAsia"/>
          <w:szCs w:val="18"/>
          <w:lang w:eastAsia="zh-CN"/>
        </w:rPr>
        <w:t>, 2001.</w:t>
      </w:r>
    </w:p>
    <w:p w:rsidR="00B52AA1" w:rsidRPr="00B52AA1" w:rsidRDefault="00B52AA1" w:rsidP="00B52AA1">
      <w:pPr>
        <w:pStyle w:val="Reference"/>
        <w:rPr>
          <w:rFonts w:eastAsiaTheme="minorEastAsia"/>
          <w:szCs w:val="18"/>
          <w:lang w:eastAsia="zh-CN"/>
        </w:rPr>
      </w:pPr>
      <w:r w:rsidRPr="00B52AA1">
        <w:rPr>
          <w:szCs w:val="18"/>
        </w:rPr>
        <w:t>[6]</w:t>
      </w:r>
      <w:r w:rsidRPr="00B52AA1">
        <w:rPr>
          <w:rFonts w:eastAsiaTheme="minorEastAsia"/>
          <w:szCs w:val="18"/>
          <w:lang w:eastAsia="zh-CN"/>
        </w:rPr>
        <w:t xml:space="preserve"> </w:t>
      </w:r>
      <w:r>
        <w:rPr>
          <w:rFonts w:eastAsiaTheme="minorEastAsia" w:hint="eastAsia"/>
          <w:szCs w:val="18"/>
          <w:lang w:eastAsia="zh-CN"/>
        </w:rPr>
        <w:t xml:space="preserve">  </w:t>
      </w:r>
      <w:r w:rsidRPr="00B52AA1">
        <w:rPr>
          <w:rFonts w:eastAsiaTheme="minorEastAsia"/>
          <w:szCs w:val="18"/>
          <w:lang w:eastAsia="zh-CN"/>
        </w:rPr>
        <w:t xml:space="preserve">CIPM </w:t>
      </w:r>
      <w:r w:rsidRPr="00B52AA1">
        <w:t>CCAUV</w:t>
      </w:r>
      <w:r w:rsidRPr="00B52AA1">
        <w:rPr>
          <w:rFonts w:eastAsiaTheme="minorEastAsia"/>
          <w:szCs w:val="18"/>
          <w:lang w:eastAsia="zh-CN"/>
        </w:rPr>
        <w:t xml:space="preserve">, Strategy document for rolling programme development for 2013 to 2023, </w:t>
      </w:r>
      <w:hyperlink r:id="rId27" w:history="1">
        <w:r w:rsidRPr="00B52AA1">
          <w:rPr>
            <w:rStyle w:val="a8"/>
            <w:rFonts w:eastAsiaTheme="minorEastAsia"/>
            <w:szCs w:val="18"/>
            <w:lang w:eastAsia="zh-CN"/>
          </w:rPr>
          <w:t>www.bipm.org/en/committees/cc/ccauv</w:t>
        </w:r>
      </w:hyperlink>
      <w:r w:rsidRPr="00B52AA1">
        <w:rPr>
          <w:rFonts w:eastAsiaTheme="minorEastAsia"/>
          <w:szCs w:val="18"/>
          <w:lang w:eastAsia="zh-CN"/>
        </w:rPr>
        <w:t>.</w:t>
      </w:r>
    </w:p>
    <w:p w:rsidR="00B52AA1" w:rsidRPr="00B52AA1" w:rsidRDefault="00B52AA1" w:rsidP="00B52AA1">
      <w:pPr>
        <w:pStyle w:val="Reference"/>
        <w:rPr>
          <w:rFonts w:eastAsiaTheme="minorEastAsia"/>
          <w:szCs w:val="18"/>
          <w:lang w:eastAsia="zh-CN"/>
        </w:rPr>
      </w:pPr>
      <w:r w:rsidRPr="00B52AA1">
        <w:rPr>
          <w:rFonts w:eastAsiaTheme="minorEastAsia"/>
          <w:szCs w:val="18"/>
          <w:lang w:eastAsia="zh-CN"/>
        </w:rPr>
        <w:t xml:space="preserve">[7] </w:t>
      </w:r>
      <w:r>
        <w:rPr>
          <w:rFonts w:eastAsiaTheme="minorEastAsia" w:hint="eastAsia"/>
          <w:szCs w:val="18"/>
          <w:lang w:eastAsia="zh-CN"/>
        </w:rPr>
        <w:t xml:space="preserve">   </w:t>
      </w:r>
      <w:proofErr w:type="spellStart"/>
      <w:r w:rsidRPr="00B52AA1">
        <w:rPr>
          <w:rFonts w:eastAsiaTheme="minorEastAsia"/>
          <w:szCs w:val="18"/>
          <w:lang w:eastAsia="zh-CN"/>
        </w:rPr>
        <w:t>Qiao</w:t>
      </w:r>
      <w:proofErr w:type="spellEnd"/>
      <w:r w:rsidRPr="00B52AA1">
        <w:rPr>
          <w:rFonts w:eastAsiaTheme="minorEastAsia"/>
          <w:szCs w:val="18"/>
          <w:lang w:eastAsia="zh-CN"/>
        </w:rPr>
        <w:t xml:space="preserve"> </w:t>
      </w:r>
      <w:r w:rsidRPr="00B52AA1">
        <w:t>Sun</w:t>
      </w:r>
      <w:r w:rsidRPr="00B52AA1">
        <w:rPr>
          <w:rFonts w:eastAsiaTheme="minorEastAsia"/>
          <w:szCs w:val="18"/>
          <w:lang w:eastAsia="zh-CN"/>
        </w:rPr>
        <w:t xml:space="preserve">, </w:t>
      </w:r>
      <w:proofErr w:type="spellStart"/>
      <w:r w:rsidRPr="00B52AA1">
        <w:rPr>
          <w:rFonts w:eastAsiaTheme="minorEastAsia"/>
          <w:szCs w:val="18"/>
          <w:lang w:eastAsia="zh-CN"/>
        </w:rPr>
        <w:t>HongBo</w:t>
      </w:r>
      <w:proofErr w:type="spellEnd"/>
      <w:r w:rsidRPr="00B52AA1">
        <w:rPr>
          <w:rFonts w:eastAsiaTheme="minorEastAsia"/>
          <w:szCs w:val="18"/>
          <w:lang w:eastAsia="zh-CN"/>
        </w:rPr>
        <w:t xml:space="preserve"> </w:t>
      </w:r>
      <w:proofErr w:type="spellStart"/>
      <w:r w:rsidRPr="00B52AA1">
        <w:rPr>
          <w:rFonts w:eastAsiaTheme="minorEastAsia"/>
          <w:szCs w:val="18"/>
          <w:lang w:eastAsia="zh-CN"/>
        </w:rPr>
        <w:t>Hu</w:t>
      </w:r>
      <w:proofErr w:type="spellEnd"/>
      <w:r w:rsidRPr="00B52AA1">
        <w:rPr>
          <w:rFonts w:eastAsiaTheme="minorEastAsia"/>
          <w:szCs w:val="18"/>
          <w:lang w:eastAsia="zh-CN"/>
        </w:rPr>
        <w:t xml:space="preserve">. Final Report on Pilot Comparison of Low Intensity Shock APMP.AUV.V-P1. </w:t>
      </w:r>
      <w:r w:rsidRPr="00B52AA1">
        <w:rPr>
          <w:i/>
        </w:rPr>
        <w:t>Metrologia Tech. Supp</w:t>
      </w:r>
      <w:r w:rsidRPr="00915A9B">
        <w:rPr>
          <w:i/>
          <w:color w:val="000000" w:themeColor="text1"/>
        </w:rPr>
        <w:t>l</w:t>
      </w:r>
      <w:r w:rsidRPr="00915A9B">
        <w:rPr>
          <w:rFonts w:eastAsiaTheme="minorEastAsia"/>
          <w:color w:val="000000" w:themeColor="text1"/>
          <w:szCs w:val="18"/>
          <w:lang w:eastAsia="zh-CN"/>
        </w:rPr>
        <w:t>., 2015, 5</w:t>
      </w:r>
      <w:r w:rsidR="00915A9B" w:rsidRPr="00915A9B">
        <w:rPr>
          <w:rFonts w:eastAsiaTheme="minorEastAsia" w:hint="eastAsia"/>
          <w:color w:val="000000" w:themeColor="text1"/>
          <w:szCs w:val="18"/>
          <w:lang w:eastAsia="zh-CN"/>
        </w:rPr>
        <w:t>2</w:t>
      </w:r>
      <w:r w:rsidRPr="00915A9B">
        <w:rPr>
          <w:rFonts w:eastAsiaTheme="minorEastAsia"/>
          <w:color w:val="000000" w:themeColor="text1"/>
          <w:szCs w:val="18"/>
          <w:lang w:eastAsia="zh-CN"/>
        </w:rPr>
        <w:t>: 0</w:t>
      </w:r>
      <w:r w:rsidR="00915A9B" w:rsidRPr="00915A9B">
        <w:rPr>
          <w:rFonts w:eastAsiaTheme="minorEastAsia" w:hint="eastAsia"/>
          <w:color w:val="000000" w:themeColor="text1"/>
          <w:szCs w:val="18"/>
          <w:lang w:eastAsia="zh-CN"/>
        </w:rPr>
        <w:t>9002</w:t>
      </w:r>
      <w:r w:rsidRPr="00915A9B">
        <w:rPr>
          <w:rFonts w:eastAsiaTheme="minorEastAsia"/>
          <w:color w:val="000000" w:themeColor="text1"/>
          <w:szCs w:val="18"/>
          <w:lang w:eastAsia="zh-CN"/>
        </w:rPr>
        <w:t>.</w:t>
      </w:r>
    </w:p>
    <w:p w:rsidR="00B52AA1" w:rsidRPr="00B52AA1" w:rsidRDefault="00B52AA1" w:rsidP="00B52AA1">
      <w:pPr>
        <w:pStyle w:val="Reference"/>
        <w:rPr>
          <w:rFonts w:eastAsiaTheme="minorEastAsia"/>
          <w:szCs w:val="18"/>
          <w:lang w:eastAsia="zh-CN"/>
        </w:rPr>
      </w:pPr>
      <w:r w:rsidRPr="00B52AA1">
        <w:rPr>
          <w:szCs w:val="18"/>
        </w:rPr>
        <w:t>[</w:t>
      </w:r>
      <w:r w:rsidRPr="00B52AA1">
        <w:rPr>
          <w:rFonts w:eastAsiaTheme="minorEastAsia"/>
          <w:szCs w:val="18"/>
          <w:lang w:eastAsia="zh-CN"/>
        </w:rPr>
        <w:t>8</w:t>
      </w:r>
      <w:r w:rsidRPr="00B52AA1">
        <w:rPr>
          <w:szCs w:val="18"/>
        </w:rPr>
        <w:t>]</w:t>
      </w:r>
      <w:r w:rsidRPr="00B52AA1">
        <w:rPr>
          <w:rFonts w:eastAsiaTheme="minorEastAsia"/>
          <w:szCs w:val="18"/>
          <w:lang w:eastAsia="zh-CN"/>
        </w:rPr>
        <w:t xml:space="preserve"> </w:t>
      </w:r>
      <w:r>
        <w:rPr>
          <w:rFonts w:eastAsiaTheme="minorEastAsia" w:hint="eastAsia"/>
          <w:szCs w:val="18"/>
          <w:lang w:eastAsia="zh-CN"/>
        </w:rPr>
        <w:t xml:space="preserve">  </w:t>
      </w:r>
      <w:r w:rsidRPr="00B52AA1">
        <w:t>SPEKTRA</w:t>
      </w:r>
      <w:r w:rsidRPr="00B52AA1">
        <w:rPr>
          <w:rFonts w:eastAsiaTheme="minorEastAsia"/>
          <w:szCs w:val="18"/>
          <w:lang w:eastAsia="zh-CN"/>
        </w:rPr>
        <w:t>, Data sheet of SE-220 HOP-MS Hopkinson Bar Shock Exciter, www.spektra-dresden.com/spektra.</w:t>
      </w:r>
    </w:p>
    <w:p w:rsidR="00B52AA1" w:rsidRPr="00B52AA1" w:rsidRDefault="00B52AA1" w:rsidP="00B52AA1">
      <w:pPr>
        <w:pStyle w:val="Reference"/>
        <w:rPr>
          <w:szCs w:val="18"/>
        </w:rPr>
      </w:pPr>
      <w:r w:rsidRPr="00B52AA1">
        <w:rPr>
          <w:szCs w:val="18"/>
        </w:rPr>
        <w:t>[</w:t>
      </w:r>
      <w:r w:rsidRPr="00B52AA1">
        <w:rPr>
          <w:rFonts w:eastAsiaTheme="minorEastAsia"/>
          <w:szCs w:val="18"/>
          <w:lang w:eastAsia="zh-CN"/>
        </w:rPr>
        <w:t>9</w:t>
      </w:r>
      <w:r w:rsidRPr="00B52AA1">
        <w:rPr>
          <w:szCs w:val="18"/>
        </w:rPr>
        <w:t xml:space="preserve">] </w:t>
      </w:r>
      <w:r>
        <w:rPr>
          <w:rFonts w:eastAsiaTheme="minorEastAsia" w:hint="eastAsia"/>
          <w:szCs w:val="18"/>
          <w:lang w:eastAsia="zh-CN"/>
        </w:rPr>
        <w:t xml:space="preserve">   </w:t>
      </w:r>
      <w:proofErr w:type="spellStart"/>
      <w:r w:rsidRPr="00B52AA1">
        <w:rPr>
          <w:color w:val="000000"/>
          <w:szCs w:val="18"/>
        </w:rPr>
        <w:t>Lissner</w:t>
      </w:r>
      <w:proofErr w:type="spellEnd"/>
      <w:r w:rsidRPr="00B52AA1">
        <w:rPr>
          <w:color w:val="000000"/>
          <w:szCs w:val="18"/>
        </w:rPr>
        <w:t xml:space="preserve"> </w:t>
      </w:r>
      <w:r w:rsidRPr="00B52AA1">
        <w:t>HR</w:t>
      </w:r>
      <w:r w:rsidRPr="00B52AA1">
        <w:rPr>
          <w:color w:val="000000"/>
          <w:szCs w:val="18"/>
        </w:rPr>
        <w:t xml:space="preserve">, </w:t>
      </w:r>
      <w:proofErr w:type="spellStart"/>
      <w:r w:rsidRPr="00B52AA1">
        <w:rPr>
          <w:color w:val="000000"/>
          <w:szCs w:val="18"/>
        </w:rPr>
        <w:t>Lebow</w:t>
      </w:r>
      <w:proofErr w:type="spellEnd"/>
      <w:r w:rsidRPr="00B52AA1">
        <w:rPr>
          <w:color w:val="000000"/>
          <w:szCs w:val="18"/>
        </w:rPr>
        <w:t xml:space="preserve"> M, Evans FG</w:t>
      </w:r>
      <w:r w:rsidRPr="00B52AA1">
        <w:rPr>
          <w:rFonts w:eastAsia="宋体"/>
          <w:color w:val="000000"/>
          <w:szCs w:val="18"/>
          <w:lang w:eastAsia="zh-CN"/>
        </w:rPr>
        <w:t xml:space="preserve"> </w:t>
      </w:r>
      <w:r w:rsidRPr="00B52AA1">
        <w:rPr>
          <w:color w:val="000000"/>
          <w:szCs w:val="18"/>
        </w:rPr>
        <w:t xml:space="preserve">1960 Experimental studies on the relation between acceleration and intracranial pressure change in men </w:t>
      </w:r>
      <w:r w:rsidRPr="00B52AA1">
        <w:rPr>
          <w:i/>
          <w:iCs/>
          <w:szCs w:val="18"/>
        </w:rPr>
        <w:t>Surgery Gynecology and obstetrics</w:t>
      </w:r>
      <w:r w:rsidRPr="00B52AA1">
        <w:rPr>
          <w:color w:val="000000"/>
          <w:szCs w:val="18"/>
        </w:rPr>
        <w:t xml:space="preserve"> 111: 329</w:t>
      </w:r>
    </w:p>
    <w:p w:rsidR="00B52AA1" w:rsidRPr="00B52AA1" w:rsidRDefault="00B52AA1" w:rsidP="00085803">
      <w:pPr>
        <w:pStyle w:val="Reference"/>
        <w:rPr>
          <w:rFonts w:eastAsiaTheme="minorEastAsia"/>
          <w:lang w:val="cs-CZ" w:eastAsia="zh-CN"/>
        </w:rPr>
      </w:pPr>
    </w:p>
    <w:p w:rsidR="0015709C" w:rsidRDefault="0015709C"/>
    <w:sectPr w:rsidR="0015709C" w:rsidSect="000D7AAD">
      <w:type w:val="continuous"/>
      <w:pgSz w:w="11906" w:h="16838"/>
      <w:pgMar w:top="1418" w:right="907" w:bottom="1418" w:left="907" w:header="709" w:footer="709" w:gutter="0"/>
      <w:cols w:num="2" w:space="34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F6B" w:rsidRDefault="006C3F6B" w:rsidP="0080420C">
      <w:pPr>
        <w:spacing w:line="240" w:lineRule="auto"/>
      </w:pPr>
      <w:r>
        <w:separator/>
      </w:r>
    </w:p>
  </w:endnote>
  <w:endnote w:type="continuationSeparator" w:id="0">
    <w:p w:rsidR="006C3F6B" w:rsidRDefault="006C3F6B" w:rsidP="0080420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F6B" w:rsidRDefault="006C3F6B" w:rsidP="0080420C">
      <w:pPr>
        <w:spacing w:line="240" w:lineRule="auto"/>
      </w:pPr>
      <w:r>
        <w:separator/>
      </w:r>
    </w:p>
  </w:footnote>
  <w:footnote w:type="continuationSeparator" w:id="0">
    <w:p w:rsidR="006C3F6B" w:rsidRDefault="006C3F6B" w:rsidP="0080420C">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708"/>
  <w:hyphenationZone w:val="425"/>
  <w:characterSpacingControl w:val="doNotCompress"/>
  <w:hdrShapeDefaults>
    <o:shapedefaults v:ext="edit" spidmax="21506"/>
  </w:hdrShapeDefaults>
  <w:footnotePr>
    <w:footnote w:id="-1"/>
    <w:footnote w:id="0"/>
  </w:footnotePr>
  <w:endnotePr>
    <w:endnote w:id="-1"/>
    <w:endnote w:id="0"/>
  </w:endnotePr>
  <w:compat>
    <w:useFELayout/>
  </w:compat>
  <w:rsids>
    <w:rsidRoot w:val="00085803"/>
    <w:rsid w:val="000339A4"/>
    <w:rsid w:val="00063BDB"/>
    <w:rsid w:val="00085803"/>
    <w:rsid w:val="000D7AAD"/>
    <w:rsid w:val="00130CFC"/>
    <w:rsid w:val="00144307"/>
    <w:rsid w:val="00150514"/>
    <w:rsid w:val="0015709C"/>
    <w:rsid w:val="001D0EDE"/>
    <w:rsid w:val="0027192A"/>
    <w:rsid w:val="00326439"/>
    <w:rsid w:val="003A05C1"/>
    <w:rsid w:val="003C7CBA"/>
    <w:rsid w:val="004358C1"/>
    <w:rsid w:val="0050765A"/>
    <w:rsid w:val="005369D0"/>
    <w:rsid w:val="005A4EA5"/>
    <w:rsid w:val="005E329E"/>
    <w:rsid w:val="00694FC2"/>
    <w:rsid w:val="006B6E9A"/>
    <w:rsid w:val="006C3F6B"/>
    <w:rsid w:val="006F125C"/>
    <w:rsid w:val="00713AB3"/>
    <w:rsid w:val="007638C5"/>
    <w:rsid w:val="007A7263"/>
    <w:rsid w:val="0080420C"/>
    <w:rsid w:val="00832531"/>
    <w:rsid w:val="008A6C9F"/>
    <w:rsid w:val="00915A9B"/>
    <w:rsid w:val="0097578B"/>
    <w:rsid w:val="009D2017"/>
    <w:rsid w:val="009E5CCB"/>
    <w:rsid w:val="00A930D7"/>
    <w:rsid w:val="00AA5CB0"/>
    <w:rsid w:val="00B339C8"/>
    <w:rsid w:val="00B52AA1"/>
    <w:rsid w:val="00B86718"/>
    <w:rsid w:val="00BB7F2F"/>
    <w:rsid w:val="00BF015A"/>
    <w:rsid w:val="00C23C6C"/>
    <w:rsid w:val="00D4557E"/>
    <w:rsid w:val="00E03956"/>
    <w:rsid w:val="00E11931"/>
    <w:rsid w:val="00ED0A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803"/>
    <w:pPr>
      <w:spacing w:after="0"/>
      <w:jc w:val="both"/>
    </w:pPr>
    <w:rPr>
      <w:color w:val="7F7F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085803"/>
    <w:pPr>
      <w:spacing w:after="120"/>
    </w:pPr>
  </w:style>
  <w:style w:type="character" w:customStyle="1" w:styleId="Char">
    <w:name w:val="正文文本 Char"/>
    <w:basedOn w:val="a0"/>
    <w:link w:val="a3"/>
    <w:uiPriority w:val="99"/>
    <w:semiHidden/>
    <w:rsid w:val="00085803"/>
    <w:rPr>
      <w:color w:val="7F7F7F"/>
    </w:rPr>
  </w:style>
  <w:style w:type="paragraph" w:customStyle="1" w:styleId="Title1">
    <w:name w:val="Title1"/>
    <w:basedOn w:val="a"/>
    <w:uiPriority w:val="99"/>
    <w:rsid w:val="00085803"/>
    <w:pPr>
      <w:spacing w:line="240" w:lineRule="auto"/>
      <w:jc w:val="center"/>
    </w:pPr>
    <w:rPr>
      <w:rFonts w:ascii="Times New Roman" w:eastAsia="Times New Roman" w:hAnsi="Times New Roman" w:cs="Times New Roman"/>
      <w:b/>
      <w:caps/>
      <w:color w:val="auto"/>
      <w:sz w:val="28"/>
      <w:szCs w:val="24"/>
      <w:lang w:val="en-GB" w:eastAsia="hr-HR"/>
    </w:rPr>
  </w:style>
  <w:style w:type="paragraph" w:customStyle="1" w:styleId="Header1">
    <w:name w:val="Header1"/>
    <w:basedOn w:val="a"/>
    <w:uiPriority w:val="99"/>
    <w:rsid w:val="00085803"/>
    <w:pPr>
      <w:spacing w:line="240" w:lineRule="auto"/>
      <w:jc w:val="center"/>
      <w:outlineLvl w:val="0"/>
    </w:pPr>
    <w:rPr>
      <w:rFonts w:ascii="Times New Roman" w:eastAsia="Times New Roman" w:hAnsi="Times New Roman" w:cs="Times New Roman"/>
      <w:i/>
      <w:color w:val="auto"/>
      <w:sz w:val="20"/>
      <w:szCs w:val="24"/>
      <w:lang w:val="en-GB" w:eastAsia="hr-HR"/>
    </w:rPr>
  </w:style>
  <w:style w:type="paragraph" w:customStyle="1" w:styleId="Author">
    <w:name w:val="Author"/>
    <w:basedOn w:val="a"/>
    <w:uiPriority w:val="99"/>
    <w:rsid w:val="00085803"/>
    <w:pPr>
      <w:spacing w:line="240" w:lineRule="auto"/>
      <w:jc w:val="center"/>
      <w:outlineLvl w:val="0"/>
    </w:pPr>
    <w:rPr>
      <w:rFonts w:ascii="Times New Roman" w:eastAsia="Times New Roman" w:hAnsi="Times New Roman" w:cs="Times New Roman"/>
      <w:i/>
      <w:color w:val="auto"/>
      <w:sz w:val="24"/>
      <w:szCs w:val="24"/>
      <w:lang w:val="en-GB" w:eastAsia="hr-HR"/>
    </w:rPr>
  </w:style>
  <w:style w:type="paragraph" w:customStyle="1" w:styleId="Affiliation">
    <w:name w:val="Affiliation"/>
    <w:basedOn w:val="a"/>
    <w:uiPriority w:val="99"/>
    <w:rsid w:val="00085803"/>
    <w:pPr>
      <w:spacing w:line="240" w:lineRule="auto"/>
      <w:jc w:val="center"/>
    </w:pPr>
    <w:rPr>
      <w:rFonts w:ascii="Times New Roman" w:eastAsia="Times New Roman" w:hAnsi="Times New Roman" w:cs="Times New Roman"/>
      <w:color w:val="auto"/>
      <w:szCs w:val="24"/>
      <w:lang w:val="en-GB" w:eastAsia="hr-HR"/>
    </w:rPr>
  </w:style>
  <w:style w:type="paragraph" w:customStyle="1" w:styleId="Equation">
    <w:name w:val="Equation"/>
    <w:basedOn w:val="a"/>
    <w:uiPriority w:val="99"/>
    <w:rsid w:val="00085803"/>
    <w:pPr>
      <w:tabs>
        <w:tab w:val="center" w:pos="2438"/>
        <w:tab w:val="right" w:pos="4876"/>
      </w:tabs>
      <w:spacing w:before="120" w:after="120" w:line="240" w:lineRule="auto"/>
    </w:pPr>
    <w:rPr>
      <w:rFonts w:ascii="Times New Roman" w:eastAsia="Times New Roman" w:hAnsi="Times New Roman" w:cs="Courier New"/>
      <w:bCs/>
      <w:color w:val="auto"/>
      <w:sz w:val="20"/>
      <w:szCs w:val="20"/>
      <w:lang w:val="en-GB" w:eastAsia="de-DE"/>
    </w:rPr>
  </w:style>
  <w:style w:type="paragraph" w:customStyle="1" w:styleId="Section">
    <w:name w:val="Section"/>
    <w:basedOn w:val="a"/>
    <w:uiPriority w:val="99"/>
    <w:rsid w:val="00085803"/>
    <w:pPr>
      <w:keepNext/>
      <w:spacing w:before="240" w:after="240" w:line="240" w:lineRule="auto"/>
      <w:jc w:val="center"/>
      <w:outlineLvl w:val="0"/>
    </w:pPr>
    <w:rPr>
      <w:rFonts w:ascii="Times New Roman" w:eastAsia="Times New Roman" w:hAnsi="Times New Roman" w:cs="Times New Roman"/>
      <w:b/>
      <w:caps/>
      <w:color w:val="auto"/>
      <w:sz w:val="20"/>
      <w:szCs w:val="24"/>
      <w:lang w:val="en-GB" w:eastAsia="hr-HR"/>
    </w:rPr>
  </w:style>
  <w:style w:type="paragraph" w:customStyle="1" w:styleId="Subsection">
    <w:name w:val="Subsection"/>
    <w:basedOn w:val="a"/>
    <w:uiPriority w:val="99"/>
    <w:rsid w:val="00085803"/>
    <w:pPr>
      <w:keepNext/>
      <w:spacing w:before="240" w:after="60" w:line="240" w:lineRule="auto"/>
      <w:ind w:firstLine="284"/>
      <w:outlineLvl w:val="0"/>
    </w:pPr>
    <w:rPr>
      <w:rFonts w:ascii="Times New Roman" w:eastAsia="Times New Roman" w:hAnsi="Times New Roman" w:cs="Times New Roman"/>
      <w:b/>
      <w:i/>
      <w:iCs/>
      <w:color w:val="auto"/>
      <w:sz w:val="20"/>
      <w:szCs w:val="24"/>
      <w:lang w:val="en-GB" w:eastAsia="hr-HR"/>
    </w:rPr>
  </w:style>
  <w:style w:type="paragraph" w:customStyle="1" w:styleId="Table">
    <w:name w:val="Table"/>
    <w:basedOn w:val="a"/>
    <w:uiPriority w:val="99"/>
    <w:rsid w:val="00085803"/>
    <w:pPr>
      <w:keepNext/>
      <w:spacing w:before="240" w:after="240" w:line="240" w:lineRule="auto"/>
      <w:jc w:val="center"/>
      <w:outlineLvl w:val="0"/>
    </w:pPr>
    <w:rPr>
      <w:rFonts w:ascii="Times New Roman" w:eastAsia="Times New Roman" w:hAnsi="Times New Roman" w:cs="Times New Roman"/>
      <w:color w:val="auto"/>
      <w:sz w:val="18"/>
      <w:szCs w:val="24"/>
      <w:lang w:val="en-GB" w:eastAsia="hr-HR"/>
    </w:rPr>
  </w:style>
  <w:style w:type="paragraph" w:customStyle="1" w:styleId="Figure">
    <w:name w:val="Figure"/>
    <w:basedOn w:val="a"/>
    <w:uiPriority w:val="99"/>
    <w:rsid w:val="00085803"/>
    <w:pPr>
      <w:spacing w:before="240" w:after="240" w:line="240" w:lineRule="auto"/>
      <w:jc w:val="center"/>
      <w:outlineLvl w:val="0"/>
    </w:pPr>
    <w:rPr>
      <w:rFonts w:ascii="Times New Roman" w:eastAsia="Times New Roman" w:hAnsi="Times New Roman" w:cs="Times New Roman"/>
      <w:color w:val="auto"/>
      <w:sz w:val="18"/>
      <w:szCs w:val="24"/>
      <w:lang w:val="en-GB" w:eastAsia="hr-HR"/>
    </w:rPr>
  </w:style>
  <w:style w:type="paragraph" w:customStyle="1" w:styleId="Reference">
    <w:name w:val="Reference"/>
    <w:basedOn w:val="a"/>
    <w:uiPriority w:val="99"/>
    <w:rsid w:val="00085803"/>
    <w:pPr>
      <w:tabs>
        <w:tab w:val="left" w:pos="454"/>
      </w:tabs>
      <w:suppressAutoHyphens/>
      <w:spacing w:line="240" w:lineRule="auto"/>
      <w:ind w:left="454" w:hanging="454"/>
    </w:pPr>
    <w:rPr>
      <w:rFonts w:ascii="Times New Roman" w:eastAsia="Times New Roman" w:hAnsi="Times New Roman" w:cs="Times New Roman"/>
      <w:color w:val="auto"/>
      <w:sz w:val="18"/>
      <w:szCs w:val="24"/>
      <w:lang w:val="en-GB" w:eastAsia="hr-HR"/>
    </w:rPr>
  </w:style>
  <w:style w:type="paragraph" w:customStyle="1" w:styleId="Text">
    <w:name w:val="Text"/>
    <w:basedOn w:val="a"/>
    <w:rsid w:val="00085803"/>
    <w:pPr>
      <w:spacing w:line="240" w:lineRule="auto"/>
      <w:ind w:firstLine="284"/>
    </w:pPr>
    <w:rPr>
      <w:rFonts w:ascii="Times New Roman" w:eastAsia="Times New Roman" w:hAnsi="Times New Roman" w:cs="Times New Roman"/>
      <w:color w:val="auto"/>
      <w:sz w:val="20"/>
      <w:szCs w:val="24"/>
      <w:lang w:val="en-GB" w:eastAsia="hr-HR"/>
    </w:rPr>
  </w:style>
  <w:style w:type="paragraph" w:customStyle="1" w:styleId="Keywords">
    <w:name w:val="Keywords"/>
    <w:basedOn w:val="Text"/>
    <w:uiPriority w:val="99"/>
    <w:rsid w:val="00085803"/>
    <w:pPr>
      <w:spacing w:before="240"/>
    </w:pPr>
    <w:rPr>
      <w:b/>
      <w:bCs/>
    </w:rPr>
  </w:style>
  <w:style w:type="paragraph" w:styleId="a4">
    <w:name w:val="Balloon Text"/>
    <w:basedOn w:val="a"/>
    <w:link w:val="Char0"/>
    <w:uiPriority w:val="99"/>
    <w:semiHidden/>
    <w:unhideWhenUsed/>
    <w:rsid w:val="00085803"/>
    <w:pPr>
      <w:spacing w:line="240" w:lineRule="auto"/>
    </w:pPr>
    <w:rPr>
      <w:rFonts w:ascii="Tahoma" w:hAnsi="Tahoma" w:cs="Tahoma"/>
      <w:sz w:val="16"/>
      <w:szCs w:val="16"/>
    </w:rPr>
  </w:style>
  <w:style w:type="character" w:customStyle="1" w:styleId="Char0">
    <w:name w:val="批注框文本 Char"/>
    <w:basedOn w:val="a0"/>
    <w:link w:val="a4"/>
    <w:uiPriority w:val="99"/>
    <w:semiHidden/>
    <w:rsid w:val="00085803"/>
    <w:rPr>
      <w:rFonts w:ascii="Tahoma" w:hAnsi="Tahoma" w:cs="Tahoma"/>
      <w:color w:val="7F7F7F"/>
      <w:sz w:val="16"/>
      <w:szCs w:val="16"/>
    </w:rPr>
  </w:style>
  <w:style w:type="paragraph" w:styleId="a5">
    <w:name w:val="header"/>
    <w:basedOn w:val="a"/>
    <w:link w:val="Char1"/>
    <w:uiPriority w:val="99"/>
    <w:semiHidden/>
    <w:unhideWhenUsed/>
    <w:rsid w:val="0080420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0"/>
    <w:link w:val="a5"/>
    <w:uiPriority w:val="99"/>
    <w:semiHidden/>
    <w:rsid w:val="0080420C"/>
    <w:rPr>
      <w:color w:val="7F7F7F"/>
      <w:sz w:val="18"/>
      <w:szCs w:val="18"/>
    </w:rPr>
  </w:style>
  <w:style w:type="paragraph" w:styleId="a6">
    <w:name w:val="footer"/>
    <w:basedOn w:val="a"/>
    <w:link w:val="Char2"/>
    <w:uiPriority w:val="99"/>
    <w:semiHidden/>
    <w:unhideWhenUsed/>
    <w:rsid w:val="0080420C"/>
    <w:pPr>
      <w:tabs>
        <w:tab w:val="center" w:pos="4153"/>
        <w:tab w:val="right" w:pos="8306"/>
      </w:tabs>
      <w:snapToGrid w:val="0"/>
      <w:spacing w:line="240" w:lineRule="auto"/>
      <w:jc w:val="left"/>
    </w:pPr>
    <w:rPr>
      <w:sz w:val="18"/>
      <w:szCs w:val="18"/>
    </w:rPr>
  </w:style>
  <w:style w:type="character" w:customStyle="1" w:styleId="Char2">
    <w:name w:val="页脚 Char"/>
    <w:basedOn w:val="a0"/>
    <w:link w:val="a6"/>
    <w:uiPriority w:val="99"/>
    <w:semiHidden/>
    <w:rsid w:val="0080420C"/>
    <w:rPr>
      <w:color w:val="7F7F7F"/>
      <w:sz w:val="18"/>
      <w:szCs w:val="18"/>
    </w:rPr>
  </w:style>
  <w:style w:type="paragraph" w:customStyle="1" w:styleId="Bodytext">
    <w:name w:val="Body text"/>
    <w:basedOn w:val="a"/>
    <w:rsid w:val="003A05C1"/>
    <w:pPr>
      <w:overflowPunct w:val="0"/>
      <w:autoSpaceDE w:val="0"/>
      <w:autoSpaceDN w:val="0"/>
      <w:adjustRightInd w:val="0"/>
      <w:spacing w:line="240" w:lineRule="auto"/>
      <w:textAlignment w:val="baseline"/>
    </w:pPr>
    <w:rPr>
      <w:rFonts w:ascii="Times New Roman" w:eastAsia="宋体" w:hAnsi="Times New Roman" w:cs="Times New Roman"/>
      <w:color w:val="auto"/>
      <w:sz w:val="20"/>
      <w:szCs w:val="20"/>
      <w:lang w:val="en-US"/>
    </w:rPr>
  </w:style>
  <w:style w:type="paragraph" w:styleId="a7">
    <w:name w:val="Normal Indent"/>
    <w:basedOn w:val="a"/>
    <w:rsid w:val="008A6C9F"/>
    <w:pPr>
      <w:widowControl w:val="0"/>
      <w:spacing w:line="240" w:lineRule="auto"/>
      <w:ind w:firstLine="420"/>
    </w:pPr>
    <w:rPr>
      <w:rFonts w:ascii="Times New Roman" w:eastAsia="宋体" w:hAnsi="Times New Roman" w:cs="Times New Roman"/>
      <w:color w:val="auto"/>
      <w:kern w:val="2"/>
      <w:sz w:val="24"/>
      <w:szCs w:val="20"/>
      <w:lang w:val="en-US" w:eastAsia="zh-CN"/>
    </w:rPr>
  </w:style>
  <w:style w:type="character" w:styleId="a8">
    <w:name w:val="Hyperlink"/>
    <w:basedOn w:val="a0"/>
    <w:rsid w:val="00B52AA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803"/>
    <w:pPr>
      <w:spacing w:after="0"/>
      <w:jc w:val="both"/>
    </w:pPr>
    <w:rPr>
      <w:color w:val="7F7F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085803"/>
    <w:pPr>
      <w:spacing w:after="120"/>
    </w:pPr>
  </w:style>
  <w:style w:type="character" w:customStyle="1" w:styleId="BodyTextChar">
    <w:name w:val="Body Text Char"/>
    <w:basedOn w:val="DefaultParagraphFont"/>
    <w:link w:val="BodyText"/>
    <w:uiPriority w:val="99"/>
    <w:semiHidden/>
    <w:rsid w:val="00085803"/>
    <w:rPr>
      <w:color w:val="7F7F7F"/>
    </w:rPr>
  </w:style>
  <w:style w:type="paragraph" w:customStyle="1" w:styleId="Title1">
    <w:name w:val="Title1"/>
    <w:basedOn w:val="Normal"/>
    <w:uiPriority w:val="99"/>
    <w:rsid w:val="00085803"/>
    <w:pPr>
      <w:spacing w:line="240" w:lineRule="auto"/>
      <w:jc w:val="center"/>
    </w:pPr>
    <w:rPr>
      <w:rFonts w:ascii="Times New Roman" w:eastAsia="Times New Roman" w:hAnsi="Times New Roman" w:cs="Times New Roman"/>
      <w:b/>
      <w:caps/>
      <w:color w:val="auto"/>
      <w:sz w:val="28"/>
      <w:szCs w:val="24"/>
      <w:lang w:val="en-GB" w:eastAsia="hr-HR"/>
    </w:rPr>
  </w:style>
  <w:style w:type="paragraph" w:customStyle="1" w:styleId="Header1">
    <w:name w:val="Header1"/>
    <w:basedOn w:val="Normal"/>
    <w:uiPriority w:val="99"/>
    <w:rsid w:val="00085803"/>
    <w:pPr>
      <w:spacing w:line="240" w:lineRule="auto"/>
      <w:jc w:val="center"/>
      <w:outlineLvl w:val="0"/>
    </w:pPr>
    <w:rPr>
      <w:rFonts w:ascii="Times New Roman" w:eastAsia="Times New Roman" w:hAnsi="Times New Roman" w:cs="Times New Roman"/>
      <w:i/>
      <w:color w:val="auto"/>
      <w:sz w:val="20"/>
      <w:szCs w:val="24"/>
      <w:lang w:val="en-GB" w:eastAsia="hr-HR"/>
    </w:rPr>
  </w:style>
  <w:style w:type="paragraph" w:customStyle="1" w:styleId="Author">
    <w:name w:val="Author"/>
    <w:basedOn w:val="Normal"/>
    <w:uiPriority w:val="99"/>
    <w:rsid w:val="00085803"/>
    <w:pPr>
      <w:spacing w:line="240" w:lineRule="auto"/>
      <w:jc w:val="center"/>
      <w:outlineLvl w:val="0"/>
    </w:pPr>
    <w:rPr>
      <w:rFonts w:ascii="Times New Roman" w:eastAsia="Times New Roman" w:hAnsi="Times New Roman" w:cs="Times New Roman"/>
      <w:i/>
      <w:color w:val="auto"/>
      <w:sz w:val="24"/>
      <w:szCs w:val="24"/>
      <w:lang w:val="en-GB" w:eastAsia="hr-HR"/>
    </w:rPr>
  </w:style>
  <w:style w:type="paragraph" w:customStyle="1" w:styleId="Affiliation">
    <w:name w:val="Affiliation"/>
    <w:basedOn w:val="Normal"/>
    <w:uiPriority w:val="99"/>
    <w:rsid w:val="00085803"/>
    <w:pPr>
      <w:spacing w:line="240" w:lineRule="auto"/>
      <w:jc w:val="center"/>
    </w:pPr>
    <w:rPr>
      <w:rFonts w:ascii="Times New Roman" w:eastAsia="Times New Roman" w:hAnsi="Times New Roman" w:cs="Times New Roman"/>
      <w:color w:val="auto"/>
      <w:szCs w:val="24"/>
      <w:lang w:val="en-GB" w:eastAsia="hr-HR"/>
    </w:rPr>
  </w:style>
  <w:style w:type="paragraph" w:customStyle="1" w:styleId="Equation">
    <w:name w:val="Equation"/>
    <w:basedOn w:val="Normal"/>
    <w:uiPriority w:val="99"/>
    <w:rsid w:val="00085803"/>
    <w:pPr>
      <w:tabs>
        <w:tab w:val="center" w:pos="2438"/>
        <w:tab w:val="right" w:pos="4876"/>
      </w:tabs>
      <w:spacing w:before="120" w:after="120" w:line="240" w:lineRule="auto"/>
    </w:pPr>
    <w:rPr>
      <w:rFonts w:ascii="Times New Roman" w:eastAsia="Times New Roman" w:hAnsi="Times New Roman" w:cs="Courier New"/>
      <w:bCs/>
      <w:color w:val="auto"/>
      <w:sz w:val="20"/>
      <w:szCs w:val="20"/>
      <w:lang w:val="en-GB" w:eastAsia="de-DE"/>
    </w:rPr>
  </w:style>
  <w:style w:type="paragraph" w:customStyle="1" w:styleId="Section">
    <w:name w:val="Section"/>
    <w:basedOn w:val="Normal"/>
    <w:uiPriority w:val="99"/>
    <w:rsid w:val="00085803"/>
    <w:pPr>
      <w:keepNext/>
      <w:spacing w:before="240" w:after="240" w:line="240" w:lineRule="auto"/>
      <w:jc w:val="center"/>
      <w:outlineLvl w:val="0"/>
    </w:pPr>
    <w:rPr>
      <w:rFonts w:ascii="Times New Roman" w:eastAsia="Times New Roman" w:hAnsi="Times New Roman" w:cs="Times New Roman"/>
      <w:b/>
      <w:caps/>
      <w:color w:val="auto"/>
      <w:sz w:val="20"/>
      <w:szCs w:val="24"/>
      <w:lang w:val="en-GB" w:eastAsia="hr-HR"/>
    </w:rPr>
  </w:style>
  <w:style w:type="paragraph" w:customStyle="1" w:styleId="Subsection">
    <w:name w:val="Subsection"/>
    <w:basedOn w:val="Normal"/>
    <w:uiPriority w:val="99"/>
    <w:rsid w:val="00085803"/>
    <w:pPr>
      <w:keepNext/>
      <w:spacing w:before="240" w:after="60" w:line="240" w:lineRule="auto"/>
      <w:ind w:firstLine="284"/>
      <w:outlineLvl w:val="0"/>
    </w:pPr>
    <w:rPr>
      <w:rFonts w:ascii="Times New Roman" w:eastAsia="Times New Roman" w:hAnsi="Times New Roman" w:cs="Times New Roman"/>
      <w:b/>
      <w:i/>
      <w:iCs/>
      <w:color w:val="auto"/>
      <w:sz w:val="20"/>
      <w:szCs w:val="24"/>
      <w:lang w:val="en-GB" w:eastAsia="hr-HR"/>
    </w:rPr>
  </w:style>
  <w:style w:type="paragraph" w:customStyle="1" w:styleId="Table">
    <w:name w:val="Table"/>
    <w:basedOn w:val="Normal"/>
    <w:uiPriority w:val="99"/>
    <w:rsid w:val="00085803"/>
    <w:pPr>
      <w:keepNext/>
      <w:spacing w:before="240" w:after="240" w:line="240" w:lineRule="auto"/>
      <w:jc w:val="center"/>
      <w:outlineLvl w:val="0"/>
    </w:pPr>
    <w:rPr>
      <w:rFonts w:ascii="Times New Roman" w:eastAsia="Times New Roman" w:hAnsi="Times New Roman" w:cs="Times New Roman"/>
      <w:color w:val="auto"/>
      <w:sz w:val="18"/>
      <w:szCs w:val="24"/>
      <w:lang w:val="en-GB" w:eastAsia="hr-HR"/>
    </w:rPr>
  </w:style>
  <w:style w:type="paragraph" w:customStyle="1" w:styleId="Figure">
    <w:name w:val="Figure"/>
    <w:basedOn w:val="Normal"/>
    <w:uiPriority w:val="99"/>
    <w:rsid w:val="00085803"/>
    <w:pPr>
      <w:spacing w:before="240" w:after="240" w:line="240" w:lineRule="auto"/>
      <w:jc w:val="center"/>
      <w:outlineLvl w:val="0"/>
    </w:pPr>
    <w:rPr>
      <w:rFonts w:ascii="Times New Roman" w:eastAsia="Times New Roman" w:hAnsi="Times New Roman" w:cs="Times New Roman"/>
      <w:color w:val="auto"/>
      <w:sz w:val="18"/>
      <w:szCs w:val="24"/>
      <w:lang w:val="en-GB" w:eastAsia="hr-HR"/>
    </w:rPr>
  </w:style>
  <w:style w:type="paragraph" w:customStyle="1" w:styleId="Reference">
    <w:name w:val="Reference"/>
    <w:basedOn w:val="Normal"/>
    <w:uiPriority w:val="99"/>
    <w:rsid w:val="00085803"/>
    <w:pPr>
      <w:tabs>
        <w:tab w:val="left" w:pos="454"/>
      </w:tabs>
      <w:suppressAutoHyphens/>
      <w:spacing w:line="240" w:lineRule="auto"/>
      <w:ind w:left="454" w:hanging="454"/>
    </w:pPr>
    <w:rPr>
      <w:rFonts w:ascii="Times New Roman" w:eastAsia="Times New Roman" w:hAnsi="Times New Roman" w:cs="Times New Roman"/>
      <w:color w:val="auto"/>
      <w:sz w:val="18"/>
      <w:szCs w:val="24"/>
      <w:lang w:val="en-GB" w:eastAsia="hr-HR"/>
    </w:rPr>
  </w:style>
  <w:style w:type="paragraph" w:customStyle="1" w:styleId="Text">
    <w:name w:val="Text"/>
    <w:basedOn w:val="Normal"/>
    <w:uiPriority w:val="99"/>
    <w:rsid w:val="00085803"/>
    <w:pPr>
      <w:spacing w:line="240" w:lineRule="auto"/>
      <w:ind w:firstLine="284"/>
    </w:pPr>
    <w:rPr>
      <w:rFonts w:ascii="Times New Roman" w:eastAsia="Times New Roman" w:hAnsi="Times New Roman" w:cs="Times New Roman"/>
      <w:color w:val="auto"/>
      <w:sz w:val="20"/>
      <w:szCs w:val="24"/>
      <w:lang w:val="en-GB" w:eastAsia="hr-HR"/>
    </w:rPr>
  </w:style>
  <w:style w:type="paragraph" w:customStyle="1" w:styleId="Keywords">
    <w:name w:val="Keywords"/>
    <w:basedOn w:val="Text"/>
    <w:uiPriority w:val="99"/>
    <w:rsid w:val="00085803"/>
    <w:pPr>
      <w:spacing w:before="240"/>
    </w:pPr>
    <w:rPr>
      <w:b/>
      <w:bCs/>
    </w:rPr>
  </w:style>
  <w:style w:type="paragraph" w:styleId="BalloonText">
    <w:name w:val="Balloon Text"/>
    <w:basedOn w:val="Normal"/>
    <w:link w:val="BalloonTextChar"/>
    <w:uiPriority w:val="99"/>
    <w:semiHidden/>
    <w:unhideWhenUsed/>
    <w:rsid w:val="000858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803"/>
    <w:rPr>
      <w:rFonts w:ascii="Tahoma" w:hAnsi="Tahoma" w:cs="Tahoma"/>
      <w:color w:val="7F7F7F"/>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wmf"/><Relationship Id="rId18" Type="http://schemas.openxmlformats.org/officeDocument/2006/relationships/hyperlink" Target="http://en.wikipedia.org/wiki/Crash_test_dummy" TargetMode="External"/><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oleObject" Target="embeddings/oleObject4.bin"/><Relationship Id="rId7" Type="http://schemas.openxmlformats.org/officeDocument/2006/relationships/image" Target="media/image1.png"/><Relationship Id="rId12" Type="http://schemas.openxmlformats.org/officeDocument/2006/relationships/hyperlink" Target="http://en.wikipedia.org/wiki/Head_injury" TargetMode="External"/><Relationship Id="rId17" Type="http://schemas.openxmlformats.org/officeDocument/2006/relationships/hyperlink" Target="http://en.wikipedia.org/wiki/Centre_of_gravity" TargetMode="External"/><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en.wikipedia.org/wiki/Standard_gravity" TargetMode="External"/><Relationship Id="rId20" Type="http://schemas.openxmlformats.org/officeDocument/2006/relationships/image" Target="media/image6.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hyperlink" Target="http://en.wikipedia.org/wiki/Acceleration" TargetMode="Externa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5.png"/><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7.png"/><Relationship Id="rId27" Type="http://schemas.openxmlformats.org/officeDocument/2006/relationships/hyperlink" Target="http://www.bipm.org/en/committees/cc/ccau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40B280-37CE-4606-8C00-C66B1D81B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2979</Words>
  <Characters>16981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您的公司名</Company>
  <LinksUpToDate>false</LinksUpToDate>
  <CharactersWithSpaces>19921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Hrabětová</dc:creator>
  <cp:lastModifiedBy>user</cp:lastModifiedBy>
  <cp:revision>8</cp:revision>
  <dcterms:created xsi:type="dcterms:W3CDTF">2015-05-22T23:49:00Z</dcterms:created>
  <dcterms:modified xsi:type="dcterms:W3CDTF">2015-05-23T00:38:00Z</dcterms:modified>
</cp:coreProperties>
</file>