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1E" w:rsidRPr="002F4ABF" w:rsidRDefault="00322596">
      <w:pPr>
        <w:rPr>
          <w:rFonts w:ascii="Tahoma" w:hAnsi="Tahoma" w:cs="Tahoma"/>
          <w:sz w:val="20"/>
          <w:szCs w:val="20"/>
          <w:lang w:val="en-US"/>
        </w:rPr>
      </w:pPr>
      <w:r w:rsidRPr="002F4ABF">
        <w:rPr>
          <w:rFonts w:ascii="Tahoma" w:hAnsi="Tahoma" w:cs="Tahoma"/>
          <w:sz w:val="20"/>
          <w:szCs w:val="20"/>
          <w:lang w:val="en-US"/>
        </w:rPr>
        <w:t>ACTA IMEKO</w:t>
      </w:r>
      <w:r w:rsidR="0062396C" w:rsidRPr="002F4ABF">
        <w:rPr>
          <w:rFonts w:ascii="Tahoma" w:hAnsi="Tahoma" w:cs="Tahoma"/>
          <w:sz w:val="20"/>
          <w:szCs w:val="20"/>
          <w:lang w:val="en-US"/>
        </w:rPr>
        <w:t xml:space="preserve"> </w:t>
      </w:r>
    </w:p>
    <w:p w:rsidR="0062396C" w:rsidRPr="0062396C" w:rsidRDefault="0062396C">
      <w:pPr>
        <w:rPr>
          <w:rFonts w:ascii="Tahoma" w:hAnsi="Tahoma" w:cs="Tahoma"/>
          <w:sz w:val="20"/>
          <w:szCs w:val="20"/>
          <w:lang w:val="en-US"/>
        </w:rPr>
      </w:pPr>
      <w:r w:rsidRPr="0062396C">
        <w:rPr>
          <w:rFonts w:ascii="Tahoma" w:hAnsi="Tahoma" w:cs="Tahoma"/>
          <w:sz w:val="20"/>
          <w:szCs w:val="20"/>
          <w:lang w:val="en-US"/>
        </w:rPr>
        <w:t>Paper title</w:t>
      </w:r>
      <w:r>
        <w:rPr>
          <w:rFonts w:ascii="Tahoma" w:hAnsi="Tahoma" w:cs="Tahoma"/>
          <w:sz w:val="20"/>
          <w:szCs w:val="20"/>
          <w:lang w:val="en-US"/>
        </w:rPr>
        <w:t>: Some thoughts on Quality Models: Evolutions and Perspectives</w:t>
      </w:r>
      <w:r w:rsidRPr="0062396C">
        <w:rPr>
          <w:rFonts w:ascii="Tahoma" w:hAnsi="Tahoma" w:cs="Tahoma"/>
          <w:sz w:val="20"/>
          <w:szCs w:val="20"/>
          <w:lang w:val="en-US"/>
        </w:rPr>
        <w:br/>
        <w:t>Author: Buglione L.</w:t>
      </w:r>
    </w:p>
    <w:p w:rsidR="0062396C" w:rsidRPr="0062396C" w:rsidRDefault="0062396C" w:rsidP="0062396C">
      <w:pPr>
        <w:spacing w:after="0"/>
        <w:rPr>
          <w:rFonts w:ascii="Tahoma" w:hAnsi="Tahoma" w:cs="Tahoma"/>
          <w:b/>
          <w:sz w:val="20"/>
          <w:szCs w:val="20"/>
        </w:rPr>
      </w:pPr>
      <w:r w:rsidRPr="0062396C">
        <w:rPr>
          <w:rFonts w:ascii="Tahoma" w:hAnsi="Tahoma" w:cs="Tahoma"/>
          <w:b/>
          <w:sz w:val="20"/>
          <w:szCs w:val="20"/>
        </w:rPr>
        <w:t>Reviewer A</w:t>
      </w:r>
    </w:p>
    <w:tbl>
      <w:tblPr>
        <w:tblStyle w:val="TableGrid"/>
        <w:tblW w:w="0" w:type="auto"/>
        <w:tblLook w:val="04A0" w:firstRow="1" w:lastRow="0" w:firstColumn="1" w:lastColumn="0" w:noHBand="0" w:noVBand="1"/>
      </w:tblPr>
      <w:tblGrid>
        <w:gridCol w:w="4889"/>
        <w:gridCol w:w="4889"/>
      </w:tblGrid>
      <w:tr w:rsidR="0062396C" w:rsidRPr="0062396C" w:rsidTr="0062396C">
        <w:tc>
          <w:tcPr>
            <w:tcW w:w="4889" w:type="dxa"/>
          </w:tcPr>
          <w:p w:rsidR="0062396C" w:rsidRPr="0062396C" w:rsidRDefault="0062396C" w:rsidP="000F2291">
            <w:pPr>
              <w:pStyle w:val="ListParagraph"/>
              <w:numPr>
                <w:ilvl w:val="0"/>
                <w:numId w:val="1"/>
              </w:numPr>
              <w:ind w:left="284" w:hanging="284"/>
              <w:jc w:val="both"/>
              <w:rPr>
                <w:rFonts w:ascii="Tahoma" w:hAnsi="Tahoma" w:cs="Tahoma"/>
                <w:sz w:val="18"/>
                <w:szCs w:val="20"/>
                <w:lang w:val="en-US"/>
              </w:rPr>
            </w:pPr>
            <w:r w:rsidRPr="0062396C">
              <w:rPr>
                <w:rFonts w:ascii="Tahoma" w:hAnsi="Tahoma" w:cs="Tahoma"/>
                <w:sz w:val="18"/>
                <w:szCs w:val="20"/>
                <w:lang w:val="en-US"/>
              </w:rPr>
              <w:t>The paper is an improved version of the paper presented in the conference</w:t>
            </w:r>
          </w:p>
        </w:tc>
        <w:tc>
          <w:tcPr>
            <w:tcW w:w="4889" w:type="dxa"/>
          </w:tcPr>
          <w:p w:rsidR="0062396C" w:rsidRPr="0062396C" w:rsidRDefault="0062396C" w:rsidP="00BA2AE7">
            <w:pPr>
              <w:pStyle w:val="ListParagraph"/>
              <w:numPr>
                <w:ilvl w:val="0"/>
                <w:numId w:val="1"/>
              </w:numPr>
              <w:ind w:left="284" w:hanging="284"/>
              <w:jc w:val="both"/>
              <w:rPr>
                <w:rFonts w:ascii="Tahoma" w:hAnsi="Tahoma" w:cs="Tahoma"/>
                <w:sz w:val="18"/>
                <w:szCs w:val="20"/>
                <w:lang w:val="en-US"/>
              </w:rPr>
            </w:pPr>
            <w:r w:rsidRPr="0062396C">
              <w:rPr>
                <w:rFonts w:ascii="Tahoma" w:hAnsi="Tahoma" w:cs="Tahoma"/>
                <w:sz w:val="18"/>
                <w:szCs w:val="20"/>
                <w:lang w:val="en-US"/>
              </w:rPr>
              <w:t>---</w:t>
            </w:r>
          </w:p>
        </w:tc>
      </w:tr>
      <w:tr w:rsidR="0062396C" w:rsidRPr="0062396C" w:rsidTr="0062396C">
        <w:tc>
          <w:tcPr>
            <w:tcW w:w="4889" w:type="dxa"/>
          </w:tcPr>
          <w:p w:rsidR="0062396C" w:rsidRPr="0062396C" w:rsidRDefault="0062396C" w:rsidP="000F2291">
            <w:pPr>
              <w:pStyle w:val="ListParagraph"/>
              <w:numPr>
                <w:ilvl w:val="0"/>
                <w:numId w:val="1"/>
              </w:numPr>
              <w:ind w:left="284" w:hanging="284"/>
              <w:jc w:val="both"/>
              <w:rPr>
                <w:rFonts w:ascii="Tahoma" w:hAnsi="Tahoma" w:cs="Tahoma"/>
                <w:sz w:val="18"/>
                <w:szCs w:val="20"/>
                <w:lang w:val="en-US"/>
              </w:rPr>
            </w:pPr>
            <w:r w:rsidRPr="0062396C">
              <w:rPr>
                <w:rFonts w:ascii="Tahoma" w:hAnsi="Tahoma" w:cs="Tahoma"/>
                <w:sz w:val="18"/>
                <w:szCs w:val="20"/>
                <w:lang w:val="en-US"/>
              </w:rPr>
              <w:t>The topic is interesting</w:t>
            </w:r>
          </w:p>
        </w:tc>
        <w:tc>
          <w:tcPr>
            <w:tcW w:w="4889" w:type="dxa"/>
          </w:tcPr>
          <w:p w:rsidR="0062396C" w:rsidRPr="0062396C" w:rsidRDefault="0062396C" w:rsidP="00BA2AE7">
            <w:pPr>
              <w:pStyle w:val="ListParagraph"/>
              <w:numPr>
                <w:ilvl w:val="0"/>
                <w:numId w:val="1"/>
              </w:numPr>
              <w:ind w:left="284" w:hanging="284"/>
              <w:jc w:val="both"/>
              <w:rPr>
                <w:rFonts w:ascii="Tahoma" w:hAnsi="Tahoma" w:cs="Tahoma"/>
                <w:sz w:val="18"/>
                <w:szCs w:val="20"/>
                <w:lang w:val="en-US"/>
              </w:rPr>
            </w:pPr>
            <w:r w:rsidRPr="0062396C">
              <w:rPr>
                <w:rFonts w:ascii="Tahoma" w:hAnsi="Tahoma" w:cs="Tahoma"/>
                <w:sz w:val="18"/>
                <w:szCs w:val="20"/>
                <w:lang w:val="en-US"/>
              </w:rPr>
              <w:t>---</w:t>
            </w:r>
          </w:p>
        </w:tc>
      </w:tr>
      <w:tr w:rsidR="0062396C" w:rsidRPr="000F6D6A" w:rsidTr="0062396C">
        <w:tc>
          <w:tcPr>
            <w:tcW w:w="4889" w:type="dxa"/>
          </w:tcPr>
          <w:p w:rsidR="0062396C" w:rsidRPr="0062396C" w:rsidRDefault="0062396C" w:rsidP="000F2291">
            <w:pPr>
              <w:pStyle w:val="ListParagraph"/>
              <w:numPr>
                <w:ilvl w:val="0"/>
                <w:numId w:val="1"/>
              </w:numPr>
              <w:ind w:left="284" w:hanging="284"/>
              <w:jc w:val="both"/>
              <w:rPr>
                <w:rFonts w:ascii="Tahoma" w:hAnsi="Tahoma" w:cs="Tahoma"/>
                <w:sz w:val="18"/>
                <w:szCs w:val="20"/>
                <w:lang w:val="en-US"/>
              </w:rPr>
            </w:pPr>
            <w:r w:rsidRPr="0062396C">
              <w:rPr>
                <w:rFonts w:ascii="Tahoma" w:hAnsi="Tahoma" w:cs="Tahoma"/>
                <w:sz w:val="18"/>
                <w:szCs w:val="20"/>
                <w:lang w:val="en-US"/>
              </w:rPr>
              <w:t>the paper style should be corrected in order to respect the ACTA IMEKO template</w:t>
            </w:r>
          </w:p>
        </w:tc>
        <w:tc>
          <w:tcPr>
            <w:tcW w:w="4889" w:type="dxa"/>
          </w:tcPr>
          <w:p w:rsidR="0062396C" w:rsidRPr="0062396C" w:rsidRDefault="002F4ABF" w:rsidP="00BA2AE7">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Used the ACTA IMEKO template downloaded from the website</w:t>
            </w:r>
          </w:p>
        </w:tc>
      </w:tr>
      <w:tr w:rsidR="0062396C" w:rsidRPr="000F6D6A" w:rsidTr="0062396C">
        <w:tc>
          <w:tcPr>
            <w:tcW w:w="4889" w:type="dxa"/>
          </w:tcPr>
          <w:p w:rsidR="0062396C" w:rsidRPr="0062396C" w:rsidRDefault="0062396C" w:rsidP="000F2291">
            <w:pPr>
              <w:pStyle w:val="ListParagraph"/>
              <w:numPr>
                <w:ilvl w:val="0"/>
                <w:numId w:val="1"/>
              </w:numPr>
              <w:ind w:left="284" w:hanging="284"/>
              <w:jc w:val="both"/>
              <w:rPr>
                <w:rFonts w:ascii="Tahoma" w:hAnsi="Tahoma" w:cs="Tahoma"/>
                <w:sz w:val="18"/>
                <w:szCs w:val="20"/>
                <w:lang w:val="en-US"/>
              </w:rPr>
            </w:pPr>
            <w:r w:rsidRPr="0062396C">
              <w:rPr>
                <w:rFonts w:ascii="Tahoma" w:hAnsi="Tahoma" w:cs="Tahoma"/>
                <w:sz w:val="18"/>
                <w:szCs w:val="20"/>
                <w:lang w:val="en-US"/>
              </w:rPr>
              <w:t>the quality of Figure 3 and Figures 5-8 should be improved for a better readability</w:t>
            </w:r>
          </w:p>
        </w:tc>
        <w:tc>
          <w:tcPr>
            <w:tcW w:w="4889" w:type="dxa"/>
          </w:tcPr>
          <w:p w:rsidR="0062396C" w:rsidRPr="0062396C" w:rsidRDefault="002F4ABF" w:rsidP="00BA2AE7">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Attached also the original pictures for testing if they could be ok for final printing – otherwise such pictures will be regenerated</w:t>
            </w:r>
          </w:p>
        </w:tc>
      </w:tr>
      <w:tr w:rsidR="0062396C" w:rsidRPr="000F6D6A" w:rsidTr="0062396C">
        <w:tc>
          <w:tcPr>
            <w:tcW w:w="4889" w:type="dxa"/>
          </w:tcPr>
          <w:p w:rsidR="0062396C" w:rsidRPr="0062396C" w:rsidRDefault="0062396C" w:rsidP="000F2291">
            <w:pPr>
              <w:pStyle w:val="ListParagraph"/>
              <w:numPr>
                <w:ilvl w:val="0"/>
                <w:numId w:val="1"/>
              </w:numPr>
              <w:ind w:left="284" w:hanging="284"/>
              <w:jc w:val="both"/>
              <w:rPr>
                <w:rFonts w:ascii="Tahoma" w:hAnsi="Tahoma" w:cs="Tahoma"/>
                <w:sz w:val="18"/>
                <w:szCs w:val="20"/>
                <w:lang w:val="en-US"/>
              </w:rPr>
            </w:pPr>
            <w:r w:rsidRPr="0062396C">
              <w:rPr>
                <w:rFonts w:ascii="Tahoma" w:hAnsi="Tahoma" w:cs="Tahoma"/>
                <w:sz w:val="18"/>
                <w:szCs w:val="20"/>
                <w:lang w:val="en-US"/>
              </w:rPr>
              <w:t>Section 2F is unclear, the content should be described better</w:t>
            </w:r>
          </w:p>
        </w:tc>
        <w:tc>
          <w:tcPr>
            <w:tcW w:w="4889" w:type="dxa"/>
          </w:tcPr>
          <w:p w:rsidR="0062396C" w:rsidRPr="0062396C" w:rsidRDefault="002F4ABF" w:rsidP="00BA2AE7">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Inserted a new sentence for better introducing such content on section 2F</w:t>
            </w:r>
          </w:p>
        </w:tc>
      </w:tr>
      <w:tr w:rsidR="0062396C" w:rsidRPr="002F4ABF" w:rsidTr="0062396C">
        <w:tc>
          <w:tcPr>
            <w:tcW w:w="4889" w:type="dxa"/>
          </w:tcPr>
          <w:p w:rsidR="0062396C" w:rsidRPr="0062396C" w:rsidRDefault="0062396C" w:rsidP="000F2291">
            <w:pPr>
              <w:pStyle w:val="ListParagraph"/>
              <w:numPr>
                <w:ilvl w:val="0"/>
                <w:numId w:val="1"/>
              </w:numPr>
              <w:ind w:left="284" w:hanging="284"/>
              <w:jc w:val="both"/>
              <w:rPr>
                <w:rFonts w:ascii="Tahoma" w:hAnsi="Tahoma" w:cs="Tahoma"/>
                <w:sz w:val="18"/>
                <w:szCs w:val="20"/>
                <w:lang w:val="en-US"/>
              </w:rPr>
            </w:pPr>
            <w:r w:rsidRPr="0062396C">
              <w:rPr>
                <w:rFonts w:ascii="Tahoma" w:hAnsi="Tahoma" w:cs="Tahoma"/>
                <w:sz w:val="18"/>
                <w:szCs w:val="20"/>
                <w:lang w:val="en-US"/>
              </w:rPr>
              <w:t>There are also a few typos and minor English errors scattered throughout the paper</w:t>
            </w:r>
          </w:p>
        </w:tc>
        <w:tc>
          <w:tcPr>
            <w:tcW w:w="4889" w:type="dxa"/>
          </w:tcPr>
          <w:p w:rsidR="0062396C" w:rsidRPr="0062396C" w:rsidRDefault="002F4ABF" w:rsidP="00BA2AE7">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Fixed</w:t>
            </w:r>
          </w:p>
        </w:tc>
      </w:tr>
    </w:tbl>
    <w:p w:rsidR="000F2291" w:rsidRPr="002F4ABF" w:rsidRDefault="000F2291" w:rsidP="0062396C">
      <w:pPr>
        <w:spacing w:after="0"/>
        <w:rPr>
          <w:rFonts w:ascii="Tahoma" w:hAnsi="Tahoma" w:cs="Tahoma"/>
          <w:b/>
          <w:sz w:val="20"/>
          <w:szCs w:val="20"/>
          <w:lang w:val="en-US"/>
        </w:rPr>
      </w:pPr>
    </w:p>
    <w:p w:rsidR="0062396C" w:rsidRPr="0062396C" w:rsidRDefault="0062396C" w:rsidP="0062396C">
      <w:pPr>
        <w:spacing w:after="0"/>
        <w:rPr>
          <w:rFonts w:ascii="Tahoma" w:hAnsi="Tahoma" w:cs="Tahoma"/>
          <w:b/>
          <w:sz w:val="20"/>
          <w:szCs w:val="20"/>
        </w:rPr>
      </w:pPr>
      <w:r>
        <w:rPr>
          <w:rFonts w:ascii="Tahoma" w:hAnsi="Tahoma" w:cs="Tahoma"/>
          <w:b/>
          <w:sz w:val="20"/>
          <w:szCs w:val="20"/>
        </w:rPr>
        <w:t>Reviewer B</w:t>
      </w:r>
    </w:p>
    <w:tbl>
      <w:tblPr>
        <w:tblStyle w:val="TableGrid"/>
        <w:tblW w:w="0" w:type="auto"/>
        <w:tblLook w:val="04A0" w:firstRow="1" w:lastRow="0" w:firstColumn="1" w:lastColumn="0" w:noHBand="0" w:noVBand="1"/>
      </w:tblPr>
      <w:tblGrid>
        <w:gridCol w:w="4889"/>
        <w:gridCol w:w="4889"/>
      </w:tblGrid>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The paper reads quite well. However</w:t>
            </w:r>
            <w:r>
              <w:rPr>
                <w:rFonts w:ascii="Tahoma" w:hAnsi="Tahoma" w:cs="Tahoma"/>
                <w:sz w:val="18"/>
                <w:szCs w:val="20"/>
                <w:lang w:val="en-US"/>
              </w:rPr>
              <w:t xml:space="preserve"> the following must be adjusted. T</w:t>
            </w:r>
            <w:r w:rsidRPr="0062396C">
              <w:rPr>
                <w:rFonts w:ascii="Tahoma" w:hAnsi="Tahoma" w:cs="Tahoma"/>
                <w:sz w:val="18"/>
                <w:szCs w:val="20"/>
                <w:lang w:val="en-US"/>
              </w:rPr>
              <w:t>he paper content is entirely devoted to software quality. This should be reflected by the title, the abstract and the introduction. In fact the title of the proceeding paper version included the word 'software', now dropped. Now these entities refer generically</w:t>
            </w:r>
            <w:r>
              <w:rPr>
                <w:rFonts w:ascii="Tahoma" w:hAnsi="Tahoma" w:cs="Tahoma"/>
                <w:sz w:val="18"/>
                <w:szCs w:val="20"/>
                <w:lang w:val="en-US"/>
              </w:rPr>
              <w:t xml:space="preserve"> </w:t>
            </w:r>
            <w:r w:rsidRPr="0062396C">
              <w:rPr>
                <w:rFonts w:ascii="Tahoma" w:hAnsi="Tahoma" w:cs="Tahoma"/>
                <w:sz w:val="18"/>
                <w:szCs w:val="20"/>
                <w:lang w:val="en-US"/>
              </w:rPr>
              <w:t>to quality models. Revise this aspect</w:t>
            </w:r>
          </w:p>
        </w:tc>
        <w:tc>
          <w:tcPr>
            <w:tcW w:w="4889" w:type="dxa"/>
          </w:tcPr>
          <w:p w:rsidR="0062396C" w:rsidRDefault="002F4ABF" w:rsidP="00BA2AE7">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As stated also in the abstract, this extended paper extends the ‘quality’ view from the ‘software product quality’ (original paper) to a wider view also impacting on services and projects (e.g. by Fig 9</w:t>
            </w:r>
            <w:r w:rsidR="001662FF">
              <w:rPr>
                <w:rFonts w:ascii="Tahoma" w:hAnsi="Tahoma" w:cs="Tahoma"/>
                <w:sz w:val="18"/>
                <w:szCs w:val="20"/>
                <w:lang w:val="en-US"/>
              </w:rPr>
              <w:t xml:space="preserve"> and Fig. 11, where different Entities of Interests have been represented</w:t>
            </w:r>
            <w:r>
              <w:rPr>
                <w:rFonts w:ascii="Tahoma" w:hAnsi="Tahoma" w:cs="Tahoma"/>
                <w:sz w:val="18"/>
                <w:szCs w:val="20"/>
                <w:lang w:val="en-US"/>
              </w:rPr>
              <w:t>). Inserted the ‘service quality’ item in the abstract</w:t>
            </w:r>
            <w:r w:rsidR="00D27CB6">
              <w:rPr>
                <w:rFonts w:ascii="Tahoma" w:hAnsi="Tahoma" w:cs="Tahoma"/>
                <w:sz w:val="18"/>
                <w:szCs w:val="20"/>
                <w:lang w:val="en-US"/>
              </w:rPr>
              <w:t>, a bullet point in Section 6</w:t>
            </w:r>
            <w:r>
              <w:rPr>
                <w:rFonts w:ascii="Tahoma" w:hAnsi="Tahoma" w:cs="Tahoma"/>
                <w:sz w:val="18"/>
                <w:szCs w:val="20"/>
                <w:lang w:val="en-US"/>
              </w:rPr>
              <w:t xml:space="preserve"> and in </w:t>
            </w:r>
            <w:r w:rsidR="00D27CB6">
              <w:rPr>
                <w:rFonts w:ascii="Tahoma" w:hAnsi="Tahoma" w:cs="Tahoma"/>
                <w:sz w:val="18"/>
                <w:szCs w:val="20"/>
                <w:lang w:val="en-US"/>
              </w:rPr>
              <w:t xml:space="preserve">the final </w:t>
            </w:r>
            <w:r>
              <w:rPr>
                <w:rFonts w:ascii="Tahoma" w:hAnsi="Tahoma" w:cs="Tahoma"/>
                <w:sz w:val="18"/>
                <w:szCs w:val="20"/>
                <w:lang w:val="en-US"/>
              </w:rPr>
              <w:t>conclusions to stress more such different (wider) view.</w:t>
            </w:r>
          </w:p>
          <w:p w:rsidR="00A87D85" w:rsidRPr="0062396C" w:rsidRDefault="00A87D85" w:rsidP="00A87D85">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Section 4 started (2</w:t>
            </w:r>
            <w:r w:rsidRPr="00A87D85">
              <w:rPr>
                <w:rFonts w:ascii="Tahoma" w:hAnsi="Tahoma" w:cs="Tahoma"/>
                <w:sz w:val="18"/>
                <w:szCs w:val="20"/>
                <w:vertAlign w:val="superscript"/>
                <w:lang w:val="en-US"/>
              </w:rPr>
              <w:t>nd</w:t>
            </w:r>
            <w:r>
              <w:rPr>
                <w:rFonts w:ascii="Tahoma" w:hAnsi="Tahoma" w:cs="Tahoma"/>
                <w:sz w:val="18"/>
                <w:szCs w:val="20"/>
                <w:lang w:val="en-US"/>
              </w:rPr>
              <w:t xml:space="preserve"> sentence) with the proposal to observe different </w:t>
            </w:r>
            <w:proofErr w:type="spellStart"/>
            <w:r>
              <w:rPr>
                <w:rFonts w:ascii="Tahoma" w:hAnsi="Tahoma" w:cs="Tahoma"/>
                <w:sz w:val="18"/>
                <w:szCs w:val="20"/>
                <w:lang w:val="en-US"/>
              </w:rPr>
              <w:t>EoI</w:t>
            </w:r>
            <w:proofErr w:type="spellEnd"/>
            <w:r>
              <w:rPr>
                <w:rFonts w:ascii="Tahoma" w:hAnsi="Tahoma" w:cs="Tahoma"/>
                <w:sz w:val="18"/>
                <w:szCs w:val="20"/>
                <w:lang w:val="en-US"/>
              </w:rPr>
              <w:t xml:space="preserve"> (Entities of Interest) than the software product, in order to extend such concept also to e.g. project, process, services, etc.</w:t>
            </w:r>
          </w:p>
        </w:tc>
      </w:tr>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While interesting the subject is treated in a taxonomical way. To widen the advancement in the state-of-the-art I suggest that the discussion about future steps is put as a separate section (taken out from the conclusion</w:t>
            </w:r>
            <w:r>
              <w:rPr>
                <w:rFonts w:ascii="Tahoma" w:hAnsi="Tahoma" w:cs="Tahoma"/>
                <w:sz w:val="18"/>
                <w:szCs w:val="20"/>
                <w:lang w:val="en-US"/>
              </w:rPr>
              <w:t xml:space="preserve"> </w:t>
            </w:r>
            <w:r w:rsidRPr="0062396C">
              <w:rPr>
                <w:rFonts w:ascii="Tahoma" w:hAnsi="Tahoma" w:cs="Tahoma"/>
                <w:sz w:val="18"/>
                <w:szCs w:val="20"/>
                <w:lang w:val="en-US"/>
              </w:rPr>
              <w:t>section) and enlarged based on the authors experience</w:t>
            </w:r>
          </w:p>
        </w:tc>
        <w:tc>
          <w:tcPr>
            <w:tcW w:w="4889" w:type="dxa"/>
          </w:tcPr>
          <w:p w:rsidR="0062396C" w:rsidRPr="0062396C" w:rsidRDefault="00BA2AE7" w:rsidP="00BA2AE7">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Sections 5 and 6 report future steps moving from the existing taxonomies introducing possible ingredients for such ‘recipe’ as the EAM taxonomy, BMP technique and the STAR taxonomy. Fig.11 shows the idea for realizing a more comprehensive and useful measurement plan.</w:t>
            </w:r>
          </w:p>
        </w:tc>
      </w:tr>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20"/>
                <w:szCs w:val="20"/>
                <w:lang w:val="en-US"/>
              </w:rPr>
            </w:pPr>
            <w:r w:rsidRPr="0062396C">
              <w:rPr>
                <w:rFonts w:ascii="Tahoma" w:hAnsi="Tahoma" w:cs="Tahoma"/>
                <w:sz w:val="18"/>
                <w:szCs w:val="20"/>
                <w:lang w:val="en-US"/>
              </w:rPr>
              <w:t>I would like to see more stressed the measurement aspects associated to the quality models listed in this paper, to more closely fit the scope of this journal.</w:t>
            </w:r>
          </w:p>
        </w:tc>
        <w:tc>
          <w:tcPr>
            <w:tcW w:w="4889" w:type="dxa"/>
          </w:tcPr>
          <w:p w:rsidR="0062396C" w:rsidRPr="0062396C" w:rsidRDefault="00BA2AE7" w:rsidP="00871E1F">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 xml:space="preserve">The EAM analysis on Section 4 introduces such issue (‘what are we measuring?’). </w:t>
            </w:r>
            <w:r w:rsidR="00871E1F">
              <w:rPr>
                <w:rFonts w:ascii="Tahoma" w:hAnsi="Tahoma" w:cs="Tahoma"/>
                <w:sz w:val="18"/>
                <w:szCs w:val="20"/>
                <w:lang w:val="en-US"/>
              </w:rPr>
              <w:t>Inserted a new paragraph, stressing the value from a proper measuring.</w:t>
            </w:r>
          </w:p>
        </w:tc>
      </w:tr>
    </w:tbl>
    <w:p w:rsidR="0062396C" w:rsidRDefault="0062396C">
      <w:pPr>
        <w:rPr>
          <w:rFonts w:ascii="Tahoma" w:hAnsi="Tahoma" w:cs="Tahoma"/>
          <w:sz w:val="20"/>
          <w:szCs w:val="20"/>
          <w:lang w:val="en-US"/>
        </w:rPr>
      </w:pPr>
    </w:p>
    <w:p w:rsidR="0062396C" w:rsidRPr="0062396C" w:rsidRDefault="0062396C" w:rsidP="0062396C">
      <w:pPr>
        <w:spacing w:after="0"/>
        <w:rPr>
          <w:rFonts w:ascii="Tahoma" w:hAnsi="Tahoma" w:cs="Tahoma"/>
          <w:b/>
          <w:sz w:val="20"/>
          <w:szCs w:val="20"/>
        </w:rPr>
      </w:pPr>
      <w:r>
        <w:rPr>
          <w:rFonts w:ascii="Tahoma" w:hAnsi="Tahoma" w:cs="Tahoma"/>
          <w:b/>
          <w:sz w:val="20"/>
          <w:szCs w:val="20"/>
        </w:rPr>
        <w:t>Reviewer C</w:t>
      </w:r>
    </w:p>
    <w:tbl>
      <w:tblPr>
        <w:tblStyle w:val="TableGrid"/>
        <w:tblW w:w="0" w:type="auto"/>
        <w:tblLook w:val="04A0" w:firstRow="1" w:lastRow="0" w:firstColumn="1" w:lastColumn="0" w:noHBand="0" w:noVBand="1"/>
      </w:tblPr>
      <w:tblGrid>
        <w:gridCol w:w="4889"/>
        <w:gridCol w:w="4889"/>
      </w:tblGrid>
      <w:tr w:rsidR="0062396C" w:rsidRPr="002F4ABF" w:rsidTr="00DD7740">
        <w:tc>
          <w:tcPr>
            <w:tcW w:w="4889" w:type="dxa"/>
          </w:tcPr>
          <w:p w:rsidR="0062396C" w:rsidRPr="000F2291"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The paper presents a survey about Quality Models (QM) for software products discussing about their evolution and making some thoughts about the future of QM.</w:t>
            </w:r>
          </w:p>
        </w:tc>
        <w:tc>
          <w:tcPr>
            <w:tcW w:w="4889" w:type="dxa"/>
          </w:tcPr>
          <w:p w:rsidR="0062396C" w:rsidRPr="0062396C" w:rsidRDefault="00DD7740" w:rsidP="00DD7740">
            <w:pPr>
              <w:pStyle w:val="ListParagraph"/>
              <w:numPr>
                <w:ilvl w:val="0"/>
                <w:numId w:val="1"/>
              </w:numPr>
              <w:ind w:left="284" w:hanging="284"/>
              <w:rPr>
                <w:rFonts w:ascii="Tahoma" w:hAnsi="Tahoma" w:cs="Tahoma"/>
                <w:sz w:val="18"/>
                <w:szCs w:val="20"/>
                <w:lang w:val="en-US"/>
              </w:rPr>
            </w:pPr>
            <w:r>
              <w:rPr>
                <w:rFonts w:ascii="Tahoma" w:hAnsi="Tahoma" w:cs="Tahoma"/>
                <w:sz w:val="18"/>
                <w:szCs w:val="20"/>
                <w:lang w:val="en-US"/>
              </w:rPr>
              <w:t>---</w:t>
            </w:r>
          </w:p>
        </w:tc>
      </w:tr>
      <w:tr w:rsidR="000F2291" w:rsidRPr="000F6D6A" w:rsidTr="00DD7740">
        <w:tc>
          <w:tcPr>
            <w:tcW w:w="4889" w:type="dxa"/>
          </w:tcPr>
          <w:p w:rsidR="000F2291" w:rsidRPr="0062396C" w:rsidRDefault="000F2291" w:rsidP="000F2291">
            <w:pPr>
              <w:pStyle w:val="ListParagraph"/>
              <w:numPr>
                <w:ilvl w:val="0"/>
                <w:numId w:val="2"/>
              </w:numPr>
              <w:jc w:val="both"/>
              <w:rPr>
                <w:rFonts w:ascii="Tahoma" w:hAnsi="Tahoma" w:cs="Tahoma"/>
                <w:sz w:val="18"/>
                <w:szCs w:val="20"/>
                <w:lang w:val="en-US"/>
              </w:rPr>
            </w:pPr>
            <w:r w:rsidRPr="000F2291">
              <w:rPr>
                <w:rFonts w:ascii="Tahoma" w:hAnsi="Tahoma" w:cs="Tahoma"/>
                <w:sz w:val="18"/>
                <w:szCs w:val="20"/>
                <w:lang w:val="en-US"/>
              </w:rPr>
              <w:t>The English language is to be revised and improved. There are several long sentences with a complicated syntactic structure that make difficult the reading, as well as with typos that make not (well) understandable the sentences. Just as an example, at the beginning of the section 4: “Observing the above mentioned QM, they can have two (or three) level structure is about the content, but they are all about (software) products.</w:t>
            </w:r>
            <w:r>
              <w:rPr>
                <w:rFonts w:ascii="Tahoma" w:hAnsi="Tahoma" w:cs="Tahoma"/>
                <w:sz w:val="18"/>
                <w:szCs w:val="20"/>
                <w:lang w:val="en-US"/>
              </w:rPr>
              <w:t xml:space="preserve"> </w:t>
            </w:r>
            <w:r w:rsidRPr="0062396C">
              <w:rPr>
                <w:rFonts w:ascii="Tahoma" w:hAnsi="Tahoma" w:cs="Tahoma"/>
                <w:sz w:val="18"/>
                <w:szCs w:val="20"/>
                <w:lang w:val="en-US"/>
              </w:rPr>
              <w:t>“.  I think that something is missing in the sentence before “is about ...</w:t>
            </w:r>
            <w:proofErr w:type="gramStart"/>
            <w:r w:rsidRPr="0062396C">
              <w:rPr>
                <w:rFonts w:ascii="Tahoma" w:hAnsi="Tahoma" w:cs="Tahoma"/>
                <w:sz w:val="18"/>
                <w:szCs w:val="20"/>
                <w:lang w:val="en-US"/>
              </w:rPr>
              <w:t>” .</w:t>
            </w:r>
            <w:proofErr w:type="gramEnd"/>
          </w:p>
        </w:tc>
        <w:tc>
          <w:tcPr>
            <w:tcW w:w="4889" w:type="dxa"/>
          </w:tcPr>
          <w:p w:rsidR="000F2291" w:rsidRPr="0062396C" w:rsidRDefault="00A87D85" w:rsidP="00DD7740">
            <w:pPr>
              <w:pStyle w:val="ListParagraph"/>
              <w:numPr>
                <w:ilvl w:val="0"/>
                <w:numId w:val="1"/>
              </w:numPr>
              <w:ind w:left="284" w:hanging="284"/>
              <w:rPr>
                <w:rFonts w:ascii="Tahoma" w:hAnsi="Tahoma" w:cs="Tahoma"/>
                <w:sz w:val="18"/>
                <w:szCs w:val="20"/>
                <w:lang w:val="en-US"/>
              </w:rPr>
            </w:pPr>
            <w:r>
              <w:rPr>
                <w:rFonts w:ascii="Tahoma" w:hAnsi="Tahoma" w:cs="Tahoma"/>
                <w:sz w:val="18"/>
                <w:szCs w:val="20"/>
                <w:lang w:val="en-US"/>
              </w:rPr>
              <w:t>Tried to simplify the language</w:t>
            </w:r>
          </w:p>
        </w:tc>
      </w:tr>
      <w:tr w:rsidR="0062396C" w:rsidRPr="000F6D6A" w:rsidTr="00DD7740">
        <w:tc>
          <w:tcPr>
            <w:tcW w:w="4889" w:type="dxa"/>
          </w:tcPr>
          <w:p w:rsidR="0062396C" w:rsidRPr="000F2291"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I suggest the author to insert, in the section 2</w:t>
            </w:r>
            <w:proofErr w:type="gramStart"/>
            <w:r w:rsidRPr="0062396C">
              <w:rPr>
                <w:rFonts w:ascii="Tahoma" w:hAnsi="Tahoma" w:cs="Tahoma"/>
                <w:sz w:val="18"/>
                <w:szCs w:val="20"/>
                <w:lang w:val="en-US"/>
              </w:rPr>
              <w:t>,  a</w:t>
            </w:r>
            <w:proofErr w:type="gramEnd"/>
            <w:r w:rsidRPr="0062396C">
              <w:rPr>
                <w:rFonts w:ascii="Tahoma" w:hAnsi="Tahoma" w:cs="Tahoma"/>
                <w:sz w:val="18"/>
                <w:szCs w:val="20"/>
                <w:lang w:val="en-US"/>
              </w:rPr>
              <w:t xml:space="preserve"> table summarizing the various QM described and highlighting their evolution and the differences among them.</w:t>
            </w:r>
          </w:p>
        </w:tc>
        <w:tc>
          <w:tcPr>
            <w:tcW w:w="4889" w:type="dxa"/>
          </w:tcPr>
          <w:p w:rsidR="0062396C" w:rsidRPr="0062396C" w:rsidRDefault="006A5AB4" w:rsidP="00DD7740">
            <w:pPr>
              <w:pStyle w:val="ListParagraph"/>
              <w:numPr>
                <w:ilvl w:val="0"/>
                <w:numId w:val="1"/>
              </w:numPr>
              <w:ind w:left="284" w:hanging="284"/>
              <w:rPr>
                <w:rFonts w:ascii="Tahoma" w:hAnsi="Tahoma" w:cs="Tahoma"/>
                <w:sz w:val="18"/>
                <w:szCs w:val="20"/>
                <w:lang w:val="en-US"/>
              </w:rPr>
            </w:pPr>
            <w:r>
              <w:rPr>
                <w:rFonts w:ascii="Tahoma" w:hAnsi="Tahoma" w:cs="Tahoma"/>
                <w:sz w:val="18"/>
                <w:szCs w:val="20"/>
                <w:lang w:val="en-US"/>
              </w:rPr>
              <w:t>As suggested, inserted a new table</w:t>
            </w:r>
            <w:r w:rsidR="00CB7F57">
              <w:rPr>
                <w:rFonts w:ascii="Tahoma" w:hAnsi="Tahoma" w:cs="Tahoma"/>
                <w:sz w:val="18"/>
                <w:szCs w:val="20"/>
                <w:lang w:val="en-US"/>
              </w:rPr>
              <w:t xml:space="preserve"> summarizing the different QMs discussed in Section 2</w:t>
            </w:r>
          </w:p>
        </w:tc>
      </w:tr>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lastRenderedPageBreak/>
              <w:t xml:space="preserve">The description and discussion given in sections 3, 4, and 5 is made in a way too concise and at a level of abstraction too high, especially for readers with little experience about software QM (as it is likely for most ACTA IMEKO readers). The author has to improve the discussion and description providing more insights. Moreover a simple (running) example would help in making </w:t>
            </w:r>
            <w:proofErr w:type="gramStart"/>
            <w:r w:rsidRPr="0062396C">
              <w:rPr>
                <w:rFonts w:ascii="Tahoma" w:hAnsi="Tahoma" w:cs="Tahoma"/>
                <w:sz w:val="18"/>
                <w:szCs w:val="20"/>
                <w:lang w:val="en-US"/>
              </w:rPr>
              <w:t>more clear</w:t>
            </w:r>
            <w:proofErr w:type="gramEnd"/>
            <w:r w:rsidRPr="0062396C">
              <w:rPr>
                <w:rFonts w:ascii="Tahoma" w:hAnsi="Tahoma" w:cs="Tahoma"/>
                <w:sz w:val="18"/>
                <w:szCs w:val="20"/>
                <w:lang w:val="en-US"/>
              </w:rPr>
              <w:t xml:space="preserve"> and better understandable the problem(s) addressed by the author.</w:t>
            </w:r>
          </w:p>
        </w:tc>
        <w:tc>
          <w:tcPr>
            <w:tcW w:w="4889" w:type="dxa"/>
          </w:tcPr>
          <w:p w:rsidR="0062396C" w:rsidRPr="0062396C" w:rsidRDefault="00AD100A" w:rsidP="00AD100A">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Inserted more text in Section 5 with criteria from best practices as ITIL with ‘rules of thumb’ for managing a proper number of measures within an organization and single projects. A larger discussion on that can be found on [22] and related papers on the BMP technique, here introduced to design and describe the approach for improving the organization/project ROM (Return on Measurement).</w:t>
            </w:r>
          </w:p>
        </w:tc>
      </w:tr>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The table 1 is not (</w:t>
            </w:r>
            <w:proofErr w:type="spellStart"/>
            <w:r w:rsidRPr="0062396C">
              <w:rPr>
                <w:rFonts w:ascii="Tahoma" w:hAnsi="Tahoma" w:cs="Tahoma"/>
                <w:sz w:val="18"/>
                <w:szCs w:val="20"/>
                <w:lang w:val="en-US"/>
              </w:rPr>
              <w:t>explicitely</w:t>
            </w:r>
            <w:proofErr w:type="spellEnd"/>
            <w:r w:rsidRPr="0062396C">
              <w:rPr>
                <w:rFonts w:ascii="Tahoma" w:hAnsi="Tahoma" w:cs="Tahoma"/>
                <w:sz w:val="18"/>
                <w:szCs w:val="20"/>
                <w:lang w:val="en-US"/>
              </w:rPr>
              <w:t>) referred in the text. With reference to table 1, a simple real example, more exhaustive and broad, with references to a specific QM and more other attributes will make the description more clear.</w:t>
            </w:r>
          </w:p>
        </w:tc>
        <w:tc>
          <w:tcPr>
            <w:tcW w:w="4889" w:type="dxa"/>
          </w:tcPr>
          <w:p w:rsidR="0062396C" w:rsidRDefault="00AD100A" w:rsidP="00DD7740">
            <w:pPr>
              <w:pStyle w:val="ListParagraph"/>
              <w:numPr>
                <w:ilvl w:val="0"/>
                <w:numId w:val="1"/>
              </w:numPr>
              <w:ind w:left="284" w:hanging="284"/>
              <w:rPr>
                <w:rFonts w:ascii="Tahoma" w:hAnsi="Tahoma" w:cs="Tahoma"/>
                <w:sz w:val="18"/>
                <w:szCs w:val="20"/>
                <w:lang w:val="en-US"/>
              </w:rPr>
            </w:pPr>
            <w:r>
              <w:rPr>
                <w:rFonts w:ascii="Tahoma" w:hAnsi="Tahoma" w:cs="Tahoma"/>
                <w:sz w:val="18"/>
                <w:szCs w:val="20"/>
                <w:lang w:val="en-US"/>
              </w:rPr>
              <w:t>Explicitly mentioned current Table 2 in the text</w:t>
            </w:r>
          </w:p>
          <w:p w:rsidR="00AD100A" w:rsidRPr="0062396C" w:rsidRDefault="00AD100A" w:rsidP="00AD100A">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The comparison about what a FP or a LOC measure was exactly the starting point for Jones’ productivity paradox when FP were created to overcome problems in managing projects with a LOC-based system of measures (see [13]).</w:t>
            </w:r>
          </w:p>
        </w:tc>
      </w:tr>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 xml:space="preserve">Some text describing the figure 9 is </w:t>
            </w:r>
            <w:proofErr w:type="gramStart"/>
            <w:r w:rsidRPr="0062396C">
              <w:rPr>
                <w:rFonts w:ascii="Tahoma" w:hAnsi="Tahoma" w:cs="Tahoma"/>
                <w:sz w:val="18"/>
                <w:szCs w:val="20"/>
                <w:lang w:val="en-US"/>
              </w:rPr>
              <w:t>needed,</w:t>
            </w:r>
            <w:proofErr w:type="gramEnd"/>
            <w:r w:rsidRPr="0062396C">
              <w:rPr>
                <w:rFonts w:ascii="Tahoma" w:hAnsi="Tahoma" w:cs="Tahoma"/>
                <w:sz w:val="18"/>
                <w:szCs w:val="20"/>
                <w:lang w:val="en-US"/>
              </w:rPr>
              <w:t xml:space="preserve"> the same is in particular for the figure 10 for which it is very difficult to comprehend what it would actually represent. Of course, similar considerations still stand for the figure 11. As I said, I thing that a running example would be useful in discussing/describing all the issues addressed in the paper.</w:t>
            </w:r>
          </w:p>
        </w:tc>
        <w:tc>
          <w:tcPr>
            <w:tcW w:w="4889" w:type="dxa"/>
          </w:tcPr>
          <w:p w:rsidR="0062396C" w:rsidRPr="0062396C" w:rsidRDefault="000879E4" w:rsidP="000879E4">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 xml:space="preserve">Such </w:t>
            </w:r>
            <w:r w:rsidR="00454A79">
              <w:rPr>
                <w:rFonts w:ascii="Tahoma" w:hAnsi="Tahoma" w:cs="Tahoma"/>
                <w:sz w:val="18"/>
                <w:szCs w:val="20"/>
                <w:lang w:val="en-US"/>
              </w:rPr>
              <w:t>list of 14 attributes is</w:t>
            </w:r>
            <w:r>
              <w:rPr>
                <w:rFonts w:ascii="Tahoma" w:hAnsi="Tahoma" w:cs="Tahoma"/>
                <w:sz w:val="18"/>
                <w:szCs w:val="20"/>
                <w:lang w:val="en-US"/>
              </w:rPr>
              <w:t xml:space="preserve"> fully described in [21]. Thus, a project could/should take into account such series of characteristics </w:t>
            </w:r>
            <w:r w:rsidR="00AD100A">
              <w:rPr>
                <w:rFonts w:ascii="Tahoma" w:hAnsi="Tahoma" w:cs="Tahoma"/>
                <w:sz w:val="18"/>
                <w:szCs w:val="20"/>
                <w:lang w:val="en-US"/>
              </w:rPr>
              <w:t xml:space="preserve">in order to be successful. Inserted the reference also in the text, yet present in Fig.9 caption, for </w:t>
            </w:r>
            <w:r w:rsidR="00454A79">
              <w:rPr>
                <w:rFonts w:ascii="Tahoma" w:hAnsi="Tahoma" w:cs="Tahoma"/>
                <w:sz w:val="18"/>
                <w:szCs w:val="20"/>
                <w:lang w:val="en-US"/>
              </w:rPr>
              <w:t>sake</w:t>
            </w:r>
            <w:r w:rsidR="00AD100A">
              <w:rPr>
                <w:rFonts w:ascii="Tahoma" w:hAnsi="Tahoma" w:cs="Tahoma"/>
                <w:sz w:val="18"/>
                <w:szCs w:val="20"/>
                <w:lang w:val="en-US"/>
              </w:rPr>
              <w:t xml:space="preserve"> of brevity and balancing the length of all sections within the paper.</w:t>
            </w:r>
          </w:p>
        </w:tc>
      </w:tr>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Also the section 6 is too concise: the issues it addresses need a broader discussion. The addressed issues should be presented as an analysis from a lesson learnt about the (actual) usage of QM. I think that the issue about Measurement is the main one to address in the future.</w:t>
            </w:r>
          </w:p>
        </w:tc>
        <w:tc>
          <w:tcPr>
            <w:tcW w:w="4889" w:type="dxa"/>
          </w:tcPr>
          <w:p w:rsidR="0062396C" w:rsidRPr="0062396C" w:rsidRDefault="000879E4" w:rsidP="000879E4">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As presented with the EAM analysis, the ‘M’ side is the final step. As in the BMP technique, a good measurement plan needs to be balanced, moving from a good choice of the ‘E/A’ levels, that’s the ‘what’ to measure, before telling ‘how’ with the related sizing unit/technique.</w:t>
            </w:r>
          </w:p>
        </w:tc>
      </w:tr>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I do not fully agree when the author say:” quality represents the ‘how’ a product should be realized according to initial requirements”.</w:t>
            </w:r>
          </w:p>
        </w:tc>
        <w:tc>
          <w:tcPr>
            <w:tcW w:w="4889" w:type="dxa"/>
          </w:tcPr>
          <w:p w:rsidR="0062396C" w:rsidRPr="0062396C" w:rsidRDefault="000879E4" w:rsidP="000879E4">
            <w:pPr>
              <w:pStyle w:val="ListParagraph"/>
              <w:numPr>
                <w:ilvl w:val="0"/>
                <w:numId w:val="1"/>
              </w:numPr>
              <w:ind w:left="284" w:hanging="284"/>
              <w:jc w:val="both"/>
              <w:rPr>
                <w:rFonts w:ascii="Tahoma" w:hAnsi="Tahoma" w:cs="Tahoma"/>
                <w:sz w:val="18"/>
                <w:szCs w:val="20"/>
                <w:lang w:val="en-US"/>
              </w:rPr>
            </w:pPr>
            <w:r>
              <w:rPr>
                <w:rFonts w:ascii="Tahoma" w:hAnsi="Tahoma" w:cs="Tahoma"/>
                <w:sz w:val="18"/>
                <w:szCs w:val="20"/>
                <w:lang w:val="en-US"/>
              </w:rPr>
              <w:t xml:space="preserve">FUR is the ‘what’ and NFR is the ‘how’, also according to ISO/IEC/IEEE standard glossary – as in </w:t>
            </w:r>
            <w:hyperlink r:id="rId6" w:history="1">
              <w:r w:rsidRPr="00455CA0">
                <w:rPr>
                  <w:rStyle w:val="Hyperlink"/>
                  <w:rFonts w:ascii="Tahoma" w:hAnsi="Tahoma" w:cs="Tahoma"/>
                  <w:sz w:val="18"/>
                  <w:szCs w:val="20"/>
                  <w:lang w:val="en-US"/>
                </w:rPr>
                <w:t>www.computer.org/sevocab</w:t>
              </w:r>
            </w:hyperlink>
            <w:r>
              <w:rPr>
                <w:rFonts w:ascii="Tahoma" w:hAnsi="Tahoma" w:cs="Tahoma"/>
                <w:sz w:val="18"/>
                <w:szCs w:val="20"/>
                <w:lang w:val="en-US"/>
              </w:rPr>
              <w:t xml:space="preserve"> </w:t>
            </w:r>
          </w:p>
        </w:tc>
      </w:tr>
      <w:tr w:rsidR="0062396C" w:rsidRPr="0062396C" w:rsidTr="00DD7740">
        <w:tc>
          <w:tcPr>
            <w:tcW w:w="4889" w:type="dxa"/>
          </w:tcPr>
          <w:p w:rsidR="0062396C" w:rsidRPr="0062396C" w:rsidRDefault="0062396C" w:rsidP="000F2291">
            <w:pPr>
              <w:pStyle w:val="ListParagraph"/>
              <w:numPr>
                <w:ilvl w:val="0"/>
                <w:numId w:val="2"/>
              </w:numPr>
              <w:jc w:val="both"/>
              <w:rPr>
                <w:rFonts w:ascii="Tahoma" w:hAnsi="Tahoma" w:cs="Tahoma"/>
                <w:sz w:val="20"/>
                <w:szCs w:val="20"/>
                <w:lang w:val="en-US"/>
              </w:rPr>
            </w:pPr>
            <w:r w:rsidRPr="0062396C">
              <w:rPr>
                <w:rFonts w:ascii="Tahoma" w:hAnsi="Tahoma" w:cs="Tahoma"/>
                <w:sz w:val="18"/>
                <w:szCs w:val="20"/>
                <w:lang w:val="en-US"/>
              </w:rPr>
              <w:t xml:space="preserve">My opinion is that quality has to drive the way “‘how’ a product should be realized” (i.e., quality has to drive the product development), but it does not represent just "how" (i.e., its design, technologies to use, </w:t>
            </w:r>
            <w:proofErr w:type="spellStart"/>
            <w:r w:rsidRPr="0062396C">
              <w:rPr>
                <w:rFonts w:ascii="Tahoma" w:hAnsi="Tahoma" w:cs="Tahoma"/>
                <w:sz w:val="18"/>
                <w:szCs w:val="20"/>
                <w:lang w:val="en-US"/>
              </w:rPr>
              <w:t>etc</w:t>
            </w:r>
            <w:proofErr w:type="spellEnd"/>
            <w:r w:rsidRPr="0062396C">
              <w:rPr>
                <w:rFonts w:ascii="Tahoma" w:hAnsi="Tahoma" w:cs="Tahoma"/>
                <w:sz w:val="18"/>
                <w:szCs w:val="20"/>
                <w:lang w:val="en-US"/>
              </w:rPr>
              <w:t>) it has to be realized. It represents 'what and how' its (future) users hope the product should be. Of course this is just an opinion of mine</w:t>
            </w:r>
          </w:p>
        </w:tc>
        <w:tc>
          <w:tcPr>
            <w:tcW w:w="4889" w:type="dxa"/>
          </w:tcPr>
          <w:p w:rsidR="0062396C" w:rsidRPr="0062396C" w:rsidRDefault="000879E4" w:rsidP="00DD7740">
            <w:pPr>
              <w:pStyle w:val="ListParagraph"/>
              <w:numPr>
                <w:ilvl w:val="0"/>
                <w:numId w:val="1"/>
              </w:numPr>
              <w:ind w:left="284" w:hanging="284"/>
              <w:rPr>
                <w:rFonts w:ascii="Tahoma" w:hAnsi="Tahoma" w:cs="Tahoma"/>
                <w:sz w:val="18"/>
                <w:szCs w:val="20"/>
                <w:lang w:val="en-US"/>
              </w:rPr>
            </w:pPr>
            <w:r>
              <w:rPr>
                <w:rFonts w:ascii="Tahoma" w:hAnsi="Tahoma" w:cs="Tahoma"/>
                <w:sz w:val="18"/>
                <w:szCs w:val="20"/>
                <w:lang w:val="en-US"/>
              </w:rPr>
              <w:t>---</w:t>
            </w:r>
          </w:p>
        </w:tc>
      </w:tr>
      <w:tr w:rsidR="0062396C" w:rsidRPr="000F6D6A" w:rsidTr="00DD7740">
        <w:tc>
          <w:tcPr>
            <w:tcW w:w="4889" w:type="dxa"/>
          </w:tcPr>
          <w:p w:rsidR="0062396C" w:rsidRPr="0062396C" w:rsidRDefault="0062396C" w:rsidP="000F2291">
            <w:pPr>
              <w:pStyle w:val="ListParagraph"/>
              <w:numPr>
                <w:ilvl w:val="0"/>
                <w:numId w:val="2"/>
              </w:numPr>
              <w:jc w:val="both"/>
              <w:rPr>
                <w:rFonts w:ascii="Tahoma" w:hAnsi="Tahoma" w:cs="Tahoma"/>
                <w:sz w:val="18"/>
                <w:szCs w:val="20"/>
                <w:lang w:val="en-US"/>
              </w:rPr>
            </w:pPr>
            <w:r w:rsidRPr="0062396C">
              <w:rPr>
                <w:rFonts w:ascii="Tahoma" w:hAnsi="Tahoma" w:cs="Tahoma"/>
                <w:sz w:val="18"/>
                <w:szCs w:val="20"/>
                <w:lang w:val="en-US"/>
              </w:rPr>
              <w:t>Finally, the author should highlight differences and novelty with similar surveys in the literature.</w:t>
            </w:r>
          </w:p>
        </w:tc>
        <w:tc>
          <w:tcPr>
            <w:tcW w:w="4889" w:type="dxa"/>
          </w:tcPr>
          <w:p w:rsidR="0062396C" w:rsidRPr="0062396C" w:rsidRDefault="000879E4" w:rsidP="000879E4">
            <w:pPr>
              <w:pStyle w:val="ListParagraph"/>
              <w:numPr>
                <w:ilvl w:val="0"/>
                <w:numId w:val="1"/>
              </w:numPr>
              <w:ind w:left="284" w:hanging="284"/>
              <w:rPr>
                <w:rFonts w:ascii="Tahoma" w:hAnsi="Tahoma" w:cs="Tahoma"/>
                <w:sz w:val="18"/>
                <w:szCs w:val="20"/>
                <w:lang w:val="en-US"/>
              </w:rPr>
            </w:pPr>
            <w:r>
              <w:rPr>
                <w:rFonts w:ascii="Tahoma" w:hAnsi="Tahoma" w:cs="Tahoma"/>
                <w:sz w:val="18"/>
                <w:szCs w:val="20"/>
                <w:lang w:val="en-US"/>
              </w:rPr>
              <w:t xml:space="preserve">Inserted in Section 2 similar studies as further </w:t>
            </w:r>
            <w:proofErr w:type="spellStart"/>
            <w:r>
              <w:rPr>
                <w:rFonts w:ascii="Tahoma" w:hAnsi="Tahoma" w:cs="Tahoma"/>
                <w:sz w:val="18"/>
                <w:szCs w:val="20"/>
                <w:lang w:val="en-US"/>
              </w:rPr>
              <w:t>referneces</w:t>
            </w:r>
            <w:proofErr w:type="spellEnd"/>
          </w:p>
        </w:tc>
      </w:tr>
    </w:tbl>
    <w:p w:rsidR="0062396C" w:rsidRDefault="0062396C" w:rsidP="0062396C">
      <w:pPr>
        <w:rPr>
          <w:rFonts w:ascii="Tahoma" w:hAnsi="Tahoma" w:cs="Tahoma"/>
          <w:sz w:val="20"/>
          <w:szCs w:val="20"/>
          <w:lang w:val="en-US"/>
        </w:rPr>
      </w:pPr>
    </w:p>
    <w:p w:rsidR="005C04B8" w:rsidRPr="000F6D6A" w:rsidRDefault="005C04B8">
      <w:pPr>
        <w:rPr>
          <w:rFonts w:ascii="Tahoma" w:hAnsi="Tahoma" w:cs="Tahoma"/>
          <w:b/>
          <w:color w:val="0070C0"/>
          <w:sz w:val="20"/>
          <w:szCs w:val="20"/>
          <w:lang w:val="en-US"/>
        </w:rPr>
      </w:pPr>
      <w:r w:rsidRPr="000F6D6A">
        <w:rPr>
          <w:rFonts w:ascii="Tahoma" w:hAnsi="Tahoma" w:cs="Tahoma"/>
          <w:b/>
          <w:color w:val="0070C0"/>
          <w:sz w:val="20"/>
          <w:szCs w:val="20"/>
          <w:lang w:val="en-US"/>
        </w:rPr>
        <w:br w:type="page"/>
      </w:r>
    </w:p>
    <w:p w:rsidR="005C04B8" w:rsidRPr="005C04B8" w:rsidRDefault="005C04B8" w:rsidP="005C04B8">
      <w:pPr>
        <w:spacing w:after="0"/>
        <w:rPr>
          <w:rFonts w:ascii="Tahoma" w:hAnsi="Tahoma" w:cs="Tahoma"/>
          <w:b/>
          <w:color w:val="0070C0"/>
          <w:sz w:val="20"/>
          <w:szCs w:val="20"/>
        </w:rPr>
      </w:pPr>
      <w:r w:rsidRPr="005C04B8">
        <w:rPr>
          <w:rFonts w:ascii="Tahoma" w:hAnsi="Tahoma" w:cs="Tahoma"/>
          <w:b/>
          <w:color w:val="0070C0"/>
          <w:sz w:val="20"/>
          <w:szCs w:val="20"/>
        </w:rPr>
        <w:lastRenderedPageBreak/>
        <w:t>Reviewer C – v2</w:t>
      </w:r>
    </w:p>
    <w:tbl>
      <w:tblPr>
        <w:tblStyle w:val="TableGrid"/>
        <w:tblW w:w="0" w:type="auto"/>
        <w:tblLook w:val="04A0" w:firstRow="1" w:lastRow="0" w:firstColumn="1" w:lastColumn="0" w:noHBand="0" w:noVBand="1"/>
      </w:tblPr>
      <w:tblGrid>
        <w:gridCol w:w="4889"/>
        <w:gridCol w:w="4889"/>
      </w:tblGrid>
      <w:tr w:rsidR="005C04B8" w:rsidRPr="005C04B8" w:rsidTr="007A44E2">
        <w:tc>
          <w:tcPr>
            <w:tcW w:w="4889" w:type="dxa"/>
          </w:tcPr>
          <w:p w:rsidR="005C04B8" w:rsidRPr="005C04B8" w:rsidRDefault="005C04B8" w:rsidP="005C04B8">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The author has addressed most of my comments/suggestions to the previous submission.</w:t>
            </w:r>
          </w:p>
        </w:tc>
        <w:tc>
          <w:tcPr>
            <w:tcW w:w="4889" w:type="dxa"/>
          </w:tcPr>
          <w:p w:rsidR="005C04B8" w:rsidRPr="005C04B8" w:rsidRDefault="005C04B8" w:rsidP="007A44E2">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w:t>
            </w:r>
          </w:p>
        </w:tc>
      </w:tr>
      <w:tr w:rsidR="005C04B8" w:rsidRPr="005C04B8" w:rsidTr="007A44E2">
        <w:tc>
          <w:tcPr>
            <w:tcW w:w="4889" w:type="dxa"/>
          </w:tcPr>
          <w:p w:rsidR="005C04B8" w:rsidRPr="005C04B8" w:rsidRDefault="005C04B8" w:rsidP="005C04B8">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Just some ‘cosmetic’ interventions are needed.</w:t>
            </w:r>
          </w:p>
          <w:p w:rsidR="005C04B8" w:rsidRPr="005C04B8" w:rsidRDefault="005C04B8" w:rsidP="007A44E2">
            <w:pPr>
              <w:pStyle w:val="ListParagraph"/>
              <w:numPr>
                <w:ilvl w:val="0"/>
                <w:numId w:val="2"/>
              </w:numPr>
              <w:jc w:val="both"/>
              <w:rPr>
                <w:rFonts w:ascii="Tahoma" w:hAnsi="Tahoma" w:cs="Tahoma"/>
                <w:color w:val="0070C0"/>
                <w:sz w:val="18"/>
                <w:szCs w:val="20"/>
                <w:lang w:val="en-US"/>
              </w:rPr>
            </w:pPr>
          </w:p>
        </w:tc>
        <w:tc>
          <w:tcPr>
            <w:tcW w:w="4889" w:type="dxa"/>
          </w:tcPr>
          <w:p w:rsidR="005C04B8" w:rsidRPr="005C04B8" w:rsidRDefault="005C04B8" w:rsidP="007A44E2">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w:t>
            </w:r>
          </w:p>
        </w:tc>
      </w:tr>
      <w:tr w:rsidR="005C04B8" w:rsidRPr="005C04B8" w:rsidTr="007A44E2">
        <w:tc>
          <w:tcPr>
            <w:tcW w:w="4889" w:type="dxa"/>
          </w:tcPr>
          <w:p w:rsidR="005C04B8" w:rsidRPr="007A44E2" w:rsidRDefault="005C04B8" w:rsidP="003663CB">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 xml:space="preserve">The (new) Table 1 contains some empty (blank) rows. </w:t>
            </w:r>
          </w:p>
        </w:tc>
        <w:tc>
          <w:tcPr>
            <w:tcW w:w="4889" w:type="dxa"/>
          </w:tcPr>
          <w:p w:rsidR="005C04B8" w:rsidRPr="005C04B8" w:rsidRDefault="007A44E2" w:rsidP="007A44E2">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Just a typo, removed</w:t>
            </w:r>
          </w:p>
        </w:tc>
      </w:tr>
      <w:tr w:rsidR="003663CB" w:rsidRPr="000F6D6A" w:rsidTr="003663CB">
        <w:tc>
          <w:tcPr>
            <w:tcW w:w="4889" w:type="dxa"/>
          </w:tcPr>
          <w:p w:rsidR="003663CB" w:rsidRPr="005C04B8" w:rsidRDefault="003663CB" w:rsidP="003663CB">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Moreover, the third row is related to VAF-1979 that is not referred in the text, where just VAF 1984 is discussed. Please, refer VAF-1979 in the text, or remove the third row in the Table 1.</w:t>
            </w:r>
          </w:p>
        </w:tc>
        <w:tc>
          <w:tcPr>
            <w:tcW w:w="4889" w:type="dxa"/>
          </w:tcPr>
          <w:p w:rsidR="003663CB" w:rsidRPr="005C04B8" w:rsidRDefault="003663CB" w:rsidP="003663CB">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Inserted the two new references as [29][30], also in the text</w:t>
            </w:r>
          </w:p>
        </w:tc>
      </w:tr>
      <w:tr w:rsidR="007A44E2" w:rsidRPr="005C04B8" w:rsidTr="007A44E2">
        <w:tc>
          <w:tcPr>
            <w:tcW w:w="4889" w:type="dxa"/>
          </w:tcPr>
          <w:p w:rsidR="007A44E2" w:rsidRPr="005C04B8" w:rsidRDefault="007A44E2" w:rsidP="005C04B8">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Please, refer explicitly the Table 1 in the text, i.e., not just “The following table ...” but “The Table 1 ...</w:t>
            </w:r>
            <w:proofErr w:type="gramStart"/>
            <w:r w:rsidRPr="005C04B8">
              <w:rPr>
                <w:rFonts w:ascii="Tahoma" w:hAnsi="Tahoma" w:cs="Tahoma"/>
                <w:color w:val="0070C0"/>
                <w:sz w:val="18"/>
                <w:szCs w:val="20"/>
                <w:lang w:val="en-US"/>
              </w:rPr>
              <w:t>”.</w:t>
            </w:r>
            <w:proofErr w:type="gramEnd"/>
          </w:p>
        </w:tc>
        <w:tc>
          <w:tcPr>
            <w:tcW w:w="4889" w:type="dxa"/>
          </w:tcPr>
          <w:p w:rsidR="007A44E2" w:rsidRPr="005C04B8" w:rsidRDefault="007A44E2" w:rsidP="007A44E2">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Done</w:t>
            </w:r>
          </w:p>
        </w:tc>
      </w:tr>
      <w:tr w:rsidR="005C04B8" w:rsidRPr="000F6D6A" w:rsidTr="007A44E2">
        <w:tc>
          <w:tcPr>
            <w:tcW w:w="4889" w:type="dxa"/>
          </w:tcPr>
          <w:p w:rsidR="005C04B8" w:rsidRPr="005C04B8" w:rsidRDefault="005C04B8" w:rsidP="005C04B8">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In section 6, the author has added the new paragraph “Entity of Interest</w:t>
            </w:r>
            <w:r>
              <w:rPr>
                <w:rFonts w:ascii="Tahoma" w:hAnsi="Tahoma" w:cs="Tahoma"/>
                <w:color w:val="0070C0"/>
                <w:sz w:val="18"/>
                <w:szCs w:val="20"/>
                <w:lang w:val="en-US"/>
              </w:rPr>
              <w:t xml:space="preserve"> </w:t>
            </w:r>
            <w:r w:rsidRPr="005C04B8">
              <w:rPr>
                <w:rFonts w:ascii="Tahoma" w:hAnsi="Tahoma" w:cs="Tahoma"/>
                <w:color w:val="0070C0"/>
                <w:sz w:val="18"/>
                <w:szCs w:val="20"/>
                <w:lang w:val="en-US"/>
              </w:rPr>
              <w:t>(</w:t>
            </w:r>
            <w:proofErr w:type="spellStart"/>
            <w:r w:rsidRPr="005C04B8">
              <w:rPr>
                <w:rFonts w:ascii="Tahoma" w:hAnsi="Tahoma" w:cs="Tahoma"/>
                <w:color w:val="0070C0"/>
                <w:sz w:val="18"/>
                <w:szCs w:val="20"/>
                <w:lang w:val="en-US"/>
              </w:rPr>
              <w:t>EoI</w:t>
            </w:r>
            <w:proofErr w:type="spellEnd"/>
            <w:r w:rsidRPr="005C04B8">
              <w:rPr>
                <w:rFonts w:ascii="Tahoma" w:hAnsi="Tahoma" w:cs="Tahoma"/>
                <w:color w:val="0070C0"/>
                <w:sz w:val="18"/>
                <w:szCs w:val="20"/>
                <w:lang w:val="en-US"/>
              </w:rPr>
              <w:t xml:space="preserve">)”: all the rows in this paragraph are underlined. Is there any reason to have all the sentences underlined? </w:t>
            </w:r>
            <w:proofErr w:type="gramStart"/>
            <w:r w:rsidRPr="005C04B8">
              <w:rPr>
                <w:rFonts w:ascii="Tahoma" w:hAnsi="Tahoma" w:cs="Tahoma"/>
                <w:color w:val="0070C0"/>
                <w:sz w:val="18"/>
                <w:szCs w:val="20"/>
                <w:lang w:val="en-US"/>
              </w:rPr>
              <w:t>or</w:t>
            </w:r>
            <w:proofErr w:type="gramEnd"/>
            <w:r w:rsidRPr="005C04B8">
              <w:rPr>
                <w:rFonts w:ascii="Tahoma" w:hAnsi="Tahoma" w:cs="Tahoma"/>
                <w:color w:val="0070C0"/>
                <w:sz w:val="18"/>
                <w:szCs w:val="20"/>
                <w:lang w:val="en-US"/>
              </w:rPr>
              <w:t xml:space="preserve"> is it just a typo? If the former, please, provide the reason, if the latter remove the typo.</w:t>
            </w:r>
          </w:p>
        </w:tc>
        <w:tc>
          <w:tcPr>
            <w:tcW w:w="4889" w:type="dxa"/>
          </w:tcPr>
          <w:p w:rsidR="005C04B8" w:rsidRPr="005C04B8" w:rsidRDefault="0045389A" w:rsidP="0045389A">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Removed, it was a typo</w:t>
            </w:r>
          </w:p>
        </w:tc>
      </w:tr>
      <w:tr w:rsidR="005C04B8" w:rsidRPr="005C04B8" w:rsidTr="007A44E2">
        <w:tc>
          <w:tcPr>
            <w:tcW w:w="4889" w:type="dxa"/>
          </w:tcPr>
          <w:p w:rsidR="005C04B8" w:rsidRPr="005C04B8" w:rsidRDefault="005C04B8" w:rsidP="005C04B8">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This paragraph is the last one of section 6, then the paragraph ‘Measurement’ in not the last one thus it does not start by “last but not the least ...</w:t>
            </w:r>
            <w:proofErr w:type="gramStart"/>
            <w:r w:rsidRPr="005C04B8">
              <w:rPr>
                <w:rFonts w:ascii="Tahoma" w:hAnsi="Tahoma" w:cs="Tahoma"/>
                <w:color w:val="0070C0"/>
                <w:sz w:val="18"/>
                <w:szCs w:val="20"/>
                <w:lang w:val="en-US"/>
              </w:rPr>
              <w:t>”.</w:t>
            </w:r>
            <w:proofErr w:type="gramEnd"/>
          </w:p>
        </w:tc>
        <w:tc>
          <w:tcPr>
            <w:tcW w:w="4889" w:type="dxa"/>
          </w:tcPr>
          <w:p w:rsidR="005C04B8" w:rsidRPr="005C04B8" w:rsidRDefault="008D6E32" w:rsidP="007A44E2">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Modified the sentence</w:t>
            </w:r>
          </w:p>
        </w:tc>
      </w:tr>
      <w:tr w:rsidR="005C04B8" w:rsidRPr="000F6D6A" w:rsidTr="007A44E2">
        <w:tc>
          <w:tcPr>
            <w:tcW w:w="4889" w:type="dxa"/>
          </w:tcPr>
          <w:p w:rsidR="005C04B8" w:rsidRPr="005C04B8" w:rsidRDefault="005C04B8" w:rsidP="005C04B8">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I still think that a simple running example would be useful in discussing/describing all the issues addressed in the paper.</w:t>
            </w:r>
          </w:p>
        </w:tc>
        <w:tc>
          <w:tcPr>
            <w:tcW w:w="4889" w:type="dxa"/>
          </w:tcPr>
          <w:p w:rsidR="005C04B8" w:rsidRPr="005C04B8" w:rsidRDefault="000F6D6A" w:rsidP="007A44E2">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Inserted an example at the end of Section 6</w:t>
            </w:r>
            <w:bookmarkStart w:id="0" w:name="_GoBack"/>
            <w:bookmarkEnd w:id="0"/>
          </w:p>
        </w:tc>
      </w:tr>
      <w:tr w:rsidR="005C04B8" w:rsidRPr="005C04B8" w:rsidTr="007A44E2">
        <w:tc>
          <w:tcPr>
            <w:tcW w:w="4889" w:type="dxa"/>
          </w:tcPr>
          <w:p w:rsidR="005C04B8" w:rsidRPr="005C04B8" w:rsidRDefault="005C04B8" w:rsidP="005C04B8">
            <w:pPr>
              <w:pStyle w:val="ListParagraph"/>
              <w:numPr>
                <w:ilvl w:val="0"/>
                <w:numId w:val="2"/>
              </w:numPr>
              <w:jc w:val="both"/>
              <w:rPr>
                <w:rFonts w:ascii="Tahoma" w:hAnsi="Tahoma" w:cs="Tahoma"/>
                <w:color w:val="0070C0"/>
                <w:sz w:val="18"/>
                <w:szCs w:val="20"/>
                <w:lang w:val="en-US"/>
              </w:rPr>
            </w:pPr>
            <w:r w:rsidRPr="005C04B8">
              <w:rPr>
                <w:rFonts w:ascii="Tahoma" w:hAnsi="Tahoma" w:cs="Tahoma"/>
                <w:color w:val="0070C0"/>
                <w:sz w:val="18"/>
                <w:szCs w:val="20"/>
                <w:lang w:val="en-US"/>
              </w:rPr>
              <w:t>Finally, the English language, although improved over the previous version, it should be further improved.</w:t>
            </w:r>
          </w:p>
        </w:tc>
        <w:tc>
          <w:tcPr>
            <w:tcW w:w="4889" w:type="dxa"/>
          </w:tcPr>
          <w:p w:rsidR="005C04B8" w:rsidRPr="005C04B8" w:rsidRDefault="008D6E32" w:rsidP="007A44E2">
            <w:pPr>
              <w:pStyle w:val="ListParagraph"/>
              <w:numPr>
                <w:ilvl w:val="0"/>
                <w:numId w:val="1"/>
              </w:numPr>
              <w:ind w:left="284" w:hanging="284"/>
              <w:rPr>
                <w:rFonts w:ascii="Tahoma" w:hAnsi="Tahoma" w:cs="Tahoma"/>
                <w:color w:val="0070C0"/>
                <w:sz w:val="18"/>
                <w:szCs w:val="20"/>
                <w:lang w:val="en-US"/>
              </w:rPr>
            </w:pPr>
            <w:r>
              <w:rPr>
                <w:rFonts w:ascii="Tahoma" w:hAnsi="Tahoma" w:cs="Tahoma"/>
                <w:color w:val="0070C0"/>
                <w:sz w:val="18"/>
                <w:szCs w:val="20"/>
                <w:lang w:val="en-US"/>
              </w:rPr>
              <w:t>---</w:t>
            </w:r>
          </w:p>
        </w:tc>
      </w:tr>
    </w:tbl>
    <w:p w:rsidR="005C04B8" w:rsidRPr="005C04B8" w:rsidRDefault="005C04B8" w:rsidP="0062396C">
      <w:pPr>
        <w:rPr>
          <w:rFonts w:ascii="Tahoma" w:hAnsi="Tahoma" w:cs="Tahoma"/>
          <w:color w:val="0070C0"/>
          <w:sz w:val="20"/>
          <w:szCs w:val="20"/>
          <w:lang w:val="en-US"/>
        </w:rPr>
      </w:pPr>
    </w:p>
    <w:sectPr w:rsidR="005C04B8" w:rsidRPr="005C04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5EA7"/>
    <w:multiLevelType w:val="hybridMultilevel"/>
    <w:tmpl w:val="1108C9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42EF06D7"/>
    <w:multiLevelType w:val="hybridMultilevel"/>
    <w:tmpl w:val="EF6A5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mailMerge>
    <w:mainDocumentType w:val="formLetters"/>
    <w:linkToQuery/>
    <w:dataType w:val="native"/>
    <w:connectString w:val="Provider=Microsoft.ACE.OLEDB.12.0;User ID=Admin;Data Source=D:\S2-AtosOrigin_Eng\Scuola Formazione Ferentino\Corsi Erogati\05_ITILCERT (v3 Foundation)\3_Sessioni\ITILCERT-26_20150422-24\3_Post-Corso\Attestati Partecipazione\ITILCERT-26_20150422-24_Partecipanti.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activeRecord w:val="-1"/>
    <w:odso>
      <w:udl w:val="Provider=Microsoft.ACE.OLEDB.12.0;User ID=Admin;Data Source=D:\S2-AtosOrigin_Eng\Scuola Formazione Ferentino\Corsi Erogati\05_ITILCERT (v3 Foundation)\3_Sessioni\ITILCERT-26_20150422-24\3_Post-Corso\Attestati Partecipazione\ITILCERT-26_20150422-24_Partecipanti.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1"/>
      <w:colDelim w:val="9"/>
      <w:type w:val="database"/>
      <w:fHdr/>
      <w:fieldMapData>
        <w:column w:val="0"/>
        <w:lid w:val="it-IT"/>
      </w:fieldMapData>
      <w:fieldMapData>
        <w:column w:val="0"/>
        <w:lid w:val="it-IT"/>
      </w:fieldMapData>
      <w:fieldMapData>
        <w:type w:val="dbColumn"/>
        <w:name w:val="Nome"/>
        <w:mappedName w:val="First Name"/>
        <w:column w:val="1"/>
        <w:lid w:val="it-IT"/>
      </w:fieldMapData>
      <w:fieldMapData>
        <w:column w:val="0"/>
        <w:lid w:val="it-IT"/>
      </w:fieldMapData>
      <w:fieldMapData>
        <w:type w:val="dbColumn"/>
        <w:name w:val="Cognome"/>
        <w:mappedName w:val="Last Name"/>
        <w:column w:val="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Email"/>
        <w:mappedName w:val="E-mail Address"/>
        <w:column w:val="3"/>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49"/>
    <w:rsid w:val="0002096A"/>
    <w:rsid w:val="00063E72"/>
    <w:rsid w:val="000879E4"/>
    <w:rsid w:val="000971B5"/>
    <w:rsid w:val="000978B3"/>
    <w:rsid w:val="000C63A0"/>
    <w:rsid w:val="000E750B"/>
    <w:rsid w:val="000F2291"/>
    <w:rsid w:val="000F5200"/>
    <w:rsid w:val="000F6D6A"/>
    <w:rsid w:val="001020C3"/>
    <w:rsid w:val="001446CD"/>
    <w:rsid w:val="001662FF"/>
    <w:rsid w:val="00173644"/>
    <w:rsid w:val="001829B8"/>
    <w:rsid w:val="001B592E"/>
    <w:rsid w:val="001B79A4"/>
    <w:rsid w:val="001E0CF5"/>
    <w:rsid w:val="001E2077"/>
    <w:rsid w:val="001F5622"/>
    <w:rsid w:val="0020278C"/>
    <w:rsid w:val="002060E5"/>
    <w:rsid w:val="00241847"/>
    <w:rsid w:val="002762AB"/>
    <w:rsid w:val="00295F02"/>
    <w:rsid w:val="002C2946"/>
    <w:rsid w:val="002D7138"/>
    <w:rsid w:val="002E6321"/>
    <w:rsid w:val="002F4ABF"/>
    <w:rsid w:val="00304485"/>
    <w:rsid w:val="00322596"/>
    <w:rsid w:val="00332633"/>
    <w:rsid w:val="00347062"/>
    <w:rsid w:val="003663CB"/>
    <w:rsid w:val="003D4166"/>
    <w:rsid w:val="003F6D5E"/>
    <w:rsid w:val="0044232C"/>
    <w:rsid w:val="0045389A"/>
    <w:rsid w:val="00454A79"/>
    <w:rsid w:val="00462DC9"/>
    <w:rsid w:val="00497D94"/>
    <w:rsid w:val="004A729F"/>
    <w:rsid w:val="004B09D0"/>
    <w:rsid w:val="004E2AEC"/>
    <w:rsid w:val="00506938"/>
    <w:rsid w:val="00533979"/>
    <w:rsid w:val="00561DAB"/>
    <w:rsid w:val="00593CAC"/>
    <w:rsid w:val="005A2A42"/>
    <w:rsid w:val="005B59DD"/>
    <w:rsid w:val="005C04B8"/>
    <w:rsid w:val="0061104B"/>
    <w:rsid w:val="0062396C"/>
    <w:rsid w:val="00632804"/>
    <w:rsid w:val="00653849"/>
    <w:rsid w:val="006A5AB4"/>
    <w:rsid w:val="006C12E8"/>
    <w:rsid w:val="00777039"/>
    <w:rsid w:val="007A333A"/>
    <w:rsid w:val="007A44E2"/>
    <w:rsid w:val="007B042A"/>
    <w:rsid w:val="007C019D"/>
    <w:rsid w:val="007C7F73"/>
    <w:rsid w:val="007D4ACA"/>
    <w:rsid w:val="007F4A07"/>
    <w:rsid w:val="0081600C"/>
    <w:rsid w:val="00832BA4"/>
    <w:rsid w:val="00871E1F"/>
    <w:rsid w:val="00880D71"/>
    <w:rsid w:val="008B5C0A"/>
    <w:rsid w:val="008D6E32"/>
    <w:rsid w:val="009103D3"/>
    <w:rsid w:val="0098127B"/>
    <w:rsid w:val="0098675F"/>
    <w:rsid w:val="009D2B14"/>
    <w:rsid w:val="009F0206"/>
    <w:rsid w:val="009F60EE"/>
    <w:rsid w:val="00A06335"/>
    <w:rsid w:val="00A27062"/>
    <w:rsid w:val="00A41DFE"/>
    <w:rsid w:val="00A45912"/>
    <w:rsid w:val="00A63AB7"/>
    <w:rsid w:val="00A87D85"/>
    <w:rsid w:val="00A97FAB"/>
    <w:rsid w:val="00AA6C47"/>
    <w:rsid w:val="00AD100A"/>
    <w:rsid w:val="00AD1B02"/>
    <w:rsid w:val="00AD5C6F"/>
    <w:rsid w:val="00B152C3"/>
    <w:rsid w:val="00B55943"/>
    <w:rsid w:val="00B75C4C"/>
    <w:rsid w:val="00B76ECC"/>
    <w:rsid w:val="00B918B4"/>
    <w:rsid w:val="00BA2AE7"/>
    <w:rsid w:val="00BE2267"/>
    <w:rsid w:val="00BF5D8F"/>
    <w:rsid w:val="00C02464"/>
    <w:rsid w:val="00C204E5"/>
    <w:rsid w:val="00C44407"/>
    <w:rsid w:val="00C84EC9"/>
    <w:rsid w:val="00CB7F57"/>
    <w:rsid w:val="00CC34B7"/>
    <w:rsid w:val="00CF1954"/>
    <w:rsid w:val="00CF6777"/>
    <w:rsid w:val="00D06631"/>
    <w:rsid w:val="00D16DDD"/>
    <w:rsid w:val="00D27CB6"/>
    <w:rsid w:val="00D82CCF"/>
    <w:rsid w:val="00DB62F9"/>
    <w:rsid w:val="00DC2218"/>
    <w:rsid w:val="00DD7740"/>
    <w:rsid w:val="00DF142D"/>
    <w:rsid w:val="00E10060"/>
    <w:rsid w:val="00E30309"/>
    <w:rsid w:val="00E8016D"/>
    <w:rsid w:val="00ED711E"/>
    <w:rsid w:val="00F11288"/>
    <w:rsid w:val="00F77ED5"/>
    <w:rsid w:val="00FD3C03"/>
    <w:rsid w:val="00FE4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3849"/>
    <w:pPr>
      <w:spacing w:after="0" w:line="240" w:lineRule="auto"/>
    </w:pPr>
    <w:rPr>
      <w:rFonts w:ascii="Tahoma" w:hAnsi="Tahoma"/>
      <w:color w:val="1F497D" w:themeColor="text2"/>
      <w:sz w:val="20"/>
      <w:szCs w:val="21"/>
    </w:rPr>
  </w:style>
  <w:style w:type="character" w:customStyle="1" w:styleId="PlainTextChar">
    <w:name w:val="Plain Text Char"/>
    <w:basedOn w:val="DefaultParagraphFont"/>
    <w:link w:val="PlainText"/>
    <w:uiPriority w:val="99"/>
    <w:rsid w:val="00653849"/>
    <w:rPr>
      <w:rFonts w:ascii="Tahoma" w:hAnsi="Tahoma"/>
      <w:color w:val="1F497D" w:themeColor="text2"/>
      <w:sz w:val="20"/>
      <w:szCs w:val="21"/>
    </w:rPr>
  </w:style>
  <w:style w:type="table" w:styleId="TableGrid">
    <w:name w:val="Table Grid"/>
    <w:basedOn w:val="TableNormal"/>
    <w:uiPriority w:val="59"/>
    <w:rsid w:val="0062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96C"/>
    <w:pPr>
      <w:ind w:left="720"/>
      <w:contextualSpacing/>
    </w:pPr>
  </w:style>
  <w:style w:type="character" w:styleId="Hyperlink">
    <w:name w:val="Hyperlink"/>
    <w:basedOn w:val="DefaultParagraphFont"/>
    <w:uiPriority w:val="99"/>
    <w:unhideWhenUsed/>
    <w:rsid w:val="000879E4"/>
    <w:rPr>
      <w:color w:val="0000FF" w:themeColor="hyperlink"/>
      <w:u w:val="single"/>
    </w:rPr>
  </w:style>
  <w:style w:type="paragraph" w:styleId="BalloonText">
    <w:name w:val="Balloon Text"/>
    <w:basedOn w:val="Normal"/>
    <w:link w:val="BalloonTextChar"/>
    <w:uiPriority w:val="99"/>
    <w:semiHidden/>
    <w:unhideWhenUsed/>
    <w:rsid w:val="000F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3849"/>
    <w:pPr>
      <w:spacing w:after="0" w:line="240" w:lineRule="auto"/>
    </w:pPr>
    <w:rPr>
      <w:rFonts w:ascii="Tahoma" w:hAnsi="Tahoma"/>
      <w:color w:val="1F497D" w:themeColor="text2"/>
      <w:sz w:val="20"/>
      <w:szCs w:val="21"/>
    </w:rPr>
  </w:style>
  <w:style w:type="character" w:customStyle="1" w:styleId="PlainTextChar">
    <w:name w:val="Plain Text Char"/>
    <w:basedOn w:val="DefaultParagraphFont"/>
    <w:link w:val="PlainText"/>
    <w:uiPriority w:val="99"/>
    <w:rsid w:val="00653849"/>
    <w:rPr>
      <w:rFonts w:ascii="Tahoma" w:hAnsi="Tahoma"/>
      <w:color w:val="1F497D" w:themeColor="text2"/>
      <w:sz w:val="20"/>
      <w:szCs w:val="21"/>
    </w:rPr>
  </w:style>
  <w:style w:type="table" w:styleId="TableGrid">
    <w:name w:val="Table Grid"/>
    <w:basedOn w:val="TableNormal"/>
    <w:uiPriority w:val="59"/>
    <w:rsid w:val="0062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96C"/>
    <w:pPr>
      <w:ind w:left="720"/>
      <w:contextualSpacing/>
    </w:pPr>
  </w:style>
  <w:style w:type="character" w:styleId="Hyperlink">
    <w:name w:val="Hyperlink"/>
    <w:basedOn w:val="DefaultParagraphFont"/>
    <w:uiPriority w:val="99"/>
    <w:unhideWhenUsed/>
    <w:rsid w:val="000879E4"/>
    <w:rPr>
      <w:color w:val="0000FF" w:themeColor="hyperlink"/>
      <w:u w:val="single"/>
    </w:rPr>
  </w:style>
  <w:style w:type="paragraph" w:styleId="BalloonText">
    <w:name w:val="Balloon Text"/>
    <w:basedOn w:val="Normal"/>
    <w:link w:val="BalloonTextChar"/>
    <w:uiPriority w:val="99"/>
    <w:semiHidden/>
    <w:unhideWhenUsed/>
    <w:rsid w:val="000F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807">
      <w:bodyDiv w:val="1"/>
      <w:marLeft w:val="0"/>
      <w:marRight w:val="0"/>
      <w:marTop w:val="0"/>
      <w:marBottom w:val="0"/>
      <w:divBdr>
        <w:top w:val="none" w:sz="0" w:space="0" w:color="auto"/>
        <w:left w:val="none" w:sz="0" w:space="0" w:color="auto"/>
        <w:bottom w:val="none" w:sz="0" w:space="0" w:color="auto"/>
        <w:right w:val="none" w:sz="0" w:space="0" w:color="auto"/>
      </w:divBdr>
    </w:div>
    <w:div w:id="17781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uter.org/sevocab"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D:\S2-AtosOrigin_Eng\Scuola%20Formazione%20Ferentino\Corsi%20Erogati\05_ITILCERT%20(v3%20Foundation)\3_Sessioni\ITILCERT-26_20150422-24\3_Post-Corso\Attestati%20Partecipazione\ITILCERT-26_20150422-24_Partecipanti.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Buglione</dc:creator>
  <cp:lastModifiedBy>Luigi Buglione</cp:lastModifiedBy>
  <cp:revision>12</cp:revision>
  <cp:lastPrinted>2015-06-22T05:38:00Z</cp:lastPrinted>
  <dcterms:created xsi:type="dcterms:W3CDTF">2015-04-15T06:38:00Z</dcterms:created>
  <dcterms:modified xsi:type="dcterms:W3CDTF">2015-06-22T06:20:00Z</dcterms:modified>
</cp:coreProperties>
</file>